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mc:AlternateContent>
          <mc:Choice Requires="wps">
            <w:drawing>
              <wp:anchor distT="0" distB="0" distL="114300" distR="114300" simplePos="0" relativeHeight="251656192"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1" name="文本框 8"/>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wps:txbx>
                      <wps:bodyPr upright="1"/>
                    </wps:wsp>
                  </a:graphicData>
                </a:graphic>
              </wp:anchor>
            </w:drawing>
          </mc:Choice>
          <mc:Fallback>
            <w:pict>
              <v:shape id="文本框 8" o:spid="_x0000_s1026" o:spt="202" type="#_x0000_t202" style="position:absolute;left:0pt;margin-left:-17.15pt;margin-top:7.4pt;height:90.75pt;width:506.25pt;z-index:251656192;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d+VU2AAAAAoBAAAPAAAAAAAAAAEAIAAAACIAAABk&#10;cnMvZG93bnJldi54bWxQSwECFAAUAAAACACHTuJAMZOsc5QBAAAKAwAADgAAAAAAAAABACAAAAAn&#10;AQAAZHJzL2Uyb0RvYy54bWxQSwUGAAAAAAYABgBZAQAALQUAAAAA&#10;">
                <v:fill on="f" focussize="0,0"/>
                <v:stroke on="f"/>
                <v:imagedata o:title=""/>
                <o:lock v:ext="edit" aspectratio="f"/>
                <v:textbo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v:textbox>
              </v:shape>
            </w:pict>
          </mc:Fallback>
        </mc:AlternateContent>
      </w:r>
    </w:p>
    <w:p/>
    <w:p/>
    <w:p/>
    <w:p/>
    <w:p/>
    <w:p/>
    <w:p/>
    <w:p>
      <w:pPr>
        <w:spacing w:line="600" w:lineRule="exact"/>
        <w:ind w:right="311" w:rightChars="148" w:firstLine="160" w:firstLineChars="50"/>
        <w:jc w:val="center"/>
        <w:rPr>
          <w:rFonts w:ascii="楷体_GB2312" w:eastAsia="楷体_GB2312"/>
          <w:sz w:val="32"/>
          <w:szCs w:val="32"/>
        </w:rPr>
      </w:pPr>
      <w:r>
        <w:rPr>
          <w:rFonts w:hint="eastAsia" w:ascii="仿宋_GB2312" w:eastAsia="仿宋_GB2312"/>
          <w:sz w:val="32"/>
          <w:szCs w:val="32"/>
        </w:rPr>
        <w:t>中发展党办〔2018〕2号</w:t>
      </w:r>
    </w:p>
    <w:p>
      <w:pPr>
        <w:jc w:val="center"/>
        <w:rPr>
          <w:color w:val="FF0000"/>
          <w:sz w:val="44"/>
          <w:szCs w:val="44"/>
        </w:rPr>
      </w:pPr>
      <w:r>
        <w:rPr>
          <w:sz w:val="44"/>
          <w:szCs w:val="44"/>
        </w:rPr>
        <mc:AlternateContent>
          <mc:Choice Requires="wps">
            <w:drawing>
              <wp:anchor distT="0" distB="0" distL="114300" distR="114300" simplePos="0" relativeHeight="251658240"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3" name="直线 13"/>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236.35pt;margin-top:16.4pt;height:0pt;width:207.75pt;z-index:251658240;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QYWYv0QEAAI8DAAAOAAAAAAAAAAEAIAAA&#10;ACUBAABkcnMvZTJvRG9jLnhtbFBLBQYAAAAABgAGAFkBAABoBQAAAAA=&#10;">
                <v:fill on="f" focussize="0,0"/>
                <v:stroke weight="2pt" color="#FF0000" joinstyle="round"/>
                <v:imagedata o:title=""/>
                <o:lock v:ext="edit" aspectratio="f"/>
              </v:line>
            </w:pict>
          </mc:Fallback>
        </mc:AlternateContent>
      </w:r>
      <w:r>
        <w:rPr>
          <w:sz w:val="44"/>
          <w:szCs w:val="44"/>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2" name="直线 10"/>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2.85pt;margin-top:16.4pt;height:0pt;width:208.45pt;z-index:251657216;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&#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NEDUQ1gAAAAgBAAAPAAAAAAAAAAEAIAAAACIAAABk&#10;cnMvZG93bnJldi54bWxQSwECFAAUAAAACACHTuJAHltSk88BAACPAwAADgAAAAAAAAABACAAAAAl&#10;AQAAZHJzL2Uyb0RvYy54bWxQSwUGAAAAAAYABgBZAQAAZgUAAAAA&#10;">
                <v:fill on="f" focussize="0,0"/>
                <v:stroke weight="2pt" color="#FF0000" joinstyle="round"/>
                <v:imagedata o:title=""/>
                <o:lock v:ext="edit" aspectratio="f"/>
              </v:line>
            </w:pict>
          </mc:Fallback>
        </mc:AlternateContent>
      </w:r>
      <w:r>
        <w:rPr>
          <w:rFonts w:hint="eastAsia"/>
          <w:color w:val="FF0000"/>
          <w:sz w:val="44"/>
          <w:szCs w:val="44"/>
        </w:rPr>
        <w:t>★</w:t>
      </w:r>
    </w:p>
    <w:p>
      <w:pPr>
        <w:jc w:val="center"/>
        <w:rPr>
          <w:color w:val="FF0000"/>
          <w:sz w:val="44"/>
          <w:szCs w:val="44"/>
        </w:rPr>
      </w:pP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中共中关村发展集团委员会办公室</w:t>
      </w: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关于印发《中关村发展集团党委理论学习</w:t>
      </w: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中心组学习制度》的通知</w:t>
      </w:r>
    </w:p>
    <w:p>
      <w:pPr>
        <w:spacing w:line="600" w:lineRule="exact"/>
      </w:pPr>
    </w:p>
    <w:p>
      <w:pPr>
        <w:spacing w:line="600" w:lineRule="exact"/>
        <w:rPr>
          <w:rFonts w:ascii="楷体" w:hAnsi="楷体" w:eastAsia="楷体" w:cs="仿宋_GB2312"/>
          <w:sz w:val="32"/>
          <w:szCs w:val="32"/>
        </w:rPr>
      </w:pPr>
      <w:r>
        <w:rPr>
          <w:rFonts w:hint="eastAsia" w:ascii="楷体" w:hAnsi="楷体" w:eastAsia="楷体" w:cs="仿宋_GB2312"/>
          <w:sz w:val="32"/>
          <w:szCs w:val="32"/>
        </w:rPr>
        <w:t>集团各部（室）、各子公司：</w:t>
      </w:r>
    </w:p>
    <w:p>
      <w:pPr>
        <w:spacing w:line="600" w:lineRule="exact"/>
        <w:ind w:firstLine="640" w:firstLineChars="200"/>
        <w:rPr>
          <w:rFonts w:ascii="楷体" w:hAnsi="楷体" w:eastAsia="楷体" w:cs="仿宋_GB2312"/>
          <w:sz w:val="32"/>
          <w:szCs w:val="32"/>
        </w:rPr>
      </w:pPr>
      <w:r>
        <w:rPr>
          <w:rFonts w:hint="eastAsia" w:ascii="楷体" w:hAnsi="楷体" w:eastAsia="楷体" w:cs="仿宋_GB2312"/>
          <w:sz w:val="32"/>
          <w:szCs w:val="32"/>
        </w:rPr>
        <w:t>经2018年第5次党委会研究同意，现将《中关村发展集团党委理论学习中心组学习制度》印发给你们，请结合实际认真贯彻落实。</w:t>
      </w:r>
    </w:p>
    <w:p>
      <w:pPr>
        <w:spacing w:line="600" w:lineRule="exact"/>
        <w:ind w:firstLine="640" w:firstLineChars="200"/>
        <w:rPr>
          <w:rFonts w:ascii="楷体" w:hAnsi="楷体" w:eastAsia="楷体" w:cs="仿宋_GB2312"/>
          <w:sz w:val="32"/>
          <w:szCs w:val="32"/>
        </w:rPr>
      </w:pPr>
    </w:p>
    <w:p>
      <w:pPr>
        <w:spacing w:line="600" w:lineRule="exact"/>
        <w:rPr>
          <w:rFonts w:ascii="楷体" w:hAnsi="楷体" w:eastAsia="楷体" w:cs="仿宋_GB2312"/>
          <w:sz w:val="32"/>
          <w:szCs w:val="32"/>
        </w:rPr>
      </w:pPr>
      <w:r>
        <w:rPr>
          <w:rFonts w:hint="eastAsia" w:ascii="楷体" w:hAnsi="楷体" w:eastAsia="楷体" w:cs="仿宋_GB2312"/>
          <w:sz w:val="32"/>
          <w:szCs w:val="32"/>
        </w:rPr>
        <w:t xml:space="preserve">                     </w:t>
      </w:r>
    </w:p>
    <w:p>
      <w:pPr>
        <w:spacing w:line="600" w:lineRule="exact"/>
        <w:ind w:firstLine="4000" w:firstLineChars="1250"/>
        <w:rPr>
          <w:rFonts w:ascii="楷体" w:hAnsi="楷体" w:eastAsia="楷体" w:cs="仿宋_GB2312"/>
          <w:sz w:val="32"/>
          <w:szCs w:val="32"/>
        </w:rPr>
      </w:pPr>
      <w:r>
        <w:rPr>
          <w:rFonts w:hint="eastAsia" w:ascii="楷体" w:hAnsi="楷体" w:eastAsia="楷体" w:cs="仿宋_GB2312"/>
          <w:sz w:val="32"/>
          <w:szCs w:val="32"/>
        </w:rPr>
        <w:t xml:space="preserve">中关村发展集团委员会办公室                                                </w:t>
      </w:r>
    </w:p>
    <w:p>
      <w:pPr>
        <w:widowControl/>
        <w:jc w:val="left"/>
        <w:rPr>
          <w:rFonts w:ascii="楷体" w:hAnsi="楷体" w:eastAsia="楷体" w:cs="仿宋_GB2312"/>
          <w:sz w:val="32"/>
          <w:szCs w:val="32"/>
        </w:rPr>
      </w:pPr>
      <w:r>
        <w:rPr>
          <w:rFonts w:hint="eastAsia" w:ascii="楷体" w:hAnsi="楷体" w:eastAsia="楷体" w:cs="仿宋_GB2312"/>
          <w:sz w:val="32"/>
          <w:szCs w:val="32"/>
        </w:rPr>
        <w:t xml:space="preserve">                             2018年3月16日 </w:t>
      </w:r>
    </w:p>
    <w:p>
      <w:pPr>
        <w:widowControl/>
        <w:jc w:val="left"/>
        <w:rPr>
          <w:rFonts w:ascii="方正小标宋简体" w:hAnsi="Cambria" w:eastAsia="方正小标宋简体"/>
          <w:bCs/>
          <w:sz w:val="44"/>
          <w:szCs w:val="44"/>
        </w:rPr>
      </w:pPr>
      <w:r>
        <w:rPr>
          <w:rFonts w:ascii="方正小标宋简体" w:eastAsia="方正小标宋简体"/>
          <w:b/>
          <w:sz w:val="44"/>
          <w:szCs w:val="44"/>
        </w:rPr>
        <w:br w:type="page"/>
      </w:r>
    </w:p>
    <w:p>
      <w:pPr>
        <w:spacing w:line="600" w:lineRule="exact"/>
        <w:outlineLvl w:val="0"/>
        <w:rPr>
          <w:rFonts w:ascii="方正小标宋简体" w:hAnsi="黑体" w:eastAsia="方正小标宋简体" w:cstheme="minorBidi"/>
          <w:color w:val="000000" w:themeColor="text1"/>
          <w:sz w:val="44"/>
          <w:szCs w:val="44"/>
        </w:rPr>
      </w:pPr>
    </w:p>
    <w:p>
      <w:pPr>
        <w:spacing w:line="600" w:lineRule="exact"/>
        <w:outlineLvl w:val="0"/>
        <w:rPr>
          <w:rFonts w:ascii="方正小标宋简体" w:hAnsi="黑体" w:eastAsia="方正小标宋简体" w:cstheme="minorBidi"/>
          <w:color w:val="000000" w:themeColor="text1"/>
          <w:sz w:val="44"/>
          <w:szCs w:val="44"/>
        </w:rPr>
      </w:pPr>
      <w:r>
        <w:rPr>
          <w:rFonts w:hint="eastAsia" w:ascii="方正小标宋简体" w:hAnsi="黑体" w:eastAsia="方正小标宋简体" w:cstheme="minorBidi"/>
          <w:color w:val="000000" w:themeColor="text1"/>
          <w:sz w:val="44"/>
          <w:szCs w:val="44"/>
        </w:rPr>
        <w:t>中关村发展集团党委理论学习中心组学习制度</w:t>
      </w:r>
    </w:p>
    <w:p>
      <w:pPr>
        <w:spacing w:line="600" w:lineRule="exact"/>
        <w:jc w:val="center"/>
        <w:rPr>
          <w:rFonts w:ascii="仿宋_GB2312" w:eastAsia="仿宋_GB2312" w:hAnsiTheme="minorHAnsi" w:cstheme="minorBidi"/>
          <w:color w:val="000000" w:themeColor="text1"/>
          <w:szCs w:val="22"/>
        </w:rPr>
      </w:pPr>
    </w:p>
    <w:p>
      <w:pPr>
        <w:spacing w:line="600" w:lineRule="exact"/>
        <w:jc w:val="center"/>
        <w:rPr>
          <w:rFonts w:ascii="黑体" w:hAnsi="黑体" w:eastAsia="黑体" w:cs="黑体"/>
          <w:color w:val="000000" w:themeColor="text1"/>
          <w:sz w:val="32"/>
          <w:szCs w:val="32"/>
        </w:rPr>
      </w:pPr>
      <w:r>
        <w:rPr>
          <w:rFonts w:hint="eastAsia" w:ascii="黑体" w:hAnsi="黑体" w:eastAsia="黑体" w:cs="黑体"/>
          <w:color w:val="000000" w:themeColor="text1"/>
          <w:sz w:val="32"/>
          <w:szCs w:val="32"/>
        </w:rPr>
        <w:t>第一章  总  则</w:t>
      </w:r>
    </w:p>
    <w:p>
      <w:pPr>
        <w:spacing w:line="600" w:lineRule="exact"/>
        <w:ind w:firstLine="640" w:firstLineChars="200"/>
        <w:rPr>
          <w:rFonts w:ascii="仿宋" w:hAnsi="仿宋" w:eastAsia="仿宋" w:cstheme="minorBidi"/>
          <w:sz w:val="32"/>
          <w:szCs w:val="32"/>
        </w:rPr>
      </w:pPr>
      <w:r>
        <w:rPr>
          <w:rFonts w:hint="eastAsia" w:ascii="仿宋" w:hAnsi="仿宋" w:eastAsia="仿宋" w:cs="宋体"/>
          <w:kern w:val="0"/>
          <w:sz w:val="32"/>
          <w:szCs w:val="32"/>
        </w:rPr>
        <w:t>第一条  为进一步推进集团党委理论学习中心组学习制度化、规范化，推动理论武装工作深入开展，提高领导干部的理论水平和工作能力，加强领导班子思想政治建设，根据《中国共产党党委（党组）理论学习中心组学习规则》和市委实施办法，结合集团实际，制定本学习制度。</w:t>
      </w:r>
    </w:p>
    <w:p>
      <w:pPr>
        <w:spacing w:line="600" w:lineRule="exact"/>
        <w:ind w:firstLine="640" w:firstLineChars="200"/>
        <w:rPr>
          <w:rFonts w:ascii="仿宋" w:hAnsi="仿宋" w:eastAsia="仿宋" w:cs="仿宋_GB2312"/>
          <w:sz w:val="32"/>
          <w:szCs w:val="32"/>
        </w:rPr>
      </w:pPr>
      <w:r>
        <w:rPr>
          <w:rFonts w:hint="eastAsia" w:ascii="仿宋" w:hAnsi="仿宋" w:eastAsia="仿宋" w:cs="宋体"/>
          <w:kern w:val="0"/>
          <w:sz w:val="32"/>
          <w:szCs w:val="32"/>
        </w:rPr>
        <w:t xml:space="preserve">第二条  </w:t>
      </w:r>
      <w:r>
        <w:rPr>
          <w:rFonts w:hint="eastAsia" w:ascii="仿宋" w:hAnsi="仿宋" w:eastAsia="仿宋" w:cs="仿宋_GB2312"/>
          <w:sz w:val="32"/>
          <w:szCs w:val="32"/>
        </w:rPr>
        <w:t>中心组学习是集团党委领导班子和领导干部在职理论学习的重要组织形式，是严肃党内政治生活、强化党性修养的重要内容，是加强思想政治建设的重要制度，是建设学习型服务型创新型党组织，提高领导班子企业治理能力的重要途径。要把中心组学习列入重要议事日程，纳入党建工作责任制，纳入意识形态工作责任制。</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第三条  中心组学习以政治学习为根本，以深入学习中国特色社会主义理论体系为首要任务，以深入学习贯彻习近平总书记系列重要讲话精神为重点，以掌握和运用马克思主义立场、观点、方法为目的，坚持围绕中心、服务大局，坚持知行合一、学以致用，坚持问题导向、注重实效，坚持依规管理、从严治学。</w:t>
      </w:r>
    </w:p>
    <w:p>
      <w:pPr>
        <w:spacing w:line="600" w:lineRule="exact"/>
        <w:jc w:val="center"/>
        <w:rPr>
          <w:rFonts w:ascii="黑体" w:eastAsia="黑体" w:hAnsiTheme="minorHAnsi" w:cstheme="minorBidi"/>
          <w:sz w:val="32"/>
          <w:szCs w:val="32"/>
        </w:rPr>
      </w:pPr>
    </w:p>
    <w:p>
      <w:pPr>
        <w:spacing w:line="600" w:lineRule="exact"/>
        <w:jc w:val="center"/>
        <w:rPr>
          <w:rFonts w:ascii="黑体" w:eastAsia="黑体" w:hAnsiTheme="minorHAnsi" w:cstheme="minorBidi"/>
          <w:sz w:val="32"/>
          <w:szCs w:val="32"/>
        </w:rPr>
      </w:pPr>
      <w:r>
        <w:rPr>
          <w:rFonts w:hint="eastAsia" w:ascii="黑体" w:eastAsia="黑体" w:hAnsiTheme="minorHAnsi" w:cstheme="minorBidi"/>
          <w:sz w:val="32"/>
          <w:szCs w:val="32"/>
        </w:rPr>
        <w:t>第二章  组织与职责</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第四条  中心组成员主要由集团党委委员组成，可根据学习需要举行中心组学习扩大会议，适当吸收有关人员参加。</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第五条  集团党委对中心组学习负主体责任。</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党委书记是中心组学习第一责任人，书记不能参加学习时，由主持党委日常工作的负责人代行职责。</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党委负责宣传思想工作的成员是中心组学习直接责任人，主要职责是配合集团党委书记做好学习组织工作。</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党委其他成员应积极参加学习，自觉遵守中心组学习规则，按照学习安排或受委派承担相应职责。</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第六条  党委理论学习中心组配备学习秘书，由宣传部、党委办公室负责人担任，由宣传部负责人牵头。宣传部、党委办公室、组织部、党群工作部等机构人员应当协助学习秘书共同做好学习服务工作。</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宣传部负责制定理论学习中心组年度学习计划，确定学习内容和主题，统筹做好学习服务和指导工作，把理论学习中心组学习纳入意识形态工作责任制。</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党委办公室负责具体把理论学习中心组学习列入集团党委重要议事日程，协调安排学习时间，提出学习建议，共同做好学习服务工作。</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组织部负责把理论学习中心组学习纳入党建工作责任制，纳入领导干部和领导班子考核，共同做好学习指导工作。</w:t>
      </w:r>
    </w:p>
    <w:p>
      <w:pPr>
        <w:spacing w:line="600" w:lineRule="exact"/>
        <w:jc w:val="center"/>
        <w:rPr>
          <w:rFonts w:ascii="黑体" w:hAnsi="黑体" w:eastAsia="黑体" w:cs="黑体"/>
          <w:sz w:val="32"/>
          <w:szCs w:val="32"/>
        </w:rPr>
      </w:pPr>
    </w:p>
    <w:p>
      <w:pPr>
        <w:spacing w:line="600" w:lineRule="exact"/>
        <w:jc w:val="center"/>
        <w:rPr>
          <w:rFonts w:ascii="仿宋_GB2312" w:hAnsi="仿宋_GB2312" w:eastAsia="仿宋_GB2312" w:cs="仿宋_GB2312"/>
          <w:sz w:val="32"/>
          <w:szCs w:val="32"/>
        </w:rPr>
      </w:pPr>
      <w:r>
        <w:rPr>
          <w:rFonts w:hint="eastAsia" w:ascii="黑体" w:hAnsi="黑体" w:eastAsia="黑体" w:cs="黑体"/>
          <w:sz w:val="32"/>
          <w:szCs w:val="32"/>
        </w:rPr>
        <w:t>第三章  学习内容、形式与要求</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第七条  党委中心组学习内容包括：</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一）马克思列宁主义、毛泽东思想、邓小平理论、“三个代表”重要思想、科学发展观、习近平新时代中国特色社会主义思想，习近平总书记系列重要讲话和治国理政新理念新思想新战略，习近平总书记两次视察北京重要讲话精神。</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（二）党章党规党纪和党的基本知识。</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（三）党的路线、方针、政策和决议。</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（四）国家法律法规。</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（五）社会主义核心价值观。</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（六）党的历史、中国历史、世界历史和科学社会主义发展史。</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（七）推进中国特色社会主义事业所需要的经济、政治、文化、社会、生态、科技、军事、外交、民族、宗教等方面知识。</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（八）改革发展实践中的重点、难点问题。</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（九）党中央和上级党组织要求学习的其他重要内容。</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第八条  中心组可以通过以下适当方式，开展切实有效的学习活动：</w:t>
      </w:r>
    </w:p>
    <w:p>
      <w:pPr>
        <w:spacing w:line="600" w:lineRule="exact"/>
        <w:ind w:firstLine="480" w:firstLineChars="150"/>
        <w:rPr>
          <w:rFonts w:ascii="仿宋" w:hAnsi="仿宋" w:eastAsia="仿宋" w:cs="仿宋_GB2312"/>
          <w:sz w:val="32"/>
          <w:szCs w:val="32"/>
        </w:rPr>
      </w:pPr>
      <w:r>
        <w:rPr>
          <w:rFonts w:hint="eastAsia" w:ascii="仿宋" w:hAnsi="仿宋" w:eastAsia="仿宋" w:cs="仿宋_GB2312"/>
          <w:sz w:val="32"/>
          <w:szCs w:val="32"/>
        </w:rPr>
        <w:t>（一）集体学习研讨。中心组学习以集体学习研讨为主要形式，重点发言和集体研讨相结合，专题学习和系统学习相结合，深入开展学习研讨和互动交流。中心组学习应以成员自己学、自己讲为主，适当采取专题讲座、辅导报告等其他形式。集中学习研讨每月安排1次，其中，集中研讨每季度不少于1次，理论学习中心组成员每年重点发言不少于1次。集中学习时间一般安排在每月第一周的周五下午。</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（二）个人自学。中心组成员应根据形势任务的要求，结合工作需要和本人实际，明确学习重点，研读必要书目，下功夫刻苦学习。中心组成员每年撰写学习心得、调研报告或者理论文章不少于1篇。</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（三）专题调研。中心组成员应将理论学习与专题调研相结合，深入基层、深入群众，坚持问题导向，扎实开展调查研究，深化理论学习。</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中心组成员应积极参加学习讲坛、读书会、报告会等学习活动，充分利用干部教育网、宣讲家网等网络学习平台开展学习，拓宽学习渠道，提升学习效果。</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第九条  理论学习中心组应当把坚持学习马克思主义理论作为做好一切工作的看家本领，把学习党的基本理论与学习党的理论创新成果结合起来，把握精神实质，掌握精髓要义，做到真学真懂真信真用，进一步坚定理想信念、加强党性锻炼、提高精神境界，进一步增强政治意识、大局意识、核心意识、看齐意识，自觉在思想上政治上行动上同以习近平同志为核心的党中央保持高度一致。</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大力弘扬理论联系实际的马克思主义学风，深入思考“建设一个什么样的首都，怎样建设首都”，学以致用、用以促学、学用相长，把学习成果转化为有效的政策举措，不断提高做好首都工作的能力和水平。</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理论学习中心组成员应当发挥“关键少数”的示范和表率作用，自觉学习、带头学习，努力成为建设学习型党组织和学习型领导班子的精心组织者、积极促进者、自觉践行者，带动集团各级党组织大兴学习之风。</w:t>
      </w:r>
    </w:p>
    <w:p>
      <w:pPr>
        <w:spacing w:line="600" w:lineRule="exact"/>
        <w:ind w:firstLine="640" w:firstLineChars="200"/>
        <w:rPr>
          <w:rFonts w:ascii="仿宋" w:hAnsi="仿宋" w:eastAsia="仿宋" w:cs="仿宋_GB2312"/>
          <w:sz w:val="32"/>
          <w:szCs w:val="32"/>
        </w:rPr>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第四章 学习管理</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第十条   建立健全学习计划制度。理论学习中心组每年年初按照党中央、市委的部署，结合工作实际，制定年度学习计划，由本级党委审定后施行。</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第十一条  建立健全学习档案制度。理论学习中心组建立集体学习档案，包括学习制度、成员名单、学习计划、学习记录、考勤记录等内容。中心组学习档案按年度建立专卷，交档案室管理。</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第十二条  建立健全学习报送制度。理论学习中心组每年向上级党委宣传部门、组织部门报送中心组成员和学习秘书名单、年度学习计划以及上一年度理论学习中心组学习情况。</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第十三条  建立健全学习通报制度。党委宣传部门、组织部门每年通报下一级党组织理论学习情况。</w:t>
      </w:r>
    </w:p>
    <w:p>
      <w:pPr>
        <w:spacing w:line="600" w:lineRule="exact"/>
        <w:rPr>
          <w:rFonts w:ascii="仿宋_GB2312" w:hAnsi="仿宋_GB2312" w:eastAsia="仿宋_GB2312" w:cs="仿宋_GB2312"/>
          <w:sz w:val="32"/>
          <w:szCs w:val="32"/>
        </w:rPr>
      </w:pPr>
    </w:p>
    <w:p>
      <w:pPr>
        <w:spacing w:line="600" w:lineRule="exact"/>
        <w:jc w:val="center"/>
        <w:rPr>
          <w:rFonts w:ascii="黑体" w:eastAsia="黑体" w:hAnsiTheme="minorHAnsi" w:cstheme="minorBidi"/>
          <w:sz w:val="32"/>
          <w:szCs w:val="32"/>
        </w:rPr>
      </w:pPr>
      <w:r>
        <w:rPr>
          <w:rFonts w:hint="eastAsia" w:ascii="黑体" w:eastAsia="黑体" w:hAnsiTheme="minorHAnsi" w:cstheme="minorBidi"/>
          <w:sz w:val="32"/>
          <w:szCs w:val="32"/>
        </w:rPr>
        <w:t>第五章 附则</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第十四条  集团下属各级党组织可参照本制度组织党员领导干部学习。</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第十五条  本制度由集团宣传部负责解释。</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第十六条  本制度从公布之日起实施。原有《中关村发展集团党委中心组理论学习制度》（中发展党委〔2015〕5号）同时废止。</w:t>
      </w:r>
    </w:p>
    <w:p>
      <w:pPr>
        <w:spacing w:line="600" w:lineRule="exact"/>
        <w:rPr>
          <w:rFonts w:ascii="仿宋_GB2312" w:eastAsia="仿宋_GB2312" w:hAnsiTheme="minorHAnsi" w:cstheme="minorBidi"/>
          <w:sz w:val="32"/>
          <w:szCs w:val="32"/>
        </w:rPr>
      </w:pPr>
    </w:p>
    <w:p>
      <w:pPr>
        <w:spacing w:line="600" w:lineRule="exact"/>
        <w:rPr>
          <w:rFonts w:ascii="仿宋_GB2312" w:eastAsia="仿宋_GB2312" w:hAnsiTheme="minorHAnsi" w:cstheme="minorBidi"/>
          <w:sz w:val="32"/>
          <w:szCs w:val="32"/>
        </w:rPr>
      </w:pPr>
    </w:p>
    <w:p>
      <w:pPr>
        <w:spacing w:line="600" w:lineRule="exact"/>
        <w:ind w:firstLine="645"/>
        <w:rPr>
          <w:rFonts w:ascii="黑体" w:hAnsi="仿宋" w:eastAsia="黑体" w:cstheme="minorBidi"/>
          <w:sz w:val="32"/>
          <w:szCs w:val="32"/>
        </w:rPr>
      </w:pPr>
    </w:p>
    <w:p>
      <w:pPr>
        <w:spacing w:line="600" w:lineRule="exact"/>
        <w:ind w:firstLine="645"/>
        <w:rPr>
          <w:rFonts w:ascii="仿宋_GB2312" w:hAnsi="仿宋" w:eastAsia="仿宋_GB2312" w:cstheme="minorBidi"/>
          <w:sz w:val="32"/>
          <w:szCs w:val="32"/>
        </w:rPr>
      </w:pPr>
    </w:p>
    <w:p>
      <w:pPr>
        <w:spacing w:line="600" w:lineRule="exact"/>
        <w:ind w:right="640"/>
        <w:rPr>
          <w:rFonts w:ascii="仿宋_GB2312" w:eastAsia="仿宋_GB2312" w:hAnsiTheme="minorHAnsi" w:cstheme="minorBidi"/>
          <w:sz w:val="32"/>
          <w:szCs w:val="32"/>
        </w:rPr>
      </w:pPr>
    </w:p>
    <w:p>
      <w:pPr>
        <w:spacing w:line="600" w:lineRule="exact"/>
        <w:ind w:right="640"/>
        <w:rPr>
          <w:rFonts w:ascii="仿宋_GB2312" w:eastAsia="仿宋_GB2312" w:hAnsiTheme="minorHAnsi" w:cstheme="minorBidi"/>
          <w:sz w:val="32"/>
          <w:szCs w:val="32"/>
        </w:rPr>
      </w:pPr>
    </w:p>
    <w:p>
      <w:pPr>
        <w:spacing w:line="600" w:lineRule="exact"/>
        <w:ind w:right="640"/>
        <w:rPr>
          <w:rFonts w:ascii="仿宋_GB2312" w:eastAsia="仿宋_GB2312" w:hAnsiTheme="minorHAnsi" w:cstheme="minorBidi"/>
          <w:sz w:val="32"/>
          <w:szCs w:val="32"/>
        </w:rPr>
      </w:pPr>
    </w:p>
    <w:p>
      <w:pPr>
        <w:spacing w:line="600" w:lineRule="exact"/>
        <w:ind w:right="641"/>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jc w:val="left"/>
        <w:rPr>
          <w:rFonts w:ascii="仿宋_GB2312" w:eastAsia="仿宋_GB2312" w:hAnsiTheme="minorHAnsi" w:cstheme="minorBidi"/>
          <w:sz w:val="32"/>
          <w:szCs w:val="32"/>
        </w:rPr>
      </w:pPr>
    </w:p>
    <w:p>
      <w:pPr>
        <w:spacing w:line="600" w:lineRule="exact"/>
        <w:ind w:firstLine="280" w:firstLineChars="100"/>
        <w:jc w:val="left"/>
        <w:rPr>
          <w:rFonts w:ascii="仿宋" w:hAnsi="仿宋" w:eastAsia="仿宋"/>
          <w:w w:val="95"/>
          <w:sz w:val="28"/>
          <w:szCs w:val="28"/>
        </w:rPr>
      </w:pPr>
      <w:r>
        <w:rPr>
          <w:rFonts w:ascii="仿宋" w:hAnsi="仿宋" w:eastAsia="仿宋"/>
          <w:sz w:val="28"/>
          <w:szCs w:val="28"/>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412750</wp:posOffset>
                </wp:positionV>
                <wp:extent cx="5619750" cy="0"/>
                <wp:effectExtent l="0" t="0" r="0" b="0"/>
                <wp:wrapNone/>
                <wp:docPr id="5" name="自选图形 4"/>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4" o:spid="_x0000_s1026" o:spt="32" type="#_x0000_t32" style="position:absolute;left:0pt;margin-left:-1pt;margin-top:32.5pt;height:0pt;width:442.5pt;z-index:251660288;mso-width-relative:page;mso-height-relative:page;" filled="f" stroked="t" coordsize="21600,21600" o:gfxdata="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Pe3ZbUAAAACAEAAA8AAAAA&#10;AAAAAQAgAAAAIgAAAGRycy9kb3ducmV2LnhtbFBLAQIUABQAAAAIAIdO4kAmToq23wEAAKQDAAAO&#10;AAAAAAAAAAEAIAAAACMBAABkcnMvZTJvRG9jLnhtbFBLBQYAAAAABgAGAFkBAAB0BQAAAAA=&#10;">
                <v:fill on="f" focussize="0,0"/>
                <v:stroke weight="1pt" color="#000000" joinstyle="round"/>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86995</wp:posOffset>
                </wp:positionV>
                <wp:extent cx="5619750" cy="0"/>
                <wp:effectExtent l="0" t="0" r="0" b="0"/>
                <wp:wrapNone/>
                <wp:docPr id="4" name="自选图形 5"/>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5" o:spid="_x0000_s1026" o:spt="32" type="#_x0000_t32" style="position:absolute;left:0pt;margin-left:-1pt;margin-top:6.85pt;height:0pt;width:442.5pt;z-index:251661312;mso-width-relative:page;mso-height-relative:page;" filled="f" stroked="t" coordsize="21600,21600" o:gfxdata="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O4Nz9MAAAAIAQAADwAAAAAA&#10;AAABACAAAAAiAAAAZHJzL2Rvd25yZXYueG1sUEsBAhQAFAAAAAgAh07iQDz6D3ffAQAApAMAAA4A&#10;AAAAAAAAAQAgAAAAIgEAAGRycy9lMm9Eb2MueG1sUEsFBgAAAAAGAAYAWQEAAHMFA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2018年3月16日</w:t>
      </w:r>
    </w:p>
    <w:sectPr>
      <w:footerReference r:id="rId3" w:type="default"/>
      <w:footerReference r:id="rId4" w:type="even"/>
      <w:pgSz w:w="11906" w:h="16838"/>
      <w:pgMar w:top="2098" w:right="1474"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0000000" w:usb2="00000012"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8</w:t>
    </w:r>
    <w:r>
      <w:rPr>
        <w:sz w:val="28"/>
        <w:szCs w:val="28"/>
      </w:rPr>
      <w:fldChar w:fldCharType="end"/>
    </w:r>
    <w:r>
      <w:rPr>
        <w:sz w:val="28"/>
        <w:szCs w:val="28"/>
      </w:rPr>
      <w:t>—</w:t>
    </w:r>
    <w: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100000" w:hash="pO6PkiF65nWmDsvxE30l69x3Fs8=" w:salt="zL2zyGZZgtRKmioSfqECrg=="/>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5476C"/>
    <w:rsid w:val="00085AA0"/>
    <w:rsid w:val="000C4B9D"/>
    <w:rsid w:val="000D7743"/>
    <w:rsid w:val="00115E4D"/>
    <w:rsid w:val="00147A5D"/>
    <w:rsid w:val="001D1C69"/>
    <w:rsid w:val="00204C4F"/>
    <w:rsid w:val="0021553C"/>
    <w:rsid w:val="00217E5F"/>
    <w:rsid w:val="002527ED"/>
    <w:rsid w:val="002929F2"/>
    <w:rsid w:val="00295E51"/>
    <w:rsid w:val="00365D98"/>
    <w:rsid w:val="00381B9D"/>
    <w:rsid w:val="003F19CF"/>
    <w:rsid w:val="00402A7A"/>
    <w:rsid w:val="00406720"/>
    <w:rsid w:val="00472DE5"/>
    <w:rsid w:val="00492E83"/>
    <w:rsid w:val="004975B0"/>
    <w:rsid w:val="004A3A15"/>
    <w:rsid w:val="004B0196"/>
    <w:rsid w:val="004F1575"/>
    <w:rsid w:val="00507763"/>
    <w:rsid w:val="00553763"/>
    <w:rsid w:val="00561894"/>
    <w:rsid w:val="005A6F69"/>
    <w:rsid w:val="005B4731"/>
    <w:rsid w:val="005B4A0F"/>
    <w:rsid w:val="00605BAE"/>
    <w:rsid w:val="00640838"/>
    <w:rsid w:val="00705335"/>
    <w:rsid w:val="00726B18"/>
    <w:rsid w:val="00735751"/>
    <w:rsid w:val="00751751"/>
    <w:rsid w:val="00763467"/>
    <w:rsid w:val="00793723"/>
    <w:rsid w:val="007B7E2C"/>
    <w:rsid w:val="007D069C"/>
    <w:rsid w:val="007E2989"/>
    <w:rsid w:val="00825644"/>
    <w:rsid w:val="00863C83"/>
    <w:rsid w:val="00892034"/>
    <w:rsid w:val="008D4FAF"/>
    <w:rsid w:val="008F0027"/>
    <w:rsid w:val="008F7087"/>
    <w:rsid w:val="00924C09"/>
    <w:rsid w:val="00997A7F"/>
    <w:rsid w:val="009B12E5"/>
    <w:rsid w:val="009C0CEE"/>
    <w:rsid w:val="009F43AD"/>
    <w:rsid w:val="00A37782"/>
    <w:rsid w:val="00A47382"/>
    <w:rsid w:val="00A539F5"/>
    <w:rsid w:val="00A54B38"/>
    <w:rsid w:val="00A627A0"/>
    <w:rsid w:val="00AE6E57"/>
    <w:rsid w:val="00AF68E0"/>
    <w:rsid w:val="00B00321"/>
    <w:rsid w:val="00B00B8F"/>
    <w:rsid w:val="00B03066"/>
    <w:rsid w:val="00B041EB"/>
    <w:rsid w:val="00B13502"/>
    <w:rsid w:val="00B17AC0"/>
    <w:rsid w:val="00B600CD"/>
    <w:rsid w:val="00B67AB6"/>
    <w:rsid w:val="00B73978"/>
    <w:rsid w:val="00C20CFD"/>
    <w:rsid w:val="00C212D3"/>
    <w:rsid w:val="00C56C47"/>
    <w:rsid w:val="00C7285A"/>
    <w:rsid w:val="00CA7F16"/>
    <w:rsid w:val="00CD1726"/>
    <w:rsid w:val="00CE1BC0"/>
    <w:rsid w:val="00CF658D"/>
    <w:rsid w:val="00CF76F0"/>
    <w:rsid w:val="00D00676"/>
    <w:rsid w:val="00D17847"/>
    <w:rsid w:val="00D25606"/>
    <w:rsid w:val="00D34A71"/>
    <w:rsid w:val="00D45352"/>
    <w:rsid w:val="00D51CCE"/>
    <w:rsid w:val="00D53FE6"/>
    <w:rsid w:val="00D61CC8"/>
    <w:rsid w:val="00D66C48"/>
    <w:rsid w:val="00D847A0"/>
    <w:rsid w:val="00D8773D"/>
    <w:rsid w:val="00DB3715"/>
    <w:rsid w:val="00DD75A4"/>
    <w:rsid w:val="00E43492"/>
    <w:rsid w:val="00E54E30"/>
    <w:rsid w:val="00E70EA7"/>
    <w:rsid w:val="00E778B7"/>
    <w:rsid w:val="00E84FF1"/>
    <w:rsid w:val="00EB7FFC"/>
    <w:rsid w:val="00EC3BC9"/>
    <w:rsid w:val="00EF47C4"/>
    <w:rsid w:val="00F02924"/>
    <w:rsid w:val="00F1667E"/>
    <w:rsid w:val="00F35623"/>
    <w:rsid w:val="00F419B7"/>
    <w:rsid w:val="00F55CFB"/>
    <w:rsid w:val="00F568D1"/>
    <w:rsid w:val="00F63348"/>
    <w:rsid w:val="00F63B3D"/>
    <w:rsid w:val="00FD78F5"/>
    <w:rsid w:val="00FE04BC"/>
    <w:rsid w:val="54B1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4"/>
    <w:uiPriority w:val="0"/>
    <w:pPr>
      <w:ind w:left="100" w:leftChars="2500"/>
    </w:p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Title"/>
    <w:basedOn w:val="1"/>
    <w:next w:val="1"/>
    <w:link w:val="20"/>
    <w:qFormat/>
    <w:uiPriority w:val="10"/>
    <w:pPr>
      <w:spacing w:before="240" w:after="60"/>
      <w:jc w:val="center"/>
      <w:outlineLvl w:val="0"/>
    </w:pPr>
    <w:rPr>
      <w:rFonts w:ascii="Cambria" w:hAnsi="Cambria" w:eastAsia="仿宋_GB2312"/>
      <w:b/>
      <w:bCs/>
      <w:sz w:val="32"/>
      <w:szCs w:val="32"/>
    </w:rPr>
  </w:style>
  <w:style w:type="character" w:styleId="13">
    <w:name w:val="Strong"/>
    <w:basedOn w:val="12"/>
    <w:qFormat/>
    <w:uiPriority w:val="22"/>
    <w:rPr>
      <w:b/>
      <w:bCs/>
    </w:rPr>
  </w:style>
  <w:style w:type="paragraph" w:customStyle="1" w:styleId="15">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16">
    <w:name w:val="标头"/>
    <w:basedOn w:val="1"/>
    <w:uiPriority w:val="0"/>
    <w:rPr>
      <w:sz w:val="52"/>
      <w:u w:val="single"/>
    </w:rPr>
  </w:style>
  <w:style w:type="character" w:customStyle="1" w:styleId="17">
    <w:name w:val="页眉 Char"/>
    <w:basedOn w:val="12"/>
    <w:link w:val="8"/>
    <w:uiPriority w:val="99"/>
    <w:rPr>
      <w:kern w:val="2"/>
      <w:sz w:val="18"/>
      <w:szCs w:val="18"/>
    </w:rPr>
  </w:style>
  <w:style w:type="character" w:customStyle="1" w:styleId="18">
    <w:name w:val="页脚 Char"/>
    <w:basedOn w:val="12"/>
    <w:link w:val="7"/>
    <w:uiPriority w:val="99"/>
    <w:rPr>
      <w:kern w:val="2"/>
      <w:sz w:val="18"/>
      <w:szCs w:val="18"/>
    </w:rPr>
  </w:style>
  <w:style w:type="paragraph" w:styleId="19">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0">
    <w:name w:val="标题 Char"/>
    <w:basedOn w:val="12"/>
    <w:link w:val="11"/>
    <w:qFormat/>
    <w:uiPriority w:val="10"/>
    <w:rPr>
      <w:rFonts w:ascii="Cambria" w:hAnsi="Cambria" w:eastAsia="仿宋_GB2312"/>
      <w:b/>
      <w:bCs/>
      <w:kern w:val="2"/>
      <w:sz w:val="32"/>
      <w:szCs w:val="32"/>
    </w:rPr>
  </w:style>
  <w:style w:type="character" w:customStyle="1" w:styleId="21">
    <w:name w:val="font11"/>
    <w:basedOn w:val="12"/>
    <w:qFormat/>
    <w:uiPriority w:val="0"/>
    <w:rPr>
      <w:rFonts w:hint="eastAsia" w:ascii="仿宋_GB2312" w:eastAsia="仿宋_GB2312"/>
      <w:b/>
      <w:bCs/>
      <w:color w:val="000000"/>
      <w:sz w:val="32"/>
      <w:szCs w:val="32"/>
      <w:u w:val="none"/>
    </w:rPr>
  </w:style>
  <w:style w:type="character" w:customStyle="1" w:styleId="22">
    <w:name w:val="font21"/>
    <w:basedOn w:val="12"/>
    <w:qFormat/>
    <w:uiPriority w:val="0"/>
    <w:rPr>
      <w:rFonts w:hint="eastAsia" w:ascii="仿宋_GB2312" w:eastAsia="仿宋_GB2312"/>
      <w:color w:val="000000"/>
      <w:sz w:val="32"/>
      <w:szCs w:val="32"/>
      <w:u w:val="none"/>
    </w:rPr>
  </w:style>
  <w:style w:type="paragraph" w:styleId="23">
    <w:name w:val="List Paragraph"/>
    <w:basedOn w:val="1"/>
    <w:qFormat/>
    <w:uiPriority w:val="34"/>
    <w:pPr>
      <w:ind w:firstLine="420" w:firstLineChars="200"/>
    </w:pPr>
  </w:style>
  <w:style w:type="character" w:customStyle="1" w:styleId="24">
    <w:name w:val="日期 Char"/>
    <w:basedOn w:val="12"/>
    <w:link w:val="6"/>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C47FF-59B7-4488-AA21-55DE6A4EDC8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421</Words>
  <Characters>2406</Characters>
  <Lines>20</Lines>
  <Paragraphs>5</Paragraphs>
  <TotalTime>155</TotalTime>
  <ScaleCrop>false</ScaleCrop>
  <LinksUpToDate>false</LinksUpToDate>
  <CharactersWithSpaces>2822</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2017-08-23T07:23:00Z</dcterms:created>
  <dc:creator>陈小龙</dc:creator>
  <cp:lastModifiedBy>杨静</cp:lastModifiedBy>
  <cp:lastPrinted>2018-03-16T07:32:00Z</cp:lastPrinted>
  <dcterms:modified xsi:type="dcterms:W3CDTF">2018-11-15T10:58:16Z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