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中发展党委〔2018〕35号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ind w:firstLine="2640" w:firstLineChars="600"/>
        <w:rPr>
          <w:rFonts w:ascii="方正小标宋简体" w:hAnsi="仿宋" w:eastAsia="方正小标宋简体"/>
          <w:sz w:val="44"/>
          <w:szCs w:val="44"/>
        </w:rPr>
      </w:pPr>
    </w:p>
    <w:p>
      <w:pPr>
        <w:spacing w:line="600" w:lineRule="exact"/>
        <w:ind w:firstLine="2640" w:firstLineChars="600"/>
        <w:rPr>
          <w:rFonts w:ascii="方正小标宋简体" w:hAnsi="仿宋" w:eastAsia="方正小标宋简体"/>
          <w:sz w:val="44"/>
          <w:szCs w:val="44"/>
        </w:rPr>
      </w:pPr>
      <w:r>
        <w:rPr>
          <w:rFonts w:hint="eastAsia" w:ascii="方正小标宋简体" w:hAnsi="仿宋" w:eastAsia="方正小标宋简体"/>
          <w:sz w:val="44"/>
          <w:szCs w:val="44"/>
        </w:rPr>
        <w:t>中关村发展集团党委</w:t>
      </w:r>
    </w:p>
    <w:p>
      <w:pPr>
        <w:spacing w:line="600" w:lineRule="exact"/>
        <w:jc w:val="center"/>
        <w:rPr>
          <w:rFonts w:ascii="方正小标宋简体" w:hAnsi="仿宋" w:eastAsia="方正小标宋简体"/>
          <w:sz w:val="44"/>
          <w:szCs w:val="44"/>
        </w:rPr>
      </w:pPr>
      <w:r>
        <w:rPr>
          <w:rFonts w:hint="eastAsia" w:ascii="方正小标宋简体" w:hAnsi="仿宋" w:eastAsia="方正小标宋简体"/>
          <w:sz w:val="44"/>
          <w:szCs w:val="44"/>
        </w:rPr>
        <w:t>关于印发《中关村发展集团党委基层党组织</w:t>
      </w:r>
    </w:p>
    <w:p>
      <w:pPr>
        <w:spacing w:line="600" w:lineRule="exact"/>
        <w:jc w:val="center"/>
        <w:rPr>
          <w:rFonts w:ascii="方正小标宋简体" w:hAnsi="仿宋" w:eastAsia="方正小标宋简体"/>
          <w:sz w:val="44"/>
          <w:szCs w:val="44"/>
        </w:rPr>
      </w:pPr>
      <w:r>
        <w:rPr>
          <w:rFonts w:hint="eastAsia" w:ascii="方正小标宋简体" w:hAnsi="仿宋" w:eastAsia="方正小标宋简体"/>
          <w:sz w:val="44"/>
          <w:szCs w:val="44"/>
        </w:rPr>
        <w:t>党建工作考评暂行办法》的通知</w:t>
      </w:r>
    </w:p>
    <w:p>
      <w:pPr>
        <w:rPr>
          <w:rFonts w:ascii="仿宋" w:hAnsi="仿宋" w:eastAsia="仿宋"/>
          <w:sz w:val="32"/>
          <w:szCs w:val="32"/>
        </w:rPr>
      </w:pPr>
    </w:p>
    <w:p>
      <w:pPr>
        <w:rPr>
          <w:rFonts w:ascii="楷体" w:hAnsi="楷体" w:eastAsia="楷体"/>
          <w:sz w:val="32"/>
          <w:szCs w:val="32"/>
        </w:rPr>
      </w:pPr>
      <w:r>
        <w:rPr>
          <w:rFonts w:hint="eastAsia" w:ascii="楷体" w:hAnsi="楷体" w:eastAsia="楷体"/>
          <w:sz w:val="32"/>
          <w:szCs w:val="32"/>
        </w:rPr>
        <w:t>集团各直属党组织、区企共管企业党组织：</w:t>
      </w:r>
    </w:p>
    <w:p>
      <w:pPr>
        <w:rPr>
          <w:rFonts w:ascii="楷体" w:hAnsi="楷体" w:eastAsia="楷体"/>
          <w:sz w:val="32"/>
          <w:szCs w:val="32"/>
        </w:rPr>
      </w:pPr>
      <w:r>
        <w:rPr>
          <w:rFonts w:hint="eastAsia" w:ascii="楷体" w:hAnsi="楷体" w:eastAsia="楷体"/>
          <w:sz w:val="32"/>
          <w:szCs w:val="32"/>
        </w:rPr>
        <w:t xml:space="preserve">   《中关村发展集团党委基层党组织党建工作考评暂行办法》已经集团党委会研究讨论通过，现印发你们，请认真贯彻落实。</w:t>
      </w:r>
    </w:p>
    <w:p>
      <w:pPr>
        <w:rPr>
          <w:rFonts w:ascii="楷体" w:hAnsi="楷体" w:eastAsia="楷体"/>
          <w:sz w:val="32"/>
          <w:szCs w:val="32"/>
        </w:rPr>
      </w:pPr>
    </w:p>
    <w:p>
      <w:pPr>
        <w:rPr>
          <w:rFonts w:ascii="楷体" w:hAnsi="楷体" w:eastAsia="楷体"/>
          <w:sz w:val="32"/>
          <w:szCs w:val="32"/>
        </w:rPr>
      </w:pPr>
    </w:p>
    <w:p>
      <w:pPr>
        <w:rPr>
          <w:rFonts w:ascii="楷体" w:hAnsi="楷体" w:eastAsia="楷体"/>
          <w:sz w:val="32"/>
          <w:szCs w:val="32"/>
        </w:rPr>
      </w:pPr>
      <w:r>
        <w:rPr>
          <w:rFonts w:hint="eastAsia" w:ascii="楷体" w:hAnsi="楷体" w:eastAsia="楷体"/>
          <w:sz w:val="32"/>
          <w:szCs w:val="32"/>
        </w:rPr>
        <w:t xml:space="preserve">                        中共中关村发展集团委员会</w:t>
      </w:r>
    </w:p>
    <w:p>
      <w:pPr>
        <w:ind w:firstLine="4480" w:firstLineChars="1400"/>
        <w:rPr>
          <w:rFonts w:ascii="楷体" w:hAnsi="楷体" w:eastAsia="楷体"/>
          <w:sz w:val="32"/>
          <w:szCs w:val="32"/>
        </w:rPr>
      </w:pPr>
      <w:r>
        <w:rPr>
          <w:rFonts w:hint="eastAsia" w:ascii="楷体" w:hAnsi="楷体" w:eastAsia="楷体"/>
          <w:sz w:val="32"/>
          <w:szCs w:val="32"/>
        </w:rPr>
        <w:t>2018年10月24日</w:t>
      </w:r>
    </w:p>
    <w:p>
      <w:pPr>
        <w:widowControl/>
        <w:spacing w:line="600" w:lineRule="exact"/>
        <w:jc w:val="left"/>
        <w:rPr>
          <w:rFonts w:ascii="仿宋_GB2312" w:hAnsi="仿宋" w:eastAsia="仿宋_GB2312"/>
          <w:sz w:val="32"/>
          <w:szCs w:val="32"/>
        </w:rPr>
      </w:pPr>
    </w:p>
    <w:p>
      <w:pPr>
        <w:widowControl/>
        <w:spacing w:line="600" w:lineRule="exact"/>
        <w:jc w:val="center"/>
        <w:rPr>
          <w:rFonts w:ascii="方正小标宋简体" w:hAnsi="仿宋" w:eastAsia="方正小标宋简体"/>
          <w:kern w:val="0"/>
          <w:sz w:val="44"/>
          <w:szCs w:val="44"/>
        </w:rPr>
      </w:pPr>
      <w:r>
        <w:rPr>
          <w:rFonts w:hint="eastAsia" w:ascii="方正小标宋简体" w:hAnsi="仿宋" w:eastAsia="方正小标宋简体"/>
          <w:kern w:val="0"/>
          <w:sz w:val="44"/>
          <w:szCs w:val="44"/>
        </w:rPr>
        <w:t xml:space="preserve"> 中关村发展集团党委</w:t>
      </w:r>
    </w:p>
    <w:p>
      <w:pPr>
        <w:widowControl/>
        <w:spacing w:line="600" w:lineRule="exact"/>
        <w:jc w:val="center"/>
        <w:rPr>
          <w:rFonts w:ascii="方正小标宋简体" w:hAnsi="仿宋" w:eastAsia="方正小标宋简体"/>
          <w:kern w:val="0"/>
          <w:sz w:val="44"/>
          <w:szCs w:val="44"/>
        </w:rPr>
      </w:pPr>
      <w:r>
        <w:rPr>
          <w:rFonts w:hint="eastAsia" w:ascii="方正小标宋简体" w:hAnsi="仿宋" w:eastAsia="方正小标宋简体"/>
          <w:kern w:val="0"/>
          <w:sz w:val="44"/>
          <w:szCs w:val="44"/>
        </w:rPr>
        <w:t>基层党组织党建工作考评暂行办法</w:t>
      </w:r>
    </w:p>
    <w:p>
      <w:pPr>
        <w:widowControl/>
        <w:spacing w:before="156" w:beforeLines="50" w:after="156" w:afterLines="50" w:line="600" w:lineRule="exact"/>
        <w:contextualSpacing/>
        <w:jc w:val="center"/>
        <w:outlineLvl w:val="0"/>
        <w:rPr>
          <w:rFonts w:ascii="黑体" w:hAnsi="微软雅黑" w:eastAsia="黑体" w:cs="Arial Unicode MS"/>
          <w:kern w:val="0"/>
          <w:sz w:val="32"/>
          <w:szCs w:val="32"/>
          <w:lang w:bidi="en-US"/>
        </w:rPr>
      </w:pPr>
    </w:p>
    <w:p>
      <w:pPr>
        <w:widowControl/>
        <w:spacing w:before="156" w:beforeLines="50" w:after="156" w:afterLines="50" w:line="600" w:lineRule="exact"/>
        <w:contextualSpacing/>
        <w:jc w:val="center"/>
        <w:outlineLvl w:val="0"/>
        <w:rPr>
          <w:rFonts w:ascii="黑体" w:hAnsi="微软雅黑" w:eastAsia="黑体" w:cs="Arial Unicode MS"/>
          <w:kern w:val="0"/>
          <w:sz w:val="32"/>
          <w:szCs w:val="32"/>
          <w:lang w:bidi="en-US"/>
        </w:rPr>
      </w:pPr>
      <w:r>
        <w:rPr>
          <w:rFonts w:hint="eastAsia" w:ascii="黑体" w:hAnsi="微软雅黑" w:eastAsia="黑体" w:cs="Arial Unicode MS"/>
          <w:kern w:val="0"/>
          <w:sz w:val="32"/>
          <w:szCs w:val="32"/>
          <w:lang w:bidi="en-US"/>
        </w:rPr>
        <w:t xml:space="preserve">第一章  总 </w:t>
      </w:r>
      <w:r>
        <w:rPr>
          <w:rFonts w:ascii="黑体" w:hAnsi="微软雅黑" w:eastAsia="黑体" w:cs="Arial Unicode MS"/>
          <w:kern w:val="0"/>
          <w:sz w:val="32"/>
          <w:szCs w:val="32"/>
          <w:lang w:bidi="en-US"/>
        </w:rPr>
        <w:t xml:space="preserve"> </w:t>
      </w:r>
      <w:r>
        <w:rPr>
          <w:rFonts w:hint="eastAsia" w:ascii="黑体" w:hAnsi="微软雅黑" w:eastAsia="黑体" w:cs="Arial Unicode MS"/>
          <w:kern w:val="0"/>
          <w:sz w:val="32"/>
          <w:szCs w:val="32"/>
          <w:lang w:bidi="en-US"/>
        </w:rPr>
        <w:t>则</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第一条</w:t>
      </w:r>
      <w:r>
        <w:rPr>
          <w:rFonts w:hint="eastAsia" w:ascii="仿宋_GB2312" w:hAnsi="仿宋" w:eastAsia="仿宋_GB2312"/>
          <w:b/>
          <w:sz w:val="32"/>
          <w:szCs w:val="32"/>
        </w:rPr>
        <w:t xml:space="preserve"> </w:t>
      </w:r>
      <w:r>
        <w:rPr>
          <w:rFonts w:hint="eastAsia" w:ascii="仿宋" w:hAnsi="仿宋" w:eastAsia="仿宋"/>
          <w:sz w:val="32"/>
          <w:szCs w:val="32"/>
        </w:rPr>
        <w:t>为深入贯彻落实习近平新时代中国特色社会主义思想，深入贯彻落实党的十九大和全国国有企业党的建设工作会议精神,根据《中国共产党章程》《关于在深化国有企业改革中坚持党的领导加强党的建设的若干意见》，按照中央和市委工作要求，结合中关村发展集团实际，制定本暂行办法。</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第二条</w:t>
      </w:r>
      <w:r>
        <w:rPr>
          <w:rFonts w:hint="eastAsia" w:ascii="仿宋_GB2312" w:hAnsi="仿宋" w:eastAsia="仿宋_GB2312"/>
          <w:sz w:val="32"/>
          <w:szCs w:val="32"/>
        </w:rPr>
        <w:t xml:space="preserve">  </w:t>
      </w:r>
      <w:r>
        <w:rPr>
          <w:rFonts w:hint="eastAsia" w:ascii="仿宋" w:hAnsi="仿宋" w:eastAsia="仿宋"/>
          <w:sz w:val="32"/>
          <w:szCs w:val="32"/>
        </w:rPr>
        <w:t>考评工作的指导思想是：深入学习贯彻党的十九大精神和习近平新时代中国特色社会主义思想，坚定不移推进全面从严治党向基层延伸，督促落实党委主体责任，进一步发挥集团党委领导作用，把方向、管大局、保落实。全面推进党的政治建设、思想建设、组织建设、作风建设、纪律建设，把制度建设贯穿其中，深入推进反腐败斗争，努力把基层党组织建设成为推动科学发展的坚强堡垒，为集团深化改革转型发展和服务科技创新中心建设提供坚强组织保证。</w:t>
      </w:r>
    </w:p>
    <w:p>
      <w:pPr>
        <w:spacing w:line="600" w:lineRule="exact"/>
        <w:ind w:firstLine="640" w:firstLineChars="200"/>
        <w:rPr>
          <w:rFonts w:ascii="仿宋" w:hAnsi="仿宋" w:eastAsia="仿宋"/>
          <w:sz w:val="32"/>
          <w:szCs w:val="32"/>
        </w:rPr>
      </w:pPr>
      <w:r>
        <w:rPr>
          <w:rFonts w:hint="eastAsia" w:ascii="黑体" w:hAnsi="黑体" w:eastAsia="黑体" w:cs="仿宋_GB2312"/>
          <w:sz w:val="32"/>
          <w:szCs w:val="32"/>
        </w:rPr>
        <w:t xml:space="preserve">第三条 </w:t>
      </w:r>
      <w:r>
        <w:rPr>
          <w:rFonts w:hint="eastAsia" w:ascii="仿宋_GB2312" w:hAnsi="仿宋_GB2312" w:eastAsia="仿宋_GB2312" w:cs="仿宋_GB2312"/>
          <w:sz w:val="32"/>
          <w:szCs w:val="32"/>
        </w:rPr>
        <w:t xml:space="preserve"> </w:t>
      </w:r>
      <w:r>
        <w:rPr>
          <w:rFonts w:hint="eastAsia" w:ascii="仿宋" w:hAnsi="仿宋" w:eastAsia="仿宋"/>
          <w:sz w:val="32"/>
          <w:szCs w:val="32"/>
        </w:rPr>
        <w:t>考评工作遵循的原则：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（一）坚持从严治党。以严的标准、严的制度、严的考核，做到落实党要管党、从严治党，全面加强党的建设，做到定位准确、目标清晰、任务明确、重点突出，充分发挥党组织和党员作用。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（二）坚持问题导向。敢于正视问题、善于发现问题、积极解决问题，着力解决集团党建工作的突出问题，在解决问题中补齐短板，在有效施策中提升水平。</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（三）坚持求实求效。落实考评标准科学化、考评内容规范化、考评工作程序化，确保考评体系实用、管用、易用，促进党建工作融入中心、引领发展，不断提升党建工作绩效。</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（四）坚持客观公正。做到定量与定性考核结合、过程与结果评价兼顾，实事求是评价党建工作成效，确保考评工作公正、公开、公平，考评激励约束及时、有力、有效，维护考评制度的严肃性和权威性。</w:t>
      </w:r>
    </w:p>
    <w:p>
      <w:pPr>
        <w:snapToGrid w:val="0"/>
        <w:spacing w:line="600" w:lineRule="exact"/>
        <w:ind w:firstLine="640" w:firstLineChars="200"/>
        <w:rPr>
          <w:rFonts w:ascii="黑体" w:hAnsi="微软雅黑" w:eastAsia="黑体" w:cs="Arial Unicode MS"/>
          <w:kern w:val="0"/>
          <w:sz w:val="32"/>
          <w:szCs w:val="32"/>
          <w:lang w:bidi="en-US"/>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w:t>
      </w:r>
      <w:r>
        <w:rPr>
          <w:rFonts w:hint="eastAsia" w:ascii="仿宋" w:hAnsi="仿宋" w:eastAsia="仿宋"/>
          <w:sz w:val="32"/>
          <w:szCs w:val="32"/>
        </w:rPr>
        <w:t>本暂行办法适用于党组织关系在集团的全资、控股子公司、实际控制的参股子公司以及由集团直接管理的其他层级子公司（以下简称子公司）党组织和集团总部各党组织</w:t>
      </w:r>
      <w:r>
        <w:rPr>
          <w:rFonts w:ascii="仿宋" w:hAnsi="仿宋" w:eastAsia="仿宋"/>
          <w:sz w:val="32"/>
          <w:szCs w:val="32"/>
        </w:rPr>
        <w:t>。</w:t>
      </w:r>
      <w:r>
        <w:rPr>
          <w:rFonts w:hint="eastAsia" w:ascii="仿宋" w:hAnsi="仿宋" w:eastAsia="仿宋"/>
          <w:sz w:val="32"/>
          <w:szCs w:val="32"/>
        </w:rPr>
        <w:t>区企共管子公司党建工作考评参照执行</w:t>
      </w:r>
      <w:r>
        <w:rPr>
          <w:rFonts w:hint="eastAsia" w:ascii="仿宋_GB2312" w:hAnsi="仿宋_GB2312" w:eastAsia="仿宋_GB2312" w:cs="仿宋_GB2312"/>
          <w:sz w:val="32"/>
          <w:szCs w:val="32"/>
        </w:rPr>
        <w:t>。</w:t>
      </w:r>
    </w:p>
    <w:p>
      <w:pPr>
        <w:widowControl/>
        <w:spacing w:before="156" w:beforeLines="50" w:after="156" w:afterLines="50" w:line="600" w:lineRule="exact"/>
        <w:contextualSpacing/>
        <w:jc w:val="center"/>
        <w:outlineLvl w:val="0"/>
        <w:rPr>
          <w:rFonts w:ascii="黑体" w:hAnsi="微软雅黑" w:eastAsia="黑体" w:cs="Arial Unicode MS"/>
          <w:kern w:val="0"/>
          <w:sz w:val="32"/>
          <w:szCs w:val="32"/>
          <w:lang w:bidi="en-US"/>
        </w:rPr>
      </w:pPr>
      <w:r>
        <w:rPr>
          <w:rFonts w:ascii="黑体" w:hAnsi="微软雅黑" w:eastAsia="黑体" w:cs="Arial Unicode MS"/>
          <w:kern w:val="0"/>
          <w:sz w:val="32"/>
          <w:szCs w:val="32"/>
          <w:lang w:bidi="en-US"/>
        </w:rPr>
        <w:t xml:space="preserve">第二章 </w:t>
      </w:r>
      <w:r>
        <w:rPr>
          <w:rFonts w:hint="eastAsia" w:ascii="黑体" w:hAnsi="微软雅黑" w:eastAsia="黑体" w:cs="Arial Unicode MS"/>
          <w:kern w:val="0"/>
          <w:sz w:val="32"/>
          <w:szCs w:val="32"/>
          <w:lang w:bidi="en-US"/>
        </w:rPr>
        <w:t>考评组织管理</w:t>
      </w:r>
    </w:p>
    <w:p>
      <w:pPr>
        <w:snapToGrid w:val="0"/>
        <w:spacing w:line="600" w:lineRule="exact"/>
        <w:ind w:firstLine="640" w:firstLineChars="200"/>
        <w:rPr>
          <w:rFonts w:ascii="仿宋" w:hAnsi="仿宋" w:eastAsia="仿宋"/>
          <w:sz w:val="32"/>
          <w:szCs w:val="32"/>
        </w:rPr>
      </w:pPr>
      <w:r>
        <w:rPr>
          <w:rFonts w:ascii="黑体" w:hAnsi="黑体" w:eastAsia="黑体"/>
          <w:bCs/>
          <w:sz w:val="32"/>
          <w:szCs w:val="32"/>
        </w:rPr>
        <w:t>第</w:t>
      </w:r>
      <w:r>
        <w:rPr>
          <w:rFonts w:hint="eastAsia" w:ascii="黑体" w:hAnsi="黑体" w:eastAsia="黑体"/>
          <w:bCs/>
          <w:sz w:val="32"/>
          <w:szCs w:val="32"/>
        </w:rPr>
        <w:t>五</w:t>
      </w:r>
      <w:r>
        <w:rPr>
          <w:rFonts w:ascii="黑体" w:hAnsi="黑体" w:eastAsia="黑体"/>
          <w:bCs/>
          <w:sz w:val="32"/>
          <w:szCs w:val="32"/>
        </w:rPr>
        <w:t>条</w:t>
      </w:r>
      <w:r>
        <w:rPr>
          <w:rFonts w:ascii="仿宋_GB2312" w:hAnsi="仿宋" w:eastAsia="仿宋_GB2312"/>
          <w:sz w:val="32"/>
          <w:szCs w:val="32"/>
        </w:rPr>
        <w:t xml:space="preserve"> </w:t>
      </w:r>
      <w:r>
        <w:rPr>
          <w:rFonts w:hint="eastAsia" w:ascii="仿宋" w:hAnsi="仿宋" w:eastAsia="仿宋"/>
          <w:sz w:val="32"/>
          <w:szCs w:val="32"/>
        </w:rPr>
        <w:t>集团党的建设工作领导小组（简称“领导小组”）全面负责党建工作考评。领导小组办公室负责党建工作考评的日常工作和牵头协调工作。</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集团各子公司基层党组织和集团总部党组织根据本暂行办法，提供考评所需的相关文件、资料，配合考评工作的组织与实施。</w:t>
      </w:r>
    </w:p>
    <w:p>
      <w:pPr>
        <w:snapToGrid w:val="0"/>
        <w:spacing w:line="600" w:lineRule="exact"/>
        <w:ind w:firstLine="640" w:firstLineChars="200"/>
        <w:rPr>
          <w:rFonts w:ascii="仿宋" w:hAnsi="仿宋" w:eastAsia="仿宋"/>
          <w:sz w:val="32"/>
          <w:szCs w:val="32"/>
        </w:rPr>
      </w:pPr>
      <w:r>
        <w:rPr>
          <w:rFonts w:ascii="黑体" w:hAnsi="黑体" w:eastAsia="黑体"/>
          <w:bCs/>
          <w:sz w:val="32"/>
          <w:szCs w:val="32"/>
        </w:rPr>
        <w:t>第</w:t>
      </w:r>
      <w:r>
        <w:rPr>
          <w:rFonts w:hint="eastAsia" w:ascii="黑体" w:hAnsi="黑体" w:eastAsia="黑体"/>
          <w:bCs/>
          <w:sz w:val="32"/>
          <w:szCs w:val="32"/>
        </w:rPr>
        <w:t>六</w:t>
      </w:r>
      <w:r>
        <w:rPr>
          <w:rFonts w:ascii="黑体" w:hAnsi="黑体" w:eastAsia="黑体"/>
          <w:bCs/>
          <w:sz w:val="32"/>
          <w:szCs w:val="32"/>
        </w:rPr>
        <w:t>条</w:t>
      </w:r>
      <w:r>
        <w:rPr>
          <w:rFonts w:hint="eastAsia" w:ascii="仿宋_GB2312" w:hAnsi="仿宋" w:eastAsia="仿宋_GB2312"/>
          <w:sz w:val="32"/>
          <w:szCs w:val="32"/>
        </w:rPr>
        <w:t xml:space="preserve"> </w:t>
      </w:r>
      <w:r>
        <w:rPr>
          <w:rFonts w:ascii="仿宋" w:hAnsi="仿宋" w:eastAsia="仿宋"/>
          <w:sz w:val="32"/>
          <w:szCs w:val="32"/>
        </w:rPr>
        <w:t>集团党委</w:t>
      </w:r>
      <w:r>
        <w:rPr>
          <w:rFonts w:hint="eastAsia" w:ascii="仿宋" w:hAnsi="仿宋" w:eastAsia="仿宋"/>
          <w:sz w:val="32"/>
          <w:szCs w:val="32"/>
        </w:rPr>
        <w:t>会</w:t>
      </w:r>
      <w:r>
        <w:rPr>
          <w:rFonts w:ascii="仿宋" w:hAnsi="仿宋" w:eastAsia="仿宋"/>
          <w:sz w:val="32"/>
          <w:szCs w:val="32"/>
        </w:rPr>
        <w:t>负责</w:t>
      </w:r>
      <w:r>
        <w:rPr>
          <w:rFonts w:hint="eastAsia" w:ascii="仿宋" w:hAnsi="仿宋" w:eastAsia="仿宋"/>
          <w:sz w:val="32"/>
          <w:szCs w:val="32"/>
        </w:rPr>
        <w:t>审定党建工作考评制度和最终考评</w:t>
      </w:r>
      <w:r>
        <w:rPr>
          <w:rFonts w:ascii="仿宋" w:hAnsi="仿宋" w:eastAsia="仿宋"/>
          <w:sz w:val="32"/>
          <w:szCs w:val="32"/>
        </w:rPr>
        <w:t>结果。</w:t>
      </w:r>
    </w:p>
    <w:p>
      <w:pPr>
        <w:snapToGrid w:val="0"/>
        <w:spacing w:line="600" w:lineRule="exact"/>
        <w:ind w:firstLine="640" w:firstLineChars="200"/>
        <w:jc w:val="center"/>
        <w:rPr>
          <w:rFonts w:ascii="黑体" w:hAnsi="宋体" w:eastAsia="黑体"/>
          <w:sz w:val="32"/>
          <w:szCs w:val="32"/>
        </w:rPr>
      </w:pPr>
      <w:r>
        <w:rPr>
          <w:rFonts w:ascii="黑体" w:hAnsi="宋体" w:eastAsia="黑体"/>
          <w:sz w:val="32"/>
          <w:szCs w:val="32"/>
        </w:rPr>
        <w:t xml:space="preserve">第三章 </w:t>
      </w:r>
      <w:r>
        <w:rPr>
          <w:rFonts w:hint="eastAsia" w:ascii="黑体" w:hAnsi="宋体" w:eastAsia="黑体"/>
          <w:sz w:val="32"/>
          <w:szCs w:val="32"/>
        </w:rPr>
        <w:t>考评</w:t>
      </w:r>
      <w:r>
        <w:rPr>
          <w:rFonts w:ascii="黑体" w:hAnsi="宋体" w:eastAsia="黑体"/>
          <w:sz w:val="32"/>
          <w:szCs w:val="32"/>
        </w:rPr>
        <w:t>内容</w:t>
      </w:r>
    </w:p>
    <w:p>
      <w:pPr>
        <w:spacing w:line="600" w:lineRule="exact"/>
        <w:ind w:firstLine="640" w:firstLineChars="200"/>
        <w:rPr>
          <w:rFonts w:ascii="仿宋" w:hAnsi="仿宋" w:eastAsia="仿宋"/>
          <w:sz w:val="32"/>
          <w:szCs w:val="32"/>
        </w:rPr>
      </w:pPr>
      <w:r>
        <w:rPr>
          <w:rFonts w:ascii="黑体" w:hAnsi="黑体" w:eastAsia="黑体"/>
          <w:bCs/>
          <w:sz w:val="32"/>
          <w:szCs w:val="32"/>
        </w:rPr>
        <w:t>第</w:t>
      </w:r>
      <w:r>
        <w:rPr>
          <w:rFonts w:hint="eastAsia" w:ascii="黑体" w:hAnsi="黑体" w:eastAsia="黑体"/>
          <w:bCs/>
          <w:sz w:val="32"/>
          <w:szCs w:val="32"/>
        </w:rPr>
        <w:t>七</w:t>
      </w:r>
      <w:r>
        <w:rPr>
          <w:rFonts w:ascii="黑体" w:hAnsi="黑体" w:eastAsia="黑体"/>
          <w:bCs/>
          <w:sz w:val="32"/>
          <w:szCs w:val="32"/>
        </w:rPr>
        <w:t>条</w:t>
      </w:r>
      <w:r>
        <w:rPr>
          <w:rFonts w:hint="eastAsia" w:ascii="仿宋_GB2312" w:hAnsi="仿宋" w:eastAsia="仿宋_GB2312"/>
          <w:b/>
          <w:bCs/>
          <w:sz w:val="32"/>
          <w:szCs w:val="32"/>
        </w:rPr>
        <w:t xml:space="preserve"> </w:t>
      </w:r>
      <w:r>
        <w:rPr>
          <w:rFonts w:hint="eastAsia" w:ascii="仿宋" w:hAnsi="仿宋" w:eastAsia="仿宋"/>
          <w:sz w:val="32"/>
          <w:szCs w:val="32"/>
        </w:rPr>
        <w:t>按照</w:t>
      </w:r>
      <w:r>
        <w:rPr>
          <w:rFonts w:ascii="仿宋" w:hAnsi="仿宋" w:eastAsia="仿宋"/>
          <w:sz w:val="32"/>
          <w:szCs w:val="32"/>
        </w:rPr>
        <w:t>“</w:t>
      </w:r>
      <w:r>
        <w:rPr>
          <w:rFonts w:hint="eastAsia" w:ascii="仿宋" w:hAnsi="仿宋" w:eastAsia="仿宋"/>
          <w:sz w:val="32"/>
          <w:szCs w:val="32"/>
        </w:rPr>
        <w:t>一查</w:t>
      </w:r>
      <w:r>
        <w:rPr>
          <w:rFonts w:ascii="仿宋" w:hAnsi="仿宋" w:eastAsia="仿宋"/>
          <w:sz w:val="32"/>
          <w:szCs w:val="32"/>
        </w:rPr>
        <w:t>一评一述</w:t>
      </w:r>
      <w:r>
        <w:rPr>
          <w:rFonts w:hint="eastAsia" w:ascii="仿宋" w:hAnsi="仿宋" w:eastAsia="仿宋"/>
          <w:sz w:val="32"/>
          <w:szCs w:val="32"/>
        </w:rPr>
        <w:t>一测</w:t>
      </w:r>
      <w:r>
        <w:rPr>
          <w:rFonts w:ascii="仿宋" w:hAnsi="仿宋" w:eastAsia="仿宋"/>
          <w:sz w:val="32"/>
          <w:szCs w:val="32"/>
        </w:rPr>
        <w:t>”方式</w:t>
      </w:r>
      <w:r>
        <w:rPr>
          <w:rFonts w:hint="eastAsia" w:ascii="仿宋" w:hAnsi="仿宋" w:eastAsia="仿宋"/>
          <w:sz w:val="32"/>
          <w:szCs w:val="32"/>
        </w:rPr>
        <w:t>进行考评，考评内容及权重如下：</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“一查”“一评”即先由基层党组织进行自查，再由领导小组办公室进行现场考评，权重60%。</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“一述”即基层党建述职评议考核，权重20%。</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“一测”即党建工作满意度测评（结合子公司领导班子和领导干部民主测评工作一并开展），权重20%。</w:t>
      </w:r>
    </w:p>
    <w:p>
      <w:pPr>
        <w:spacing w:line="600" w:lineRule="exact"/>
        <w:ind w:firstLine="640" w:firstLineChars="200"/>
        <w:rPr>
          <w:rFonts w:ascii="仿宋_GB2312" w:hAnsi="仿宋" w:eastAsia="仿宋_GB2312"/>
          <w:b/>
          <w:bCs/>
          <w:sz w:val="32"/>
          <w:szCs w:val="32"/>
        </w:rPr>
      </w:pPr>
      <w:r>
        <w:rPr>
          <w:rFonts w:hint="eastAsia" w:ascii="黑体" w:hAnsi="黑体" w:eastAsia="黑体"/>
          <w:sz w:val="32"/>
          <w:szCs w:val="32"/>
        </w:rPr>
        <w:t>第八条</w:t>
      </w:r>
      <w:r>
        <w:rPr>
          <w:rFonts w:hint="eastAsia" w:ascii="仿宋_GB2312" w:hAnsi="仿宋" w:eastAsia="仿宋_GB2312"/>
          <w:sz w:val="32"/>
          <w:szCs w:val="32"/>
        </w:rPr>
        <w:t xml:space="preserve"> </w:t>
      </w:r>
      <w:r>
        <w:rPr>
          <w:rFonts w:hint="eastAsia" w:ascii="仿宋" w:hAnsi="仿宋" w:eastAsia="仿宋"/>
          <w:sz w:val="32"/>
          <w:szCs w:val="32"/>
        </w:rPr>
        <w:t>考评具体内容紧扣党的建设工作重点任务和日常工作部署，主要包括思想政治工作、组织工作、宣传工作、纪检监察工作、群团工作、信访维稳工作、制度建设等七个方面，每个方面占一定权重分值。具体考评项目及考评标准另行下发《中关村发展集团党委基层党组织党建工作考评实施方案》（简称《实施方案》）。《实施方案》将根据上级党组织、集团党委的年度重点工作安排按年度进行动态调整。</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第九条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w:t>
      </w:r>
      <w:r>
        <w:rPr>
          <w:rFonts w:hint="eastAsia" w:ascii="仿宋" w:hAnsi="仿宋" w:eastAsia="仿宋"/>
          <w:sz w:val="32"/>
          <w:szCs w:val="32"/>
        </w:rPr>
        <w:t>子公司党组织在日常工作中积极探索新举措、新方法、新机制，取得突出工作成效，或者本单位党建工作获得年度省（市）级（含）以上相关荣誉的，经过认定可适当予以加分。如子公司出现党风廉政、信访维稳等方面的重大问题，经核实后对考评分数适当扣减。</w:t>
      </w:r>
    </w:p>
    <w:p>
      <w:pPr>
        <w:widowControl/>
        <w:spacing w:before="156" w:beforeLines="50" w:after="156" w:afterLines="50" w:line="600" w:lineRule="exact"/>
        <w:contextualSpacing/>
        <w:jc w:val="center"/>
        <w:outlineLvl w:val="0"/>
        <w:rPr>
          <w:rFonts w:ascii="黑体" w:hAnsi="微软雅黑" w:eastAsia="黑体" w:cs="Arial Unicode MS"/>
          <w:kern w:val="0"/>
          <w:sz w:val="32"/>
          <w:szCs w:val="32"/>
          <w:lang w:bidi="en-US"/>
        </w:rPr>
      </w:pPr>
      <w:r>
        <w:rPr>
          <w:rFonts w:hint="eastAsia" w:ascii="黑体" w:hAnsi="微软雅黑" w:eastAsia="黑体" w:cs="Arial Unicode MS"/>
          <w:kern w:val="0"/>
          <w:sz w:val="32"/>
          <w:szCs w:val="32"/>
          <w:lang w:bidi="en-US"/>
        </w:rPr>
        <w:t>第四章  考评程序</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第十条</w:t>
      </w:r>
      <w:r>
        <w:rPr>
          <w:rFonts w:hint="eastAsia" w:ascii="仿宋_GB2312" w:hAnsi="仿宋" w:eastAsia="仿宋_GB2312"/>
          <w:b/>
          <w:sz w:val="32"/>
          <w:szCs w:val="32"/>
        </w:rPr>
        <w:t xml:space="preserve">  </w:t>
      </w:r>
      <w:r>
        <w:rPr>
          <w:rFonts w:hint="eastAsia" w:ascii="仿宋" w:hAnsi="仿宋" w:eastAsia="仿宋"/>
          <w:sz w:val="32"/>
          <w:szCs w:val="32"/>
        </w:rPr>
        <w:t>考评工作按照下列程序进行：</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（一）实施督查督导。对集团各基层党组织党建工作进行调研，了解、掌握各基层党组织日常工作开展情况，结合日常工作和重点任务的开展，对所考评的内容进行督查督导。</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（二）下发考评事项。10月底前，结合上一年度考评情况和年度集团党建重点工作任务，领导小组办公室修订完善《实施方案》下发各基层党组织。</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（三）进行自查评分。11月底前，各基层党组织按照《实施方案》进行自查，得出自查分数，并上报自查报告及年度工作总结。</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（四）开展检查评价。12月底前，领导小组办公室对基层党组织自查情况进行复核，并派出考评组，采取听取汇报、查阅材料、实地考察、座谈听取党员群众意见等方式进行现场检查。</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（五）开展述职评议。次年1月底前，组织开展基层党建述职评议考核，集中听取直属党组织书记述职汇报并进行点评，形成测评成绩。</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（六）开展满意度测评。次年1月底前，结合子公司领导班子和领导干部民主测评工作开展党建工作满意度测评。</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七）形成考评结果。次年1月底前，综合督导督查情况、考评组现场检查成绩、基层党建述职评议考核和党建工作满意度测评结果，对各基层党组织考评情况进行汇总排序，召开集团领导小组会议，研究提出考评意见，报集团党委审定，形成考评结果。</w:t>
      </w:r>
    </w:p>
    <w:p>
      <w:pPr>
        <w:widowControl/>
        <w:spacing w:before="156" w:beforeLines="50" w:after="156" w:afterLines="50" w:line="600" w:lineRule="exact"/>
        <w:contextualSpacing/>
        <w:jc w:val="center"/>
        <w:outlineLvl w:val="0"/>
        <w:rPr>
          <w:rFonts w:ascii="黑体" w:hAnsi="微软雅黑" w:eastAsia="黑体" w:cs="Arial Unicode MS"/>
          <w:kern w:val="0"/>
          <w:sz w:val="32"/>
          <w:szCs w:val="32"/>
          <w:lang w:bidi="en-US"/>
        </w:rPr>
      </w:pPr>
      <w:r>
        <w:rPr>
          <w:rFonts w:hint="eastAsia" w:ascii="黑体" w:hAnsi="微软雅黑" w:eastAsia="黑体" w:cs="Arial Unicode MS"/>
          <w:kern w:val="0"/>
          <w:sz w:val="32"/>
          <w:szCs w:val="32"/>
          <w:lang w:bidi="en-US"/>
        </w:rPr>
        <w:t>第五章  考评计分</w:t>
      </w:r>
    </w:p>
    <w:p>
      <w:pPr>
        <w:adjustRightInd w:val="0"/>
        <w:snapToGrid w:val="0"/>
        <w:spacing w:line="600" w:lineRule="exact"/>
        <w:ind w:firstLine="640" w:firstLineChars="200"/>
        <w:rPr>
          <w:rFonts w:ascii="仿宋" w:hAnsi="仿宋" w:eastAsia="仿宋"/>
          <w:sz w:val="32"/>
          <w:szCs w:val="32"/>
        </w:rPr>
      </w:pPr>
      <w:r>
        <w:rPr>
          <w:rFonts w:hint="eastAsia" w:ascii="黑体" w:hAnsi="黑体" w:eastAsia="黑体"/>
          <w:bCs/>
          <w:sz w:val="32"/>
          <w:szCs w:val="32"/>
        </w:rPr>
        <w:t>第十一条</w:t>
      </w:r>
      <w:r>
        <w:rPr>
          <w:rFonts w:hint="eastAsia" w:ascii="仿宋_GB2312" w:hAnsi="仿宋" w:eastAsia="仿宋_GB2312"/>
          <w:b/>
          <w:bCs/>
          <w:sz w:val="32"/>
          <w:szCs w:val="32"/>
        </w:rPr>
        <w:t xml:space="preserve">  </w:t>
      </w:r>
      <w:r>
        <w:rPr>
          <w:rFonts w:hint="eastAsia" w:ascii="仿宋" w:hAnsi="仿宋" w:eastAsia="仿宋"/>
          <w:sz w:val="32"/>
          <w:szCs w:val="32"/>
        </w:rPr>
        <w:t>考评分值为百分制。子公司党建考评得分计算方法为：考评总得分＝党建工作考评得分×60%+基层党建述职评议考核得分×20%+党建工作满意度测评得分×20%，专项加、减分成绩据实另行计入总成绩。</w:t>
      </w:r>
    </w:p>
    <w:p>
      <w:pPr>
        <w:widowControl/>
        <w:spacing w:before="156" w:beforeLines="50" w:after="156" w:afterLines="50" w:line="600" w:lineRule="exact"/>
        <w:contextualSpacing/>
        <w:jc w:val="center"/>
        <w:outlineLvl w:val="0"/>
        <w:rPr>
          <w:rFonts w:ascii="黑体" w:hAnsi="微软雅黑" w:eastAsia="黑体" w:cs="Arial Unicode MS"/>
          <w:kern w:val="0"/>
          <w:sz w:val="32"/>
          <w:szCs w:val="32"/>
          <w:lang w:bidi="en-US"/>
        </w:rPr>
      </w:pPr>
      <w:r>
        <w:rPr>
          <w:rFonts w:hint="eastAsia" w:ascii="黑体" w:hAnsi="微软雅黑" w:eastAsia="黑体" w:cs="Arial Unicode MS"/>
          <w:kern w:val="0"/>
          <w:sz w:val="32"/>
          <w:szCs w:val="32"/>
          <w:lang w:bidi="en-US"/>
        </w:rPr>
        <w:t>第六章  考评结果运用</w:t>
      </w:r>
    </w:p>
    <w:p>
      <w:pPr>
        <w:spacing w:line="600" w:lineRule="exact"/>
        <w:ind w:firstLine="640" w:firstLineChars="200"/>
        <w:rPr>
          <w:rFonts w:ascii="仿宋_GB2312" w:hAnsi="Calibri" w:eastAsia="仿宋_GB2312"/>
          <w:sz w:val="32"/>
          <w:szCs w:val="32"/>
        </w:rPr>
      </w:pP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w:t>
      </w:r>
      <w:r>
        <w:rPr>
          <w:rFonts w:hint="eastAsia" w:ascii="仿宋" w:hAnsi="仿宋" w:eastAsia="仿宋"/>
          <w:sz w:val="32"/>
          <w:szCs w:val="32"/>
        </w:rPr>
        <w:t>考评结果与子公司经营业绩考核相关联，考评得分占机构考核整体得分的比重为20%。同时与集团党委评先评优、干部管理、日常管理和党支部评星定级等工作联动。</w:t>
      </w:r>
    </w:p>
    <w:p>
      <w:pPr>
        <w:snapToGrid w:val="0"/>
        <w:spacing w:line="600" w:lineRule="exact"/>
        <w:ind w:firstLine="640" w:firstLineChars="200"/>
        <w:rPr>
          <w:rFonts w:ascii="仿宋_GB2312" w:hAnsi="仿宋" w:eastAsia="仿宋_GB2312"/>
          <w:b/>
          <w:bCs/>
          <w:sz w:val="32"/>
          <w:szCs w:val="32"/>
        </w:rPr>
      </w:pPr>
      <w:r>
        <w:rPr>
          <w:rFonts w:hint="eastAsia" w:ascii="黑体" w:hAnsi="黑体" w:eastAsia="黑体" w:cs="仿宋_GB2312"/>
          <w:sz w:val="32"/>
          <w:szCs w:val="32"/>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 w:hAnsi="仿宋" w:eastAsia="仿宋"/>
          <w:sz w:val="32"/>
          <w:szCs w:val="32"/>
        </w:rPr>
        <w:t>考评结果设四个等级，分别是：优秀（95分及以上）、良好（85-94分，含85分）、一般（70-84分，含70分）、较差（70分以下）。</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 xml:space="preserve">第十四条 </w:t>
      </w:r>
      <w:r>
        <w:rPr>
          <w:rFonts w:hint="eastAsia" w:ascii="仿宋_GB2312" w:hAnsi="Calibri" w:eastAsia="仿宋_GB2312"/>
          <w:sz w:val="32"/>
          <w:szCs w:val="32"/>
        </w:rPr>
        <w:t xml:space="preserve"> </w:t>
      </w:r>
      <w:r>
        <w:rPr>
          <w:rFonts w:hint="eastAsia" w:ascii="仿宋" w:hAnsi="仿宋" w:eastAsia="仿宋"/>
          <w:sz w:val="32"/>
          <w:szCs w:val="32"/>
        </w:rPr>
        <w:t>按照A+ABC四个档级分类管理。A+类考核为“优秀”，列为“树优”对象，对内重点宣传推广，对外推荐参加更高层次的先进组织评选。A类考核为“良好”，列为“育优”对象，组织对其指导提升。B类考核为“一般”，对其进行个性化指导，帮助整改提高。C类考核为“较差”，对其进行调整、督导，重点帮扶，限期整改，对党组织负责人采取批评教育、诫勉谈话、干部调整等组织措施。</w:t>
      </w:r>
    </w:p>
    <w:p>
      <w:pPr>
        <w:widowControl/>
        <w:spacing w:before="156" w:beforeLines="50" w:after="156" w:afterLines="50" w:line="600" w:lineRule="exact"/>
        <w:contextualSpacing/>
        <w:jc w:val="center"/>
        <w:outlineLvl w:val="0"/>
        <w:rPr>
          <w:rFonts w:ascii="黑体" w:hAnsi="微软雅黑" w:eastAsia="黑体" w:cs="Arial Unicode MS"/>
          <w:kern w:val="0"/>
          <w:sz w:val="32"/>
          <w:szCs w:val="32"/>
          <w:lang w:bidi="en-US"/>
        </w:rPr>
      </w:pPr>
      <w:r>
        <w:rPr>
          <w:rFonts w:ascii="黑体" w:hAnsi="微软雅黑" w:eastAsia="黑体" w:cs="Arial Unicode MS"/>
          <w:kern w:val="0"/>
          <w:sz w:val="32"/>
          <w:szCs w:val="32"/>
          <w:lang w:bidi="en-US"/>
        </w:rPr>
        <w:t>第</w:t>
      </w:r>
      <w:r>
        <w:rPr>
          <w:rFonts w:hint="eastAsia" w:ascii="黑体" w:hAnsi="微软雅黑" w:eastAsia="黑体" w:cs="Arial Unicode MS"/>
          <w:kern w:val="0"/>
          <w:sz w:val="32"/>
          <w:szCs w:val="32"/>
          <w:lang w:bidi="en-US"/>
        </w:rPr>
        <w:t>七</w:t>
      </w:r>
      <w:r>
        <w:rPr>
          <w:rFonts w:ascii="黑体" w:hAnsi="微软雅黑" w:eastAsia="黑体" w:cs="Arial Unicode MS"/>
          <w:kern w:val="0"/>
          <w:sz w:val="32"/>
          <w:szCs w:val="32"/>
          <w:lang w:bidi="en-US"/>
        </w:rPr>
        <w:t>章 附则</w:t>
      </w:r>
    </w:p>
    <w:p>
      <w:pPr>
        <w:spacing w:line="600" w:lineRule="exact"/>
        <w:ind w:firstLine="640" w:firstLineChars="200"/>
        <w:rPr>
          <w:rFonts w:ascii="仿宋_GB2312" w:hAnsi="Calibri" w:eastAsia="仿宋_GB2312"/>
          <w:sz w:val="32"/>
          <w:szCs w:val="32"/>
        </w:rPr>
      </w:pPr>
      <w:r>
        <w:rPr>
          <w:rFonts w:ascii="黑体" w:hAnsi="黑体" w:eastAsia="黑体"/>
          <w:bCs/>
          <w:sz w:val="32"/>
          <w:szCs w:val="32"/>
        </w:rPr>
        <w:t>第十</w:t>
      </w:r>
      <w:r>
        <w:rPr>
          <w:rFonts w:hint="eastAsia" w:ascii="黑体" w:hAnsi="黑体" w:eastAsia="黑体"/>
          <w:bCs/>
          <w:sz w:val="32"/>
          <w:szCs w:val="32"/>
        </w:rPr>
        <w:t>五</w:t>
      </w:r>
      <w:r>
        <w:rPr>
          <w:rFonts w:ascii="黑体" w:hAnsi="黑体" w:eastAsia="黑体"/>
          <w:bCs/>
          <w:sz w:val="32"/>
          <w:szCs w:val="32"/>
        </w:rPr>
        <w:t>条</w:t>
      </w:r>
      <w:r>
        <w:rPr>
          <w:rFonts w:ascii="仿宋_GB2312" w:hAnsi="Calibri" w:eastAsia="仿宋_GB2312"/>
          <w:b/>
          <w:sz w:val="32"/>
          <w:szCs w:val="32"/>
        </w:rPr>
        <w:t xml:space="preserve"> </w:t>
      </w:r>
      <w:r>
        <w:rPr>
          <w:rFonts w:hint="eastAsia" w:ascii="仿宋_GB2312" w:hAnsi="Calibri" w:eastAsia="仿宋_GB2312"/>
          <w:sz w:val="32"/>
          <w:szCs w:val="32"/>
        </w:rPr>
        <w:t xml:space="preserve"> </w:t>
      </w:r>
      <w:r>
        <w:rPr>
          <w:rFonts w:ascii="仿宋" w:hAnsi="仿宋" w:eastAsia="仿宋"/>
          <w:sz w:val="32"/>
          <w:szCs w:val="32"/>
        </w:rPr>
        <w:t>本</w:t>
      </w:r>
      <w:r>
        <w:rPr>
          <w:rFonts w:hint="eastAsia" w:ascii="仿宋" w:hAnsi="仿宋" w:eastAsia="仿宋"/>
          <w:sz w:val="32"/>
          <w:szCs w:val="32"/>
        </w:rPr>
        <w:t>暂行</w:t>
      </w:r>
      <w:r>
        <w:rPr>
          <w:rFonts w:ascii="仿宋" w:hAnsi="仿宋" w:eastAsia="仿宋"/>
          <w:sz w:val="32"/>
          <w:szCs w:val="32"/>
        </w:rPr>
        <w:t>办法由</w:t>
      </w:r>
      <w:r>
        <w:rPr>
          <w:rFonts w:hint="eastAsia" w:ascii="仿宋" w:hAnsi="仿宋" w:eastAsia="仿宋"/>
          <w:sz w:val="32"/>
          <w:szCs w:val="32"/>
        </w:rPr>
        <w:t>领导小组办公室</w:t>
      </w:r>
      <w:r>
        <w:rPr>
          <w:rFonts w:ascii="仿宋" w:hAnsi="仿宋" w:eastAsia="仿宋"/>
          <w:sz w:val="32"/>
          <w:szCs w:val="32"/>
        </w:rPr>
        <w:t>负责解释。</w:t>
      </w:r>
    </w:p>
    <w:p>
      <w:pPr>
        <w:spacing w:line="600" w:lineRule="exact"/>
        <w:ind w:firstLine="640" w:firstLineChars="200"/>
        <w:rPr>
          <w:rFonts w:ascii="仿宋_GB2312" w:hAnsi="Calibri" w:eastAsia="仿宋_GB2312"/>
          <w:sz w:val="32"/>
          <w:szCs w:val="32"/>
        </w:rPr>
      </w:pPr>
      <w:r>
        <w:rPr>
          <w:rFonts w:ascii="黑体" w:hAnsi="黑体" w:eastAsia="黑体"/>
          <w:bCs/>
          <w:sz w:val="32"/>
          <w:szCs w:val="32"/>
        </w:rPr>
        <w:t>第十</w:t>
      </w:r>
      <w:r>
        <w:rPr>
          <w:rFonts w:hint="eastAsia" w:ascii="黑体" w:hAnsi="黑体" w:eastAsia="黑体"/>
          <w:bCs/>
          <w:sz w:val="32"/>
          <w:szCs w:val="32"/>
        </w:rPr>
        <w:t>六</w:t>
      </w:r>
      <w:r>
        <w:rPr>
          <w:rFonts w:ascii="黑体" w:hAnsi="黑体" w:eastAsia="黑体"/>
          <w:bCs/>
          <w:sz w:val="32"/>
          <w:szCs w:val="32"/>
        </w:rPr>
        <w:t>条</w:t>
      </w:r>
      <w:r>
        <w:rPr>
          <w:rFonts w:hint="eastAsia" w:ascii="黑体" w:hAnsi="黑体" w:eastAsia="黑体"/>
          <w:bCs/>
          <w:sz w:val="32"/>
          <w:szCs w:val="32"/>
        </w:rPr>
        <w:t xml:space="preserve"> </w:t>
      </w:r>
      <w:r>
        <w:rPr>
          <w:rFonts w:ascii="仿宋_GB2312" w:hAnsi="Calibri" w:eastAsia="仿宋_GB2312"/>
          <w:sz w:val="32"/>
          <w:szCs w:val="32"/>
        </w:rPr>
        <w:t xml:space="preserve"> </w:t>
      </w:r>
      <w:r>
        <w:rPr>
          <w:rFonts w:ascii="仿宋" w:hAnsi="仿宋" w:eastAsia="仿宋"/>
          <w:sz w:val="32"/>
          <w:szCs w:val="32"/>
        </w:rPr>
        <w:t>本</w:t>
      </w:r>
      <w:r>
        <w:rPr>
          <w:rFonts w:hint="eastAsia" w:ascii="仿宋" w:hAnsi="仿宋" w:eastAsia="仿宋"/>
          <w:sz w:val="32"/>
          <w:szCs w:val="32"/>
        </w:rPr>
        <w:t>暂行</w:t>
      </w:r>
      <w:r>
        <w:rPr>
          <w:rFonts w:ascii="仿宋" w:hAnsi="仿宋" w:eastAsia="仿宋"/>
          <w:sz w:val="32"/>
          <w:szCs w:val="32"/>
        </w:rPr>
        <w:t>办法自</w:t>
      </w:r>
      <w:r>
        <w:rPr>
          <w:rFonts w:hint="eastAsia" w:ascii="仿宋" w:hAnsi="仿宋" w:eastAsia="仿宋"/>
          <w:sz w:val="32"/>
          <w:szCs w:val="32"/>
        </w:rPr>
        <w:t>印发</w:t>
      </w:r>
      <w:r>
        <w:rPr>
          <w:rFonts w:ascii="仿宋" w:hAnsi="仿宋" w:eastAsia="仿宋"/>
          <w:sz w:val="32"/>
          <w:szCs w:val="32"/>
        </w:rPr>
        <w:t>之日起</w:t>
      </w:r>
      <w:r>
        <w:rPr>
          <w:rFonts w:hint="eastAsia" w:ascii="仿宋" w:hAnsi="仿宋" w:eastAsia="仿宋"/>
          <w:sz w:val="32"/>
          <w:szCs w:val="32"/>
        </w:rPr>
        <w:t>施行，暂行期为两年</w:t>
      </w:r>
      <w:r>
        <w:rPr>
          <w:rFonts w:ascii="仿宋" w:hAnsi="仿宋" w:eastAsia="仿宋"/>
          <w:sz w:val="32"/>
          <w:szCs w:val="32"/>
        </w:rPr>
        <w:t>。</w:t>
      </w:r>
    </w:p>
    <w:p>
      <w:pPr>
        <w:spacing w:line="560" w:lineRule="exact"/>
        <w:ind w:firstLine="640" w:firstLineChars="200"/>
        <w:rPr>
          <w:rFonts w:ascii="仿宋_GB2312" w:hAnsi="Calibri" w:eastAsia="仿宋_GB2312"/>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ascii="仿宋" w:hAnsi="仿宋" w:eastAsia="仿宋"/>
          <w:sz w:val="32"/>
          <w:szCs w:val="32"/>
        </w:rPr>
      </w:pPr>
    </w:p>
    <w:p>
      <w:pPr>
        <w:spacing w:line="560" w:lineRule="exact"/>
        <w:ind w:firstLine="140" w:firstLineChars="50"/>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2018年10月24日印发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方正小标宋简体">
    <w:altName w:val="微软雅黑"/>
    <w:panose1 w:val="03000509000000000000"/>
    <w:charset w:val="86"/>
    <w:family w:val="script"/>
    <w:pitch w:val="default"/>
    <w:sig w:usb0="00000000"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8 -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VlJK3m8DrQTtMo6y5GrpXWlSAOA=" w:salt="Jj+N65H5NBdxag5YT2O5Xw=="/>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138E"/>
    <w:rsid w:val="0002775F"/>
    <w:rsid w:val="000312F6"/>
    <w:rsid w:val="00044905"/>
    <w:rsid w:val="00070576"/>
    <w:rsid w:val="000755B1"/>
    <w:rsid w:val="00075622"/>
    <w:rsid w:val="00076791"/>
    <w:rsid w:val="00083CAD"/>
    <w:rsid w:val="00086145"/>
    <w:rsid w:val="0009086E"/>
    <w:rsid w:val="000A08E3"/>
    <w:rsid w:val="000C22F9"/>
    <w:rsid w:val="000F6B88"/>
    <w:rsid w:val="001074A3"/>
    <w:rsid w:val="00115E4D"/>
    <w:rsid w:val="0012608E"/>
    <w:rsid w:val="00153F1D"/>
    <w:rsid w:val="001548E3"/>
    <w:rsid w:val="00182614"/>
    <w:rsid w:val="00193EAA"/>
    <w:rsid w:val="001E1756"/>
    <w:rsid w:val="001F353F"/>
    <w:rsid w:val="002001FB"/>
    <w:rsid w:val="00203E2C"/>
    <w:rsid w:val="0021553C"/>
    <w:rsid w:val="002157DF"/>
    <w:rsid w:val="00223B85"/>
    <w:rsid w:val="00251461"/>
    <w:rsid w:val="00255548"/>
    <w:rsid w:val="002637D4"/>
    <w:rsid w:val="002729F2"/>
    <w:rsid w:val="00274FAD"/>
    <w:rsid w:val="00295E51"/>
    <w:rsid w:val="002B54E0"/>
    <w:rsid w:val="00365D98"/>
    <w:rsid w:val="00373224"/>
    <w:rsid w:val="00381B9D"/>
    <w:rsid w:val="003A3404"/>
    <w:rsid w:val="003A488D"/>
    <w:rsid w:val="003A6689"/>
    <w:rsid w:val="003B0D31"/>
    <w:rsid w:val="003B716B"/>
    <w:rsid w:val="003F25C5"/>
    <w:rsid w:val="00417C35"/>
    <w:rsid w:val="0045027A"/>
    <w:rsid w:val="00492E83"/>
    <w:rsid w:val="004975B0"/>
    <w:rsid w:val="004A3A15"/>
    <w:rsid w:val="004A7B0D"/>
    <w:rsid w:val="004D1DA3"/>
    <w:rsid w:val="0050582F"/>
    <w:rsid w:val="00515EA2"/>
    <w:rsid w:val="00526670"/>
    <w:rsid w:val="00532371"/>
    <w:rsid w:val="00536739"/>
    <w:rsid w:val="00537654"/>
    <w:rsid w:val="0055282D"/>
    <w:rsid w:val="0056044D"/>
    <w:rsid w:val="005615A2"/>
    <w:rsid w:val="00561894"/>
    <w:rsid w:val="005A1D60"/>
    <w:rsid w:val="005D0D5F"/>
    <w:rsid w:val="00605BAE"/>
    <w:rsid w:val="00640838"/>
    <w:rsid w:val="0064716B"/>
    <w:rsid w:val="006613F6"/>
    <w:rsid w:val="00663AAD"/>
    <w:rsid w:val="006723B9"/>
    <w:rsid w:val="00682D49"/>
    <w:rsid w:val="00692804"/>
    <w:rsid w:val="006A3698"/>
    <w:rsid w:val="00701A6B"/>
    <w:rsid w:val="00726B18"/>
    <w:rsid w:val="00735751"/>
    <w:rsid w:val="00735FF9"/>
    <w:rsid w:val="00756BD9"/>
    <w:rsid w:val="007571DB"/>
    <w:rsid w:val="00760C9E"/>
    <w:rsid w:val="00763467"/>
    <w:rsid w:val="00782CF2"/>
    <w:rsid w:val="00793723"/>
    <w:rsid w:val="007C03B0"/>
    <w:rsid w:val="007D069C"/>
    <w:rsid w:val="007D17A4"/>
    <w:rsid w:val="007D46CD"/>
    <w:rsid w:val="008242CE"/>
    <w:rsid w:val="00841555"/>
    <w:rsid w:val="0084710A"/>
    <w:rsid w:val="008531B8"/>
    <w:rsid w:val="0085354F"/>
    <w:rsid w:val="008539FB"/>
    <w:rsid w:val="0086671B"/>
    <w:rsid w:val="008667D6"/>
    <w:rsid w:val="008966FB"/>
    <w:rsid w:val="008D4FAF"/>
    <w:rsid w:val="00903F1F"/>
    <w:rsid w:val="00935F1F"/>
    <w:rsid w:val="0094415F"/>
    <w:rsid w:val="0094554E"/>
    <w:rsid w:val="00992204"/>
    <w:rsid w:val="00993CF0"/>
    <w:rsid w:val="009C0CEE"/>
    <w:rsid w:val="009F09B3"/>
    <w:rsid w:val="009F43AD"/>
    <w:rsid w:val="00A15B1B"/>
    <w:rsid w:val="00A37782"/>
    <w:rsid w:val="00A47382"/>
    <w:rsid w:val="00A51DFC"/>
    <w:rsid w:val="00A539F5"/>
    <w:rsid w:val="00A627A0"/>
    <w:rsid w:val="00A72D77"/>
    <w:rsid w:val="00A8340E"/>
    <w:rsid w:val="00A8739E"/>
    <w:rsid w:val="00A90A16"/>
    <w:rsid w:val="00AA571C"/>
    <w:rsid w:val="00AD1462"/>
    <w:rsid w:val="00AD5D3C"/>
    <w:rsid w:val="00B01F88"/>
    <w:rsid w:val="00B06DC3"/>
    <w:rsid w:val="00B13502"/>
    <w:rsid w:val="00B17AC0"/>
    <w:rsid w:val="00B3017D"/>
    <w:rsid w:val="00B359C4"/>
    <w:rsid w:val="00B5035A"/>
    <w:rsid w:val="00B67AB6"/>
    <w:rsid w:val="00B73978"/>
    <w:rsid w:val="00BB5337"/>
    <w:rsid w:val="00BC5C8C"/>
    <w:rsid w:val="00BE2152"/>
    <w:rsid w:val="00BE22EA"/>
    <w:rsid w:val="00BE7F63"/>
    <w:rsid w:val="00C14966"/>
    <w:rsid w:val="00C20CFD"/>
    <w:rsid w:val="00C2355D"/>
    <w:rsid w:val="00C50391"/>
    <w:rsid w:val="00C54C36"/>
    <w:rsid w:val="00C71072"/>
    <w:rsid w:val="00CB1434"/>
    <w:rsid w:val="00CD1726"/>
    <w:rsid w:val="00CF76F0"/>
    <w:rsid w:val="00D12675"/>
    <w:rsid w:val="00D25606"/>
    <w:rsid w:val="00D33BE5"/>
    <w:rsid w:val="00D34A71"/>
    <w:rsid w:val="00D45352"/>
    <w:rsid w:val="00D51CCE"/>
    <w:rsid w:val="00D53FE6"/>
    <w:rsid w:val="00D7187C"/>
    <w:rsid w:val="00D847A0"/>
    <w:rsid w:val="00D92260"/>
    <w:rsid w:val="00DB3715"/>
    <w:rsid w:val="00DB4C83"/>
    <w:rsid w:val="00DC1589"/>
    <w:rsid w:val="00DC4B19"/>
    <w:rsid w:val="00DD4A91"/>
    <w:rsid w:val="00E06E6F"/>
    <w:rsid w:val="00E26B19"/>
    <w:rsid w:val="00E70EA7"/>
    <w:rsid w:val="00E813CB"/>
    <w:rsid w:val="00EA45B6"/>
    <w:rsid w:val="00EC3BC9"/>
    <w:rsid w:val="00EC3C3E"/>
    <w:rsid w:val="00ED1D3A"/>
    <w:rsid w:val="00EE6590"/>
    <w:rsid w:val="00EF47C4"/>
    <w:rsid w:val="00F02924"/>
    <w:rsid w:val="00F1500F"/>
    <w:rsid w:val="00F568D1"/>
    <w:rsid w:val="00F61FD3"/>
    <w:rsid w:val="00F6290C"/>
    <w:rsid w:val="00F6559A"/>
    <w:rsid w:val="00FA23DD"/>
    <w:rsid w:val="00FB738C"/>
    <w:rsid w:val="00FE04BC"/>
    <w:rsid w:val="2FDD33E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5">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23"/>
    <w:uiPriority w:val="0"/>
    <w:pPr>
      <w:ind w:left="100" w:leftChars="2500"/>
    </w:pPr>
  </w:style>
  <w:style w:type="paragraph" w:styleId="7">
    <w:name w:val="Balloon Text"/>
    <w:basedOn w:val="1"/>
    <w:link w:val="22"/>
    <w:uiPriority w:val="0"/>
    <w:rPr>
      <w:sz w:val="18"/>
      <w:szCs w:val="18"/>
    </w:rPr>
  </w:style>
  <w:style w:type="paragraph" w:styleId="8">
    <w:name w:val="footer"/>
    <w:basedOn w:val="1"/>
    <w:link w:val="20"/>
    <w:uiPriority w:val="99"/>
    <w:pPr>
      <w:tabs>
        <w:tab w:val="center" w:pos="4153"/>
        <w:tab w:val="right" w:pos="8306"/>
      </w:tabs>
      <w:snapToGrid w:val="0"/>
      <w:jc w:val="left"/>
    </w:pPr>
    <w:rPr>
      <w:sz w:val="18"/>
      <w:szCs w:val="18"/>
    </w:rPr>
  </w:style>
  <w:style w:type="paragraph" w:styleId="9">
    <w:name w:val="header"/>
    <w:basedOn w:val="1"/>
    <w:link w:val="19"/>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sz w:val="28"/>
      <w:szCs w:val="28"/>
    </w:rPr>
  </w:style>
  <w:style w:type="paragraph" w:styleId="11">
    <w:name w:val="toc 2"/>
    <w:basedOn w:val="1"/>
    <w:next w:val="1"/>
    <w:semiHidden/>
    <w:uiPriority w:val="0"/>
    <w:pPr>
      <w:ind w:left="420" w:leftChars="200"/>
    </w:pPr>
    <w:rPr>
      <w:sz w:val="28"/>
      <w:szCs w:val="28"/>
    </w:rPr>
  </w:style>
  <w:style w:type="paragraph" w:styleId="12">
    <w:name w:val="Normal (Web)"/>
    <w:basedOn w:val="1"/>
    <w:uiPriority w:val="0"/>
    <w:pPr>
      <w:widowControl/>
      <w:jc w:val="left"/>
    </w:pPr>
    <w:rPr>
      <w:rFonts w:ascii="Arial Narrow" w:hAnsi="Arial Narrow" w:cs="宋体"/>
      <w:kern w:val="0"/>
      <w:sz w:val="18"/>
      <w:szCs w:val="18"/>
    </w:rPr>
  </w:style>
  <w:style w:type="paragraph" w:styleId="13">
    <w:name w:val="Title"/>
    <w:basedOn w:val="14"/>
    <w:next w:val="1"/>
    <w:link w:val="24"/>
    <w:qFormat/>
    <w:uiPriority w:val="10"/>
    <w:pPr>
      <w:widowControl w:val="0"/>
      <w:spacing w:line="600" w:lineRule="exact"/>
      <w:ind w:firstLine="645"/>
      <w:jc w:val="center"/>
    </w:pPr>
    <w:rPr>
      <w:rFonts w:ascii="方正小标宋简体" w:hAnsi="仿宋" w:eastAsia="方正小标宋简体"/>
      <w:sz w:val="44"/>
      <w:szCs w:val="44"/>
    </w:rPr>
  </w:style>
  <w:style w:type="paragraph" w:styleId="14">
    <w:name w:val="No Spacing"/>
    <w:link w:val="21"/>
    <w:qFormat/>
    <w:uiPriority w:val="1"/>
    <w:rPr>
      <w:rFonts w:ascii="Calibri" w:hAnsi="Calibri"/>
      <w:sz w:val="22"/>
      <w:szCs w:val="22"/>
      <w:lang w:val="en-US" w:eastAsia="zh-CN" w:bidi="ar-SA"/>
    </w:rPr>
  </w:style>
  <w:style w:type="paragraph" w:customStyle="1" w:styleId="17">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8">
    <w:name w:val="标头"/>
    <w:basedOn w:val="1"/>
    <w:uiPriority w:val="0"/>
    <w:rPr>
      <w:sz w:val="52"/>
      <w:u w:val="single"/>
    </w:rPr>
  </w:style>
  <w:style w:type="character" w:customStyle="1" w:styleId="19">
    <w:name w:val="页眉 Char"/>
    <w:link w:val="9"/>
    <w:uiPriority w:val="99"/>
    <w:rPr>
      <w:kern w:val="2"/>
      <w:sz w:val="18"/>
      <w:szCs w:val="18"/>
    </w:rPr>
  </w:style>
  <w:style w:type="character" w:customStyle="1" w:styleId="20">
    <w:name w:val="页脚 Char"/>
    <w:link w:val="8"/>
    <w:uiPriority w:val="99"/>
    <w:rPr>
      <w:kern w:val="2"/>
      <w:sz w:val="18"/>
      <w:szCs w:val="18"/>
    </w:rPr>
  </w:style>
  <w:style w:type="character" w:customStyle="1" w:styleId="21">
    <w:name w:val="无间隔 Char"/>
    <w:link w:val="14"/>
    <w:uiPriority w:val="1"/>
    <w:rPr>
      <w:rFonts w:ascii="Calibri" w:hAnsi="Calibri"/>
      <w:sz w:val="22"/>
      <w:szCs w:val="22"/>
      <w:lang w:val="en-US" w:eastAsia="zh-CN" w:bidi="ar-SA"/>
    </w:rPr>
  </w:style>
  <w:style w:type="character" w:customStyle="1" w:styleId="22">
    <w:name w:val="批注框文本 Char"/>
    <w:link w:val="7"/>
    <w:uiPriority w:val="0"/>
    <w:rPr>
      <w:kern w:val="2"/>
      <w:sz w:val="18"/>
      <w:szCs w:val="18"/>
    </w:rPr>
  </w:style>
  <w:style w:type="character" w:customStyle="1" w:styleId="23">
    <w:name w:val="日期 Char"/>
    <w:link w:val="6"/>
    <w:uiPriority w:val="0"/>
    <w:rPr>
      <w:kern w:val="2"/>
      <w:sz w:val="21"/>
      <w:szCs w:val="24"/>
    </w:rPr>
  </w:style>
  <w:style w:type="character" w:customStyle="1" w:styleId="24">
    <w:name w:val="标题 Char"/>
    <w:link w:val="13"/>
    <w:uiPriority w:val="10"/>
    <w:rPr>
      <w:rFonts w:ascii="方正小标宋简体" w:hAnsi="仿宋" w:eastAsia="方正小标宋简体"/>
      <w:sz w:val="44"/>
      <w:szCs w:val="44"/>
    </w:rPr>
  </w:style>
  <w:style w:type="character" w:customStyle="1" w:styleId="25">
    <w:name w:val="标题 Char1"/>
    <w:link w:val="13"/>
    <w:uiPriority w:val="0"/>
    <w:rPr>
      <w:rFonts w:ascii="Cambria" w:hAnsi="Cambria" w:cs="Times New Roman"/>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417</Words>
  <Characters>2380</Characters>
  <Lines>19</Lines>
  <Paragraphs>5</Paragraphs>
  <TotalTime>0</TotalTime>
  <ScaleCrop>false</ScaleCrop>
  <LinksUpToDate>false</LinksUpToDate>
  <CharactersWithSpaces>2792</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2018-10-24T02:10:00Z</cp:lastPrinted>
  <dcterms:modified xsi:type="dcterms:W3CDTF">2018-11-15T11:05:32Z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