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600" w:lineRule="exact"/>
        <w:jc w:val="center"/>
        <w:rPr>
          <w:rFonts w:ascii="方正小标宋简体" w:eastAsia="方正小标宋简体" w:cs="楷体_GB2312"/>
          <w:w w:val="88"/>
          <w:sz w:val="36"/>
          <w:szCs w:val="36"/>
        </w:rPr>
      </w:pPr>
      <w:bookmarkStart w:id="0" w:name="_GoBack"/>
      <w:bookmarkEnd w:id="0"/>
    </w:p>
    <w:p>
      <w:pPr>
        <w:autoSpaceDE w:val="0"/>
        <w:autoSpaceDN w:val="0"/>
        <w:adjustRightInd w:val="0"/>
        <w:spacing w:line="600" w:lineRule="exact"/>
        <w:jc w:val="center"/>
        <w:rPr>
          <w:rFonts w:ascii="方正小标宋简体" w:eastAsia="方正小标宋简体" w:cs="楷体_GB2312"/>
          <w:w w:val="88"/>
          <w:sz w:val="36"/>
          <w:szCs w:val="36"/>
        </w:rPr>
      </w:pPr>
      <w:r>
        <w:rPr>
          <w:rFonts w:ascii="方正小标宋简体" w:eastAsia="方正小标宋简体" w:cs="楷体_GB2312"/>
          <w:sz w:val="36"/>
          <w:szCs w:val="36"/>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296545</wp:posOffset>
                </wp:positionV>
                <wp:extent cx="6067425" cy="1289685"/>
                <wp:effectExtent l="0" t="0" r="0" b="0"/>
                <wp:wrapNone/>
                <wp:docPr id="1" name="文本框 2"/>
                <wp:cNvGraphicFramePr/>
                <a:graphic xmlns:a="http://schemas.openxmlformats.org/drawingml/2006/main">
                  <a:graphicData uri="http://schemas.microsoft.com/office/word/2010/wordprocessingShape">
                    <wps:wsp>
                      <wps:cNvSpPr txBox="1"/>
                      <wps:spPr>
                        <a:xfrm>
                          <a:off x="0" y="0"/>
                          <a:ext cx="6067425" cy="1289685"/>
                        </a:xfrm>
                        <a:prstGeom prst="rect">
                          <a:avLst/>
                        </a:prstGeom>
                        <a:noFill/>
                        <a:ln w="9525">
                          <a:noFill/>
                        </a:ln>
                      </wps:spPr>
                      <wps:txb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wps:txbx>
                      <wps:bodyPr wrap="square" upright="1"/>
                    </wps:wsp>
                  </a:graphicData>
                </a:graphic>
              </wp:anchor>
            </w:drawing>
          </mc:Choice>
          <mc:Fallback>
            <w:pict>
              <v:shape id="文本框 2" o:spid="_x0000_s1026" o:spt="202" type="#_x0000_t202" style="position:absolute;left:0pt;margin-left:-11.1pt;margin-top:23.35pt;height:101.55pt;width:477.75pt;z-index:251658240;mso-width-relative:page;mso-height-relative:page;" filled="f" stroked="f" coordsize="21600,21600" o:gfxdata="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fBsV+2AAAAAoBAAAPAAAA&#10;AAAAAAEAIAAAACIAAABkcnMvZG93bnJldi54bWxQSwECFAAUAAAACACHTuJAsjsDe6MBAAAYAwAA&#10;DgAAAAAAAAABACAAAAAnAQAAZHJzL2Uyb0RvYy54bWxQSwUGAAAAAAYABgBZAQAAPAUAAAAA&#10;">
                <v:fill on="f" focussize="0,0"/>
                <v:stroke on="f"/>
                <v:imagedata o:title=""/>
                <o:lock v:ext="edit" aspectratio="f"/>
                <v:textbox>
                  <w:txbxContent>
                    <w:p>
                      <w:pPr>
                        <w:rPr>
                          <w:rFonts w:ascii="方正小标宋简体" w:eastAsia="方正小标宋简体"/>
                          <w:color w:val="FF0000"/>
                          <w:spacing w:val="58"/>
                          <w:w w:val="80"/>
                          <w:sz w:val="112"/>
                          <w:szCs w:val="112"/>
                        </w:rPr>
                      </w:pPr>
                      <w:r>
                        <w:rPr>
                          <w:rFonts w:hint="eastAsia" w:ascii="方正小标宋简体" w:eastAsia="方正小标宋简体"/>
                          <w:color w:val="FF0000"/>
                          <w:spacing w:val="58"/>
                          <w:w w:val="80"/>
                          <w:sz w:val="112"/>
                          <w:szCs w:val="112"/>
                        </w:rPr>
                        <w:t>中关村发展集团文件</w:t>
                      </w:r>
                    </w:p>
                  </w:txbxContent>
                </v:textbox>
              </v:shape>
            </w:pict>
          </mc:Fallback>
        </mc:AlternateContent>
      </w: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line="600" w:lineRule="exact"/>
        <w:jc w:val="center"/>
        <w:rPr>
          <w:rFonts w:ascii="方正小标宋简体" w:eastAsia="方正小标宋简体" w:cs="楷体_GB2312"/>
          <w:w w:val="88"/>
          <w:sz w:val="36"/>
          <w:szCs w:val="36"/>
        </w:rPr>
      </w:pPr>
    </w:p>
    <w:p>
      <w:pPr>
        <w:autoSpaceDE w:val="0"/>
        <w:autoSpaceDN w:val="0"/>
        <w:adjustRightInd w:val="0"/>
        <w:spacing w:after="312" w:afterLines="100" w:line="600" w:lineRule="exact"/>
        <w:jc w:val="center"/>
        <w:rPr>
          <w:rFonts w:ascii="方正小标宋简体" w:eastAsia="方正小标宋简体" w:cs="楷体_GB2312"/>
          <w:w w:val="88"/>
          <w:sz w:val="36"/>
          <w:szCs w:val="36"/>
        </w:rPr>
      </w:pPr>
    </w:p>
    <w:p>
      <w:pPr>
        <w:spacing w:before="156" w:beforeLines="50" w:line="600" w:lineRule="exact"/>
        <w:ind w:right="55" w:rightChars="26" w:firstLine="320" w:firstLineChars="100"/>
        <w:jc w:val="center"/>
        <w:rPr>
          <w:rFonts w:ascii="楷体_GB2312" w:eastAsia="楷体_GB2312"/>
          <w:sz w:val="32"/>
          <w:szCs w:val="32"/>
        </w:rPr>
      </w:pPr>
      <w:r>
        <w:rPr>
          <w:rFonts w:hint="eastAsia" w:ascii="仿宋_GB2312" w:eastAsia="仿宋_GB2312"/>
          <w:sz w:val="32"/>
          <w:szCs w:val="32"/>
        </w:rPr>
        <w:t>中发展〔2018〕44号</w:t>
      </w:r>
    </w:p>
    <w:p>
      <w:pPr>
        <w:autoSpaceDE w:val="0"/>
        <w:autoSpaceDN w:val="0"/>
        <w:adjustRightInd w:val="0"/>
        <w:spacing w:line="500" w:lineRule="exact"/>
        <w:jc w:val="center"/>
        <w:rPr>
          <w:rFonts w:ascii="方正小标宋简体" w:eastAsia="方正小标宋简体" w:cs="楷体_GB2312"/>
          <w:w w:val="88"/>
          <w:sz w:val="44"/>
          <w:szCs w:val="44"/>
        </w:rPr>
      </w:pPr>
      <w:r>
        <w:rPr>
          <w:rFonts w:ascii="方正小标宋简体" w:eastAsia="方正小标宋简体" w:cs="楷体_GB2312"/>
          <w:sz w:val="44"/>
          <w:szCs w:val="44"/>
          <w:lang/>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107950</wp:posOffset>
                </wp:positionV>
                <wp:extent cx="5615940" cy="0"/>
                <wp:effectExtent l="0" t="13970" r="3810" b="24130"/>
                <wp:wrapNone/>
                <wp:docPr id="2" name="直线 3"/>
                <wp:cNvGraphicFramePr/>
                <a:graphic xmlns:a="http://schemas.openxmlformats.org/drawingml/2006/main">
                  <a:graphicData uri="http://schemas.microsoft.com/office/word/2010/wordprocessingShape">
                    <wps:wsp>
                      <wps:cNvSpPr/>
                      <wps:spPr>
                        <a:xfrm>
                          <a:off x="0" y="0"/>
                          <a:ext cx="5615940" cy="0"/>
                        </a:xfrm>
                        <a:prstGeom prst="line">
                          <a:avLst/>
                        </a:prstGeom>
                        <a:ln w="28575"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3.9pt;margin-top:8.5pt;height:0pt;width:442.2pt;z-index:251659264;mso-width-relative:page;mso-height-relative:page;" filled="f" stroked="t" coordsize="21600,21600" o:gfxdata="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oR6VW1QAAAAgBAAAPAAAAAAAAAAEAIAAAACIAAABk&#10;cnMvZG93bnJldi54bWxQSwECFAAUAAAACACHTuJA7AWBDNABAACOAwAADgAAAAAAAAABACAAAAAk&#10;AQAAZHJzL2Uyb0RvYy54bWxQSwUGAAAAAAYABgBZAQAAZgUAAAAA&#10;">
                <v:fill on="f" focussize="0,0"/>
                <v:stroke weight="2.25pt" color="#FF0000" joinstyle="round"/>
                <v:imagedata o:title=""/>
                <o:lock v:ext="edit" aspectratio="f"/>
              </v:line>
            </w:pict>
          </mc:Fallback>
        </mc:AlternateContent>
      </w:r>
    </w:p>
    <w:p>
      <w:pPr>
        <w:autoSpaceDE w:val="0"/>
        <w:autoSpaceDN w:val="0"/>
        <w:adjustRightInd w:val="0"/>
        <w:spacing w:line="500" w:lineRule="exact"/>
        <w:jc w:val="center"/>
        <w:rPr>
          <w:rFonts w:ascii="方正小标宋简体" w:eastAsia="方正小标宋简体" w:cs="楷体_GB2312"/>
          <w:w w:val="88"/>
          <w:sz w:val="44"/>
          <w:szCs w:val="44"/>
        </w:rPr>
      </w:pPr>
    </w:p>
    <w:p>
      <w:pPr>
        <w:spacing w:line="560" w:lineRule="exact"/>
        <w:jc w:val="center"/>
        <w:rPr>
          <w:rFonts w:ascii="方正小标宋简体" w:hAnsi="Calibri" w:eastAsia="方正小标宋简体"/>
          <w:color w:val="000000"/>
          <w:sz w:val="44"/>
          <w:szCs w:val="44"/>
        </w:rPr>
      </w:pPr>
      <w:r>
        <w:rPr>
          <w:rFonts w:hint="eastAsia" w:ascii="方正小标宋简体" w:hAnsi="Calibri" w:eastAsia="方正小标宋简体"/>
          <w:color w:val="000000"/>
          <w:sz w:val="44"/>
          <w:szCs w:val="44"/>
        </w:rPr>
        <w:t>中关村发展集团关于修订</w:t>
      </w:r>
    </w:p>
    <w:p>
      <w:pPr>
        <w:spacing w:line="560" w:lineRule="exact"/>
        <w:jc w:val="center"/>
        <w:rPr>
          <w:rFonts w:ascii="方正小标宋简体" w:hAnsi="Calibri" w:eastAsia="方正小标宋简体"/>
          <w:color w:val="000000"/>
          <w:sz w:val="44"/>
          <w:szCs w:val="44"/>
        </w:rPr>
      </w:pPr>
      <w:r>
        <w:rPr>
          <w:rFonts w:hint="eastAsia" w:ascii="方正小标宋简体" w:hAnsi="Calibri" w:eastAsia="方正小标宋简体"/>
          <w:color w:val="000000"/>
          <w:sz w:val="44"/>
          <w:szCs w:val="44"/>
        </w:rPr>
        <w:t>《</w:t>
      </w:r>
      <w:r>
        <w:rPr>
          <w:rFonts w:hint="eastAsia" w:ascii="方正小标宋简体" w:eastAsia="方正小标宋简体"/>
          <w:sz w:val="44"/>
          <w:szCs w:val="44"/>
        </w:rPr>
        <w:t>中关村发展集团采购招标管理暂行</w:t>
      </w:r>
      <w:r>
        <w:rPr>
          <w:rFonts w:hint="eastAsia" w:ascii="方正小标宋简体" w:hAnsi="宋体" w:eastAsia="方正小标宋简体"/>
          <w:sz w:val="44"/>
          <w:szCs w:val="44"/>
        </w:rPr>
        <w:t>办法</w:t>
      </w:r>
      <w:r>
        <w:rPr>
          <w:rFonts w:hint="eastAsia" w:ascii="方正小标宋简体" w:hAnsi="Calibri" w:eastAsia="方正小标宋简体"/>
          <w:color w:val="000000"/>
          <w:sz w:val="44"/>
          <w:szCs w:val="44"/>
        </w:rPr>
        <w:t>》等制度的通知</w:t>
      </w:r>
    </w:p>
    <w:p>
      <w:pPr>
        <w:spacing w:line="560" w:lineRule="exact"/>
        <w:ind w:firstLine="200"/>
        <w:jc w:val="center"/>
        <w:rPr>
          <w:rFonts w:ascii="方正小标宋简体" w:eastAsia="方正小标宋简体"/>
          <w:sz w:val="44"/>
          <w:szCs w:val="44"/>
        </w:rPr>
      </w:pPr>
      <w:r>
        <w:rPr>
          <w:rFonts w:hint="eastAsia" w:ascii="方正小标宋简体" w:eastAsia="方正小标宋简体"/>
          <w:sz w:val="44"/>
          <w:szCs w:val="44"/>
        </w:rPr>
        <w:t xml:space="preserve"> </w:t>
      </w:r>
    </w:p>
    <w:p>
      <w:pPr>
        <w:widowControl/>
        <w:spacing w:line="560" w:lineRule="exact"/>
        <w:jc w:val="left"/>
        <w:rPr>
          <w:rFonts w:ascii="楷体" w:hAnsi="楷体" w:eastAsia="楷体"/>
          <w:color w:val="000000"/>
          <w:sz w:val="32"/>
          <w:szCs w:val="32"/>
        </w:rPr>
      </w:pPr>
      <w:r>
        <w:rPr>
          <w:rFonts w:hint="eastAsia" w:ascii="楷体" w:hAnsi="楷体" w:eastAsia="楷体"/>
          <w:color w:val="000000"/>
          <w:sz w:val="32"/>
          <w:szCs w:val="32"/>
        </w:rPr>
        <w:t>集团各部（室）：</w:t>
      </w:r>
    </w:p>
    <w:p>
      <w:pPr>
        <w:spacing w:line="560" w:lineRule="exact"/>
        <w:ind w:firstLine="640" w:firstLineChars="200"/>
        <w:rPr>
          <w:rFonts w:ascii="楷体" w:hAnsi="楷体" w:eastAsia="楷体"/>
          <w:color w:val="000000"/>
          <w:sz w:val="32"/>
          <w:szCs w:val="32"/>
        </w:rPr>
      </w:pPr>
      <w:r>
        <w:rPr>
          <w:rFonts w:hint="eastAsia" w:ascii="楷体" w:hAnsi="楷体" w:eastAsia="楷体"/>
          <w:sz w:val="32"/>
          <w:szCs w:val="32"/>
        </w:rPr>
        <w:t>根据制度“立改废”工作要求</w:t>
      </w:r>
      <w:r>
        <w:rPr>
          <w:rFonts w:hint="eastAsia" w:ascii="楷体" w:hAnsi="楷体" w:eastAsia="楷体"/>
          <w:color w:val="000000"/>
          <w:sz w:val="32"/>
          <w:szCs w:val="32"/>
        </w:rPr>
        <w:t>，集团对《中关村发展集团采购招标管理暂行办法》等制度进行了研究修订。其中，</w:t>
      </w:r>
      <w:r>
        <w:rPr>
          <w:rFonts w:hint="eastAsia" w:ascii="楷体" w:hAnsi="楷体" w:eastAsia="楷体"/>
          <w:sz w:val="32"/>
          <w:szCs w:val="32"/>
        </w:rPr>
        <w:t>《中关村发展集团采购招标管理办法》、《中关村发展集团合同管理办法》、《中关村发展集团新设公司过渡期代管办法》</w:t>
      </w:r>
      <w:r>
        <w:rPr>
          <w:rFonts w:hint="eastAsia" w:ascii="楷体" w:hAnsi="楷体" w:eastAsia="楷体"/>
          <w:color w:val="000000"/>
          <w:sz w:val="32"/>
          <w:szCs w:val="32"/>
        </w:rPr>
        <w:t>经集团2018年第9次总经理办公会研究通过。现印发给你们，请遵照执行。</w:t>
      </w:r>
    </w:p>
    <w:p>
      <w:pPr>
        <w:spacing w:line="560" w:lineRule="exact"/>
        <w:ind w:firstLine="640" w:firstLineChars="200"/>
        <w:rPr>
          <w:rFonts w:ascii="楷体" w:hAnsi="楷体" w:eastAsia="楷体"/>
          <w:sz w:val="32"/>
          <w:szCs w:val="32"/>
        </w:rPr>
      </w:pPr>
    </w:p>
    <w:p>
      <w:pPr>
        <w:spacing w:line="560" w:lineRule="exact"/>
        <w:ind w:firstLine="4960" w:firstLineChars="1550"/>
        <w:rPr>
          <w:rFonts w:ascii="楷体" w:hAnsi="楷体" w:eastAsia="楷体"/>
          <w:sz w:val="32"/>
          <w:szCs w:val="32"/>
        </w:rPr>
      </w:pPr>
      <w:r>
        <w:rPr>
          <w:rFonts w:hint="eastAsia" w:ascii="楷体" w:hAnsi="楷体" w:eastAsia="楷体"/>
          <w:sz w:val="32"/>
          <w:szCs w:val="32"/>
        </w:rPr>
        <w:t xml:space="preserve"> 中关村发展集团</w:t>
      </w:r>
    </w:p>
    <w:p>
      <w:pPr>
        <w:pStyle w:val="2"/>
        <w:keepLines w:val="0"/>
        <w:spacing w:before="0" w:after="0" w:line="560" w:lineRule="exact"/>
        <w:rPr>
          <w:rFonts w:ascii="楷体" w:hAnsi="楷体" w:eastAsia="楷体"/>
          <w:b w:val="0"/>
          <w:bCs w:val="0"/>
          <w:color w:val="000000"/>
          <w:kern w:val="2"/>
          <w:sz w:val="32"/>
          <w:szCs w:val="32"/>
        </w:rPr>
      </w:pPr>
      <w:r>
        <w:rPr>
          <w:rFonts w:hint="eastAsia" w:ascii="楷体" w:hAnsi="楷体" w:eastAsia="楷体"/>
        </w:rPr>
        <w:t xml:space="preserve">                       </w:t>
      </w:r>
      <w:r>
        <w:rPr>
          <w:rFonts w:hint="eastAsia" w:ascii="楷体" w:hAnsi="楷体" w:eastAsia="楷体"/>
          <w:b w:val="0"/>
          <w:bCs w:val="0"/>
          <w:color w:val="000000"/>
          <w:kern w:val="2"/>
          <w:sz w:val="32"/>
          <w:szCs w:val="32"/>
        </w:rPr>
        <w:t>2018年5月 25日</w:t>
      </w:r>
    </w:p>
    <w:p>
      <w:pPr>
        <w:widowControl/>
        <w:jc w:val="left"/>
        <w:rPr>
          <w:rFonts w:ascii="方正小标宋简体" w:eastAsia="方正小标宋简体" w:cs="黑体"/>
          <w:sz w:val="44"/>
          <w:szCs w:val="44"/>
        </w:rPr>
        <w:sectPr>
          <w:footerReference r:id="rId3" w:type="default"/>
          <w:footerReference r:id="rId4" w:type="even"/>
          <w:pgSz w:w="11906" w:h="16838"/>
          <w:pgMar w:top="2098" w:right="1474" w:bottom="1474" w:left="1588" w:header="720" w:footer="720" w:gutter="0"/>
          <w:pgNumType w:fmt="numberInDash"/>
          <w:cols w:space="720" w:num="1"/>
          <w:docGrid w:type="lines" w:linePitch="312" w:charSpace="0"/>
        </w:sectPr>
      </w:pPr>
    </w:p>
    <w:p>
      <w:pPr>
        <w:snapToGrid w:val="0"/>
        <w:spacing w:line="600" w:lineRule="exact"/>
        <w:jc w:val="center"/>
        <w:rPr>
          <w:rFonts w:ascii="方正小标宋简体" w:eastAsia="方正小标宋简体" w:cs="黑体"/>
          <w:sz w:val="44"/>
          <w:szCs w:val="44"/>
        </w:rPr>
      </w:pPr>
      <w:r>
        <w:rPr>
          <w:rFonts w:hint="eastAsia" w:ascii="方正小标宋简体" w:eastAsia="方正小标宋简体" w:cs="黑体"/>
          <w:sz w:val="44"/>
          <w:szCs w:val="44"/>
        </w:rPr>
        <w:t>中关村发展集团股份有限公司</w:t>
      </w:r>
    </w:p>
    <w:p>
      <w:pPr>
        <w:snapToGrid w:val="0"/>
        <w:spacing w:line="600" w:lineRule="exact"/>
        <w:jc w:val="center"/>
        <w:rPr>
          <w:rFonts w:ascii="黑体" w:eastAsia="黑体"/>
          <w:sz w:val="32"/>
          <w:szCs w:val="32"/>
        </w:rPr>
      </w:pPr>
      <w:r>
        <w:rPr>
          <w:rFonts w:hint="eastAsia" w:ascii="方正小标宋简体" w:eastAsia="方正小标宋简体" w:cs="黑体"/>
          <w:sz w:val="44"/>
          <w:szCs w:val="44"/>
        </w:rPr>
        <w:t>采购招标管理办法</w:t>
      </w:r>
    </w:p>
    <w:p>
      <w:pPr>
        <w:pStyle w:val="2"/>
        <w:spacing w:before="240" w:after="10"/>
        <w:jc w:val="center"/>
        <w:rPr>
          <w:rFonts w:hint="eastAsia" w:ascii="方正小标宋简体" w:hAnsi="黑体" w:eastAsia="方正小标宋简体"/>
          <w:b w:val="0"/>
        </w:rPr>
      </w:pPr>
      <w:r>
        <w:rPr>
          <w:rFonts w:hint="eastAsia" w:ascii="方正小标宋简体" w:hAnsi="黑体" w:eastAsia="方正小标宋简体"/>
          <w:b w:val="0"/>
          <w:sz w:val="32"/>
          <w:szCs w:val="32"/>
        </w:rPr>
        <w:t>第一章 总 则</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第一条</w:t>
      </w:r>
      <w:r>
        <w:rPr>
          <w:rFonts w:hint="eastAsia" w:ascii="黑体" w:eastAsia="黑体"/>
          <w:sz w:val="32"/>
          <w:szCs w:val="32"/>
        </w:rPr>
        <w:t xml:space="preserve"> </w:t>
      </w:r>
      <w:r>
        <w:rPr>
          <w:rFonts w:hint="eastAsia" w:ascii="仿宋" w:hAnsi="仿宋" w:eastAsia="仿宋"/>
          <w:sz w:val="32"/>
          <w:szCs w:val="32"/>
        </w:rPr>
        <w:t>为加强中关村发展集团股份有限公司（以下简称“集团”）招标管理工作，规范集团采购行为，建立健全风险管控体系，根据《中华人民共和国招标投标法》、《中华人民共和国招标投标法实施条例》及集团相关规章制度等规定,制定本办法。</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第二条</w:t>
      </w:r>
      <w:r>
        <w:rPr>
          <w:rFonts w:hint="eastAsia" w:ascii="仿宋_GB2312" w:hAnsi="宋体" w:eastAsia="仿宋_GB2312"/>
          <w:sz w:val="32"/>
          <w:szCs w:val="32"/>
        </w:rPr>
        <w:t xml:space="preserve"> </w:t>
      </w:r>
      <w:r>
        <w:rPr>
          <w:rFonts w:hint="eastAsia" w:ascii="仿宋" w:hAnsi="仿宋" w:eastAsia="仿宋"/>
          <w:sz w:val="32"/>
          <w:szCs w:val="32"/>
        </w:rPr>
        <w:t>集团进行的工程建设、货物和服务采购以及其他项目（以下统称“项目”）的采购招标活动（不含金融产品的采购），适用本办法。</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第三条</w:t>
      </w:r>
      <w:r>
        <w:rPr>
          <w:rFonts w:hint="eastAsia" w:ascii="仿宋" w:hAnsi="仿宋" w:eastAsia="仿宋"/>
          <w:sz w:val="32"/>
          <w:szCs w:val="32"/>
        </w:rPr>
        <w:t xml:space="preserve"> 本办法所称招标是指通过招标公告或投标邀请书等形式，招请具有法定条件或具有承办能力的投标人参与投标竞争的活动。</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第四条</w:t>
      </w:r>
      <w:r>
        <w:rPr>
          <w:rFonts w:hint="eastAsia" w:ascii="黑体" w:eastAsia="黑体"/>
          <w:sz w:val="32"/>
          <w:szCs w:val="32"/>
        </w:rPr>
        <w:t xml:space="preserve"> </w:t>
      </w:r>
      <w:r>
        <w:rPr>
          <w:rFonts w:hint="eastAsia" w:ascii="仿宋" w:hAnsi="仿宋" w:eastAsia="仿宋"/>
          <w:sz w:val="32"/>
          <w:szCs w:val="32"/>
        </w:rPr>
        <w:t>招标分为公开招标和邀请招标</w:t>
      </w:r>
      <w:r>
        <w:rPr>
          <w:rFonts w:hint="eastAsia" w:ascii="仿宋_GB2312" w:hAnsi="宋体" w:eastAsia="仿宋_GB2312"/>
          <w:sz w:val="32"/>
          <w:szCs w:val="32"/>
        </w:rPr>
        <w:t>。</w:t>
      </w:r>
    </w:p>
    <w:p>
      <w:pPr>
        <w:snapToGrid w:val="0"/>
        <w:spacing w:line="600" w:lineRule="exact"/>
        <w:ind w:firstLine="640" w:firstLineChars="200"/>
        <w:jc w:val="left"/>
        <w:rPr>
          <w:rFonts w:ascii="仿宋" w:hAnsi="仿宋" w:eastAsia="仿宋"/>
          <w:sz w:val="32"/>
          <w:szCs w:val="32"/>
        </w:rPr>
      </w:pPr>
      <w:r>
        <w:rPr>
          <w:rFonts w:hint="eastAsia" w:ascii="仿宋" w:hAnsi="仿宋" w:eastAsia="仿宋"/>
          <w:sz w:val="32"/>
          <w:szCs w:val="32"/>
        </w:rPr>
        <w:t>公开招标，是指集团以招标公告的方式邀请不特定的法人或者其他组织投标。依法必须招标的项目，应当按照国家及北京市有关规定在指定的媒介发布招标公告；其他项目可以在集团的网站、中介机构库或其他相对公开的媒介发布招标公告。</w:t>
      </w:r>
      <w:r>
        <w:rPr>
          <w:rFonts w:hint="eastAsia" w:ascii="仿宋" w:hAnsi="仿宋" w:eastAsia="仿宋"/>
          <w:sz w:val="32"/>
          <w:szCs w:val="32"/>
        </w:rPr>
        <w:br w:type="textWrapping"/>
      </w:r>
      <w:r>
        <w:rPr>
          <w:rFonts w:hint="eastAsia" w:ascii="仿宋" w:hAnsi="仿宋" w:eastAsia="仿宋"/>
          <w:sz w:val="32"/>
          <w:szCs w:val="32"/>
        </w:rPr>
        <w:t xml:space="preserve">    邀请招标，是指集团以投标邀请书的方式邀请特定的法人或者其他组织投标。被邀请的对象应为与集团有过合作、相关机构推荐、或者业内具有知名度等能满足招标项目要求的潜在投标人。</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第五条</w:t>
      </w:r>
      <w:r>
        <w:rPr>
          <w:rFonts w:hint="eastAsia" w:ascii="黑体" w:eastAsia="黑体"/>
          <w:sz w:val="32"/>
          <w:szCs w:val="32"/>
        </w:rPr>
        <w:t xml:space="preserve"> </w:t>
      </w:r>
      <w:r>
        <w:rPr>
          <w:rFonts w:hint="eastAsia" w:ascii="仿宋" w:hAnsi="仿宋" w:eastAsia="仿宋"/>
          <w:sz w:val="32"/>
          <w:szCs w:val="32"/>
        </w:rPr>
        <w:t>采购招标行为应当遵循公开、公平、公正和诚实信用原则。</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第六条</w:t>
      </w:r>
      <w:r>
        <w:rPr>
          <w:rFonts w:hint="eastAsia" w:ascii="黑体" w:eastAsia="黑体"/>
          <w:sz w:val="32"/>
          <w:szCs w:val="32"/>
        </w:rPr>
        <w:t xml:space="preserve"> </w:t>
      </w:r>
      <w:r>
        <w:rPr>
          <w:rFonts w:hint="eastAsia" w:ascii="仿宋" w:hAnsi="仿宋" w:eastAsia="仿宋"/>
          <w:sz w:val="32"/>
          <w:szCs w:val="32"/>
        </w:rPr>
        <w:t>采购活动的费用预算及资金支出应符合集团预算及资金审批等相关制度的规定。</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第二章 招标机构及职责</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第七条</w:t>
      </w:r>
      <w:r>
        <w:rPr>
          <w:rFonts w:hint="eastAsia" w:ascii="黑体" w:eastAsia="黑体"/>
          <w:sz w:val="32"/>
          <w:szCs w:val="32"/>
        </w:rPr>
        <w:t xml:space="preserve"> </w:t>
      </w:r>
      <w:r>
        <w:rPr>
          <w:rFonts w:hint="eastAsia" w:ascii="仿宋" w:hAnsi="仿宋" w:eastAsia="仿宋"/>
          <w:sz w:val="32"/>
          <w:szCs w:val="32"/>
        </w:rPr>
        <w:t>集团总经理办公会、总经理、各部门主管领导为采购招标活动的决策机构（下称“招标活动决策机构”），涉及“三重一大”的事项需履行党委会集体讨论决策程序。招标活动决策机构的主要职责为：</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（一）负责采购工作的领导、决策、监督和协调等工作；</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（二）审定集团采购工作的具体方案、流程等；</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（三）审批评标委员会的评标结果。</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  单项合同估算价在人民币100万以上的采购招标事项，由总经理或者总经理办公会审批。单项合同估算价低于人民币100万元的，由主管领导审批，主管领导认为有必要的，可提交总经理或者总经理办公会审批。</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第八条</w:t>
      </w:r>
      <w:r>
        <w:rPr>
          <w:rFonts w:hint="eastAsia" w:ascii="黑体" w:eastAsia="黑体"/>
          <w:sz w:val="32"/>
          <w:szCs w:val="32"/>
        </w:rPr>
        <w:t xml:space="preserve"> </w:t>
      </w:r>
      <w:r>
        <w:rPr>
          <w:rFonts w:hint="eastAsia" w:ascii="仿宋" w:hAnsi="仿宋" w:eastAsia="仿宋"/>
          <w:sz w:val="32"/>
          <w:szCs w:val="32"/>
        </w:rPr>
        <w:t>项目承办部门负责采购具体工作，主要职责为：</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（一）向招标活动决策机构汇报工作；</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（二）拟订采购方案、评标办法、招标文件，组建评标委员会，确定采购内容、技术标准、招标代理机构和拟邀请投标方名单，报招标活动决策机构审批；</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（三）筹备和组织开标；</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（四）为评标工作服务，中标结果确认后发布公告或通知；</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（五）其他采购相关具体工作。</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第九条</w:t>
      </w:r>
      <w:r>
        <w:rPr>
          <w:rFonts w:hint="eastAsia" w:ascii="黑体" w:eastAsia="黑体"/>
          <w:sz w:val="32"/>
          <w:szCs w:val="32"/>
        </w:rPr>
        <w:t xml:space="preserve"> </w:t>
      </w:r>
      <w:r>
        <w:rPr>
          <w:rFonts w:hint="eastAsia" w:ascii="仿宋" w:hAnsi="仿宋" w:eastAsia="仿宋"/>
          <w:sz w:val="32"/>
          <w:szCs w:val="32"/>
        </w:rPr>
        <w:t>风险管理部负责招标活动的监督工作，作为独立第三方监督招标的流程，一般不参与项目评审工作。</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第三章 招标项目范围及方式</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第十条</w:t>
      </w:r>
      <w:r>
        <w:rPr>
          <w:rFonts w:hint="eastAsia" w:ascii="黑体" w:eastAsia="黑体"/>
          <w:sz w:val="32"/>
          <w:szCs w:val="32"/>
        </w:rPr>
        <w:t xml:space="preserve">  </w:t>
      </w:r>
      <w:r>
        <w:rPr>
          <w:rFonts w:hint="eastAsia" w:ascii="仿宋" w:hAnsi="仿宋" w:eastAsia="仿宋"/>
          <w:sz w:val="32"/>
          <w:szCs w:val="32"/>
        </w:rPr>
        <w:t>集团符合下列标准之一的项目，应当进行招标：</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（一）单项合同估算价在人民币30万元以上的；</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（二）单项合同估算价低于人民币30万元，但项目总投资额在100万元人民币以上的；</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（三）根据法律、法规及规章等规定集团必须招标的（下称“依法必须招标的”）。</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第十一条</w:t>
      </w:r>
      <w:r>
        <w:rPr>
          <w:rFonts w:hint="eastAsia" w:ascii="黑体" w:eastAsia="黑体"/>
          <w:sz w:val="32"/>
          <w:szCs w:val="32"/>
        </w:rPr>
        <w:t xml:space="preserve"> </w:t>
      </w:r>
      <w:r>
        <w:rPr>
          <w:rFonts w:hint="eastAsia" w:ascii="仿宋" w:hAnsi="仿宋" w:eastAsia="仿宋"/>
          <w:sz w:val="32"/>
          <w:szCs w:val="32"/>
        </w:rPr>
        <w:t>符合下列规模标准之一的工程建设项目（包括项目的勘察、设计、施工、监理以及与工程建设有关的重要设备、材料等的采购），属于本办法第十条第（三）项所述依法必须招标的项目：</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（一）施工（含土建施工、设备安装、装饰装修等）单项合同估算价在200万元人民币以上或者建筑面积在2000平方米以上的；</w:t>
      </w:r>
      <w:r>
        <w:rPr>
          <w:rFonts w:hint="eastAsia" w:ascii="仿宋" w:hAnsi="仿宋" w:eastAsia="仿宋"/>
          <w:sz w:val="32"/>
          <w:szCs w:val="32"/>
        </w:rPr>
        <w:br w:type="textWrapping"/>
      </w:r>
      <w:r>
        <w:rPr>
          <w:rFonts w:hint="eastAsia" w:ascii="仿宋" w:hAnsi="仿宋" w:eastAsia="仿宋"/>
          <w:sz w:val="32"/>
          <w:szCs w:val="32"/>
        </w:rPr>
        <w:t xml:space="preserve">  （二）重要设备、材料等货物的采购，单项合同估算价在100万元人民币以上或者单台重要设备估算价在30万元人民币以上的；</w:t>
      </w:r>
      <w:r>
        <w:rPr>
          <w:rFonts w:hint="eastAsia" w:ascii="仿宋" w:hAnsi="仿宋" w:eastAsia="仿宋"/>
          <w:sz w:val="32"/>
          <w:szCs w:val="32"/>
        </w:rPr>
        <w:br w:type="textWrapping"/>
      </w:r>
      <w:r>
        <w:rPr>
          <w:rFonts w:hint="eastAsia" w:ascii="仿宋" w:hAnsi="仿宋" w:eastAsia="仿宋"/>
          <w:sz w:val="32"/>
          <w:szCs w:val="32"/>
        </w:rPr>
        <w:t xml:space="preserve">  （三）勘察、设计、监理等服务的采购，单项合同估算价在50万元人民币以上的；</w:t>
      </w:r>
      <w:r>
        <w:rPr>
          <w:rFonts w:hint="eastAsia" w:ascii="仿宋" w:hAnsi="仿宋" w:eastAsia="仿宋"/>
          <w:sz w:val="32"/>
          <w:szCs w:val="32"/>
        </w:rPr>
        <w:br w:type="textWrapping"/>
      </w:r>
      <w:r>
        <w:rPr>
          <w:rFonts w:hint="eastAsia" w:ascii="仿宋" w:hAnsi="仿宋" w:eastAsia="仿宋"/>
          <w:sz w:val="32"/>
          <w:szCs w:val="32"/>
        </w:rPr>
        <w:t xml:space="preserve">  （四）单项合同估算价低于第（一）、（二）、（三）项规定的规模标准，但项目总投资额在3000万元人民币以上的。</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第十二条</w:t>
      </w:r>
      <w:r>
        <w:rPr>
          <w:rFonts w:hint="eastAsia" w:ascii="黑体" w:eastAsia="黑体"/>
          <w:sz w:val="32"/>
          <w:szCs w:val="32"/>
        </w:rPr>
        <w:t xml:space="preserve"> </w:t>
      </w:r>
      <w:r>
        <w:rPr>
          <w:rFonts w:hint="eastAsia" w:ascii="仿宋" w:hAnsi="仿宋" w:eastAsia="仿宋"/>
          <w:sz w:val="32"/>
          <w:szCs w:val="32"/>
        </w:rPr>
        <w:t>本办法第十一条所述项目集团应当依法进行公开招标，但属于《招标投标法》第六十六条及《招标投标法实施条例》第九条等有关法律法规及规章规定的项目，报经政府主管部门批准不进行招标的特殊情况除外。</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第十三条</w:t>
      </w:r>
      <w:r>
        <w:rPr>
          <w:rFonts w:hint="eastAsia" w:ascii="黑体" w:eastAsia="黑体"/>
          <w:sz w:val="32"/>
          <w:szCs w:val="32"/>
        </w:rPr>
        <w:t xml:space="preserve"> </w:t>
      </w:r>
      <w:r>
        <w:rPr>
          <w:rFonts w:hint="eastAsia" w:ascii="仿宋" w:hAnsi="仿宋" w:eastAsia="仿宋"/>
          <w:sz w:val="32"/>
          <w:szCs w:val="32"/>
        </w:rPr>
        <w:t>应当依法进行公开招标的项目有下列情形之一的，经有关政府部门审批或监督部门批准，可以邀请招标：</w:t>
      </w:r>
    </w:p>
    <w:p>
      <w:pPr>
        <w:snapToGrid w:val="0"/>
        <w:spacing w:line="600" w:lineRule="exact"/>
        <w:ind w:firstLine="707" w:firstLineChars="221"/>
        <w:rPr>
          <w:rFonts w:ascii="仿宋" w:hAnsi="仿宋" w:eastAsia="仿宋"/>
          <w:sz w:val="32"/>
          <w:szCs w:val="32"/>
        </w:rPr>
      </w:pPr>
      <w:r>
        <w:rPr>
          <w:rFonts w:hint="eastAsia" w:ascii="仿宋" w:hAnsi="仿宋" w:eastAsia="仿宋"/>
          <w:sz w:val="32"/>
          <w:szCs w:val="32"/>
        </w:rPr>
        <w:t>（一）技术复杂、有特殊要求或者受自然环境限制，只有少量潜在投标人可供选择；</w:t>
      </w:r>
      <w:r>
        <w:rPr>
          <w:rFonts w:hint="eastAsia" w:ascii="仿宋" w:hAnsi="仿宋" w:eastAsia="仿宋"/>
          <w:sz w:val="32"/>
          <w:szCs w:val="32"/>
        </w:rPr>
        <w:br w:type="textWrapping"/>
      </w:r>
      <w:r>
        <w:rPr>
          <w:rFonts w:hint="eastAsia" w:ascii="仿宋" w:hAnsi="仿宋" w:eastAsia="仿宋"/>
          <w:sz w:val="32"/>
          <w:szCs w:val="32"/>
        </w:rPr>
        <w:t xml:space="preserve">    （二）采用公开招标方式的费用占项目合同金额的比例过大；</w:t>
      </w:r>
      <w:r>
        <w:rPr>
          <w:rFonts w:ascii="仿宋" w:hAnsi="仿宋" w:eastAsia="仿宋"/>
          <w:sz w:val="32"/>
          <w:szCs w:val="32"/>
        </w:rPr>
        <w:br w:type="textWrapping"/>
      </w:r>
      <w:r>
        <w:rPr>
          <w:rFonts w:ascii="仿宋" w:hAnsi="仿宋" w:eastAsia="仿宋"/>
          <w:sz w:val="32"/>
          <w:szCs w:val="32"/>
        </w:rPr>
        <w:t xml:space="preserve"> </w:t>
      </w:r>
      <w:r>
        <w:rPr>
          <w:rFonts w:hint="eastAsia" w:ascii="仿宋" w:hAnsi="仿宋" w:eastAsia="仿宋"/>
          <w:sz w:val="32"/>
          <w:szCs w:val="32"/>
        </w:rPr>
        <w:t xml:space="preserve">   （三）其他不适宜公开招标的。</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第十四条</w:t>
      </w:r>
      <w:r>
        <w:rPr>
          <w:rFonts w:hint="eastAsia" w:ascii="黑体" w:eastAsia="黑体"/>
          <w:sz w:val="32"/>
          <w:szCs w:val="32"/>
        </w:rPr>
        <w:t xml:space="preserve"> </w:t>
      </w:r>
      <w:r>
        <w:rPr>
          <w:rFonts w:hint="eastAsia" w:ascii="仿宋" w:hAnsi="仿宋" w:eastAsia="仿宋"/>
          <w:sz w:val="32"/>
          <w:szCs w:val="32"/>
        </w:rPr>
        <w:t>依法必须招标的项目，应当按照法律法规、规章及本办法的规定进行公开招标或邀请招标；第十条第（一）、（二）项所述的项目，承办部门可结合实际情况,选择采用公开招标或邀请招标，报集团招标活动决策机构批准后执行。</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第四章 招 标</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第十五条</w:t>
      </w:r>
      <w:r>
        <w:rPr>
          <w:rFonts w:hint="eastAsia" w:ascii="黑体" w:eastAsia="黑体"/>
          <w:sz w:val="32"/>
          <w:szCs w:val="32"/>
        </w:rPr>
        <w:t xml:space="preserve"> </w:t>
      </w:r>
      <w:r>
        <w:rPr>
          <w:rFonts w:hint="eastAsia" w:ascii="仿宋" w:hAnsi="仿宋" w:eastAsia="仿宋"/>
          <w:sz w:val="32"/>
          <w:szCs w:val="32"/>
        </w:rPr>
        <w:t>项目承办部门可根据招标项目的特点，以及自身编制招标文件和组织评标的能力，选择自行办理招标或委托招标代理机构办理招标，报集团招标活动决策机构批准后执行。</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第十六条</w:t>
      </w:r>
      <w:r>
        <w:rPr>
          <w:rFonts w:hint="eastAsia" w:ascii="黑体" w:eastAsia="黑体"/>
          <w:sz w:val="32"/>
          <w:szCs w:val="32"/>
        </w:rPr>
        <w:t xml:space="preserve"> </w:t>
      </w:r>
      <w:r>
        <w:rPr>
          <w:rFonts w:hint="eastAsia" w:ascii="仿宋" w:hAnsi="仿宋" w:eastAsia="仿宋"/>
          <w:sz w:val="32"/>
          <w:szCs w:val="32"/>
        </w:rPr>
        <w:t>采用公开招标方式的，应当发布招标公告。采用资格预审办法对潜在投标人进行资格审查的，应当发布资格预审公告。依法必须招标项目的招标公告和资格预审公告，应当按照国家及北京市有关规定在指定的媒介发布。</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第十七条</w:t>
      </w:r>
      <w:r>
        <w:rPr>
          <w:rFonts w:hint="eastAsia" w:ascii="黑体" w:eastAsia="黑体"/>
          <w:sz w:val="32"/>
          <w:szCs w:val="32"/>
        </w:rPr>
        <w:t xml:space="preserve"> </w:t>
      </w:r>
      <w:r>
        <w:rPr>
          <w:rFonts w:hint="eastAsia" w:ascii="仿宋" w:hAnsi="仿宋" w:eastAsia="仿宋"/>
          <w:sz w:val="32"/>
          <w:szCs w:val="32"/>
        </w:rPr>
        <w:t>采用邀请招标方式的，应当向至少三个（含）以上具备投标能力、资信良好的法人或者其它组织发出投标邀请书。</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第十八条</w:t>
      </w:r>
      <w:r>
        <w:rPr>
          <w:rFonts w:hint="eastAsia" w:ascii="黑体" w:eastAsia="黑体"/>
          <w:sz w:val="32"/>
          <w:szCs w:val="32"/>
        </w:rPr>
        <w:t xml:space="preserve"> </w:t>
      </w:r>
      <w:r>
        <w:rPr>
          <w:rFonts w:hint="eastAsia" w:ascii="仿宋" w:hAnsi="仿宋" w:eastAsia="仿宋"/>
          <w:sz w:val="32"/>
          <w:szCs w:val="32"/>
        </w:rPr>
        <w:t>招标公告和投标邀请书应当载明的主要内容包括：招标人名称与地址、招标项目名称与概况、物资名称与数量、实施地点与时间、资格审查的要求以及获取招标文件的办法等。</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第十九条</w:t>
      </w:r>
      <w:r>
        <w:rPr>
          <w:rFonts w:hint="eastAsia" w:ascii="黑体" w:eastAsia="黑体"/>
          <w:sz w:val="32"/>
          <w:szCs w:val="32"/>
        </w:rPr>
        <w:t xml:space="preserve"> </w:t>
      </w:r>
      <w:r>
        <w:rPr>
          <w:rFonts w:hint="eastAsia" w:ascii="仿宋" w:hAnsi="仿宋" w:eastAsia="仿宋"/>
          <w:sz w:val="32"/>
          <w:szCs w:val="32"/>
        </w:rPr>
        <w:t>招标时不得以不合理的条件限制或者排斥潜在投标人或投标人，不得对潜在投标人或投标人实行歧视待遇。</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第二十条</w:t>
      </w:r>
      <w:r>
        <w:rPr>
          <w:rFonts w:hint="eastAsia" w:ascii="黑体" w:eastAsia="黑体"/>
          <w:sz w:val="32"/>
          <w:szCs w:val="32"/>
        </w:rPr>
        <w:t xml:space="preserve"> </w:t>
      </w:r>
      <w:r>
        <w:rPr>
          <w:rFonts w:hint="eastAsia" w:ascii="仿宋" w:hAnsi="仿宋" w:eastAsia="仿宋"/>
          <w:sz w:val="32"/>
          <w:szCs w:val="32"/>
        </w:rPr>
        <w:t>公开招标、邀请招标的投标人数量不应少于三个，投标人少于三个的，应当重新招标。</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第二十一条</w:t>
      </w:r>
      <w:r>
        <w:rPr>
          <w:rFonts w:hint="eastAsia" w:ascii="黑体" w:eastAsia="黑体"/>
          <w:sz w:val="32"/>
          <w:szCs w:val="32"/>
        </w:rPr>
        <w:t xml:space="preserve"> </w:t>
      </w:r>
      <w:r>
        <w:rPr>
          <w:rFonts w:hint="eastAsia" w:ascii="仿宋" w:hAnsi="仿宋" w:eastAsia="仿宋"/>
          <w:sz w:val="32"/>
          <w:szCs w:val="32"/>
        </w:rPr>
        <w:t>招标过程中不得向不相关的他人透露已获取招标文件的潜在投标人的名称、数量以及可能影响公平的有关招投标的其他情况。</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第二十二条</w:t>
      </w:r>
      <w:r>
        <w:rPr>
          <w:rFonts w:hint="eastAsia" w:ascii="黑体" w:eastAsia="黑体"/>
          <w:sz w:val="32"/>
          <w:szCs w:val="32"/>
        </w:rPr>
        <w:t xml:space="preserve"> </w:t>
      </w:r>
      <w:r>
        <w:rPr>
          <w:rFonts w:hint="eastAsia" w:ascii="仿宋" w:hAnsi="仿宋" w:eastAsia="仿宋"/>
          <w:sz w:val="32"/>
          <w:szCs w:val="32"/>
        </w:rPr>
        <w:t>项目承办部门应当根据招标项目的特点和需要编制或委托招标代理机构编制资格预审文件和招标文件。编制依法必须进行招标的项目的资格预审文件和招标文件，应当使用国务院发展改革部门会同有关行政监督部门制定的标准文本。</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第二十三条</w:t>
      </w:r>
      <w:r>
        <w:rPr>
          <w:rFonts w:hint="eastAsia" w:ascii="黑体" w:eastAsia="黑体"/>
          <w:sz w:val="32"/>
          <w:szCs w:val="32"/>
        </w:rPr>
        <w:t xml:space="preserve"> </w:t>
      </w:r>
      <w:r>
        <w:rPr>
          <w:rFonts w:hint="eastAsia" w:ascii="仿宋" w:hAnsi="仿宋" w:eastAsia="仿宋"/>
          <w:sz w:val="32"/>
          <w:szCs w:val="32"/>
        </w:rPr>
        <w:t>招标文件中要求投标人提交投标保证金的，投标保证金不得超过招标项目估算价的2%，且最迟应在书面合同签订后5日内向中标人和未中标的投标人退还投标保证金及银行同期存款利息。投标保证金有效期应当与投标有效期一致。</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第二十四条</w:t>
      </w:r>
      <w:r>
        <w:rPr>
          <w:rFonts w:hint="eastAsia" w:ascii="黑体" w:eastAsia="黑体"/>
          <w:sz w:val="32"/>
          <w:szCs w:val="32"/>
        </w:rPr>
        <w:t xml:space="preserve"> </w:t>
      </w:r>
      <w:r>
        <w:rPr>
          <w:rFonts w:hint="eastAsia" w:ascii="仿宋" w:hAnsi="仿宋" w:eastAsia="仿宋"/>
          <w:sz w:val="32"/>
          <w:szCs w:val="32"/>
        </w:rPr>
        <w:t>需设置标底的招标，应当在保密环境中编制标底，标底计价内容、计价依据应与招标文件完全一致。标底在开标前密封保存，不得泄露。</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第二十五条</w:t>
      </w:r>
      <w:r>
        <w:rPr>
          <w:rFonts w:hint="eastAsia" w:ascii="黑体" w:eastAsia="黑体"/>
          <w:sz w:val="32"/>
          <w:szCs w:val="32"/>
        </w:rPr>
        <w:t xml:space="preserve"> </w:t>
      </w:r>
      <w:r>
        <w:rPr>
          <w:rFonts w:hint="eastAsia" w:ascii="仿宋" w:hAnsi="仿宋" w:eastAsia="仿宋"/>
          <w:sz w:val="32"/>
          <w:szCs w:val="32"/>
        </w:rPr>
        <w:t>对已发出的招标文件进行必要的澄清或者修改的，应当于法定或合理时间内，以书面形式通知所有招标文件收受人。该澄清或修改的内容为招标文件的组成部分。</w:t>
      </w:r>
    </w:p>
    <w:p>
      <w:pPr>
        <w:snapToGrid w:val="0"/>
        <w:spacing w:line="600" w:lineRule="exact"/>
        <w:ind w:firstLine="640" w:firstLineChars="200"/>
        <w:jc w:val="left"/>
        <w:rPr>
          <w:rFonts w:ascii="仿宋_GB2312" w:hAnsi="宋体" w:eastAsia="仿宋_GB2312"/>
          <w:sz w:val="32"/>
          <w:szCs w:val="32"/>
        </w:rPr>
      </w:pPr>
      <w:r>
        <w:rPr>
          <w:rFonts w:hint="eastAsia" w:ascii="黑体" w:hAnsi="黑体" w:eastAsia="黑体"/>
          <w:sz w:val="32"/>
          <w:szCs w:val="32"/>
        </w:rPr>
        <w:t>第二十六条</w:t>
      </w:r>
      <w:r>
        <w:rPr>
          <w:rFonts w:hint="eastAsia" w:ascii="黑体" w:eastAsia="黑体"/>
          <w:sz w:val="32"/>
          <w:szCs w:val="32"/>
        </w:rPr>
        <w:t xml:space="preserve"> </w:t>
      </w:r>
      <w:r>
        <w:rPr>
          <w:rFonts w:hint="eastAsia" w:ascii="仿宋" w:hAnsi="仿宋" w:eastAsia="仿宋"/>
          <w:sz w:val="32"/>
          <w:szCs w:val="32"/>
        </w:rPr>
        <w:t>招标时应当明确投标人编制投标文件所需要的合理时间；但法律法规对依法必须招标项目的投标文件编制时间有规定的从其规定。</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第五章 投标、开标、评标、中标</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第二十七条</w:t>
      </w:r>
      <w:r>
        <w:rPr>
          <w:rFonts w:hint="eastAsia" w:ascii="黑体" w:eastAsia="黑体"/>
          <w:sz w:val="32"/>
          <w:szCs w:val="32"/>
        </w:rPr>
        <w:t xml:space="preserve"> </w:t>
      </w:r>
      <w:r>
        <w:rPr>
          <w:rFonts w:hint="eastAsia" w:ascii="仿宋" w:hAnsi="仿宋" w:eastAsia="仿宋"/>
          <w:sz w:val="32"/>
          <w:szCs w:val="32"/>
        </w:rPr>
        <w:t>投标人应当在招标文件要求的开标时间前，将投标文件送达开标现场，在此时间之后送达的投标文件，应拒绝接收。集团收到投标文件后，应当妥善保存，不得开启。</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第二十八条</w:t>
      </w:r>
      <w:r>
        <w:rPr>
          <w:rFonts w:hint="eastAsia" w:ascii="黑体" w:eastAsia="黑体"/>
          <w:sz w:val="32"/>
          <w:szCs w:val="32"/>
        </w:rPr>
        <w:t xml:space="preserve"> </w:t>
      </w:r>
      <w:r>
        <w:rPr>
          <w:rFonts w:hint="eastAsia" w:ascii="仿宋" w:hAnsi="仿宋" w:eastAsia="仿宋"/>
          <w:sz w:val="32"/>
          <w:szCs w:val="32"/>
        </w:rPr>
        <w:t>项目承办部门或者所委托的招标代理机构负责组织开标工作，邀请所有投标人以及监督人员参加，必要时可由律师或公证人员见证。</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第二十九条</w:t>
      </w:r>
      <w:r>
        <w:rPr>
          <w:rFonts w:hint="eastAsia" w:ascii="黑体" w:eastAsia="黑体"/>
          <w:sz w:val="32"/>
          <w:szCs w:val="32"/>
        </w:rPr>
        <w:t xml:space="preserve"> </w:t>
      </w:r>
      <w:r>
        <w:rPr>
          <w:rFonts w:hint="eastAsia" w:ascii="仿宋" w:hAnsi="仿宋" w:eastAsia="仿宋"/>
          <w:sz w:val="32"/>
          <w:szCs w:val="32"/>
        </w:rPr>
        <w:t>开标时应当众检查投标文件的密封情况，经确认无误后，由招标工作人员当众拆封，宣读投标人名称、投标价格和投标文件的其他主要内容。在招标文件要求提交投标文件的截止时间前收到的所有投标文件，开标时都应当当众予以拆封、唱标。</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第三十条</w:t>
      </w:r>
      <w:r>
        <w:rPr>
          <w:rFonts w:hint="eastAsia" w:ascii="黑体" w:eastAsia="黑体"/>
          <w:sz w:val="32"/>
          <w:szCs w:val="32"/>
        </w:rPr>
        <w:t xml:space="preserve"> </w:t>
      </w:r>
      <w:r>
        <w:rPr>
          <w:rFonts w:hint="eastAsia" w:ascii="仿宋" w:hAnsi="仿宋" w:eastAsia="仿宋"/>
          <w:sz w:val="32"/>
          <w:szCs w:val="32"/>
        </w:rPr>
        <w:t>开标时发现投标文件已开封的，应暂停开标，与投标人共同确定是否继续开标，并查明原因，做好记录备查。</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第三十一条</w:t>
      </w:r>
      <w:r>
        <w:rPr>
          <w:rFonts w:hint="eastAsia" w:ascii="黑体" w:eastAsia="黑体"/>
          <w:sz w:val="32"/>
          <w:szCs w:val="32"/>
        </w:rPr>
        <w:t xml:space="preserve"> </w:t>
      </w:r>
      <w:r>
        <w:rPr>
          <w:rFonts w:hint="eastAsia" w:ascii="仿宋" w:hAnsi="仿宋" w:eastAsia="仿宋"/>
          <w:sz w:val="32"/>
          <w:szCs w:val="32"/>
        </w:rPr>
        <w:t>评标委员会负责对投标文件进行评审、出具评标报告、推荐合格中标候选人。</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第三十二条</w:t>
      </w:r>
      <w:r>
        <w:rPr>
          <w:rFonts w:hint="eastAsia" w:ascii="黑体" w:eastAsia="黑体"/>
          <w:sz w:val="32"/>
          <w:szCs w:val="32"/>
        </w:rPr>
        <w:t xml:space="preserve"> </w:t>
      </w:r>
      <w:r>
        <w:rPr>
          <w:rFonts w:hint="eastAsia" w:ascii="仿宋" w:hAnsi="仿宋" w:eastAsia="仿宋"/>
          <w:sz w:val="32"/>
          <w:szCs w:val="32"/>
        </w:rPr>
        <w:t>依法必须进行招标的项目，其评标委员会由招标人的代表和有关技术、经济等方面的专家组成，成员人数为五人以上单数，其中技术、经济等方面的专家不得少于成员总数的三分之二。其他招标项目评标委员会的组建由承办部门提出方案报集团招标活动决策机构审定，其成员人数一般应为三人以上单数，其中技术、经济等方面的专业人员一般不得少于成员总数的三分之二。与投标人有利害关系或担任招标监督工作的人员不得进入相关项目的评标委员会。</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第三十三条</w:t>
      </w:r>
      <w:r>
        <w:rPr>
          <w:rFonts w:hint="eastAsia" w:ascii="黑体" w:eastAsia="黑体"/>
          <w:sz w:val="32"/>
          <w:szCs w:val="32"/>
        </w:rPr>
        <w:t xml:space="preserve"> </w:t>
      </w:r>
      <w:r>
        <w:rPr>
          <w:rFonts w:hint="eastAsia" w:ascii="仿宋" w:hAnsi="仿宋" w:eastAsia="仿宋"/>
          <w:sz w:val="32"/>
          <w:szCs w:val="32"/>
        </w:rPr>
        <w:t>评标委员会应当按照招标文件确定的评标办法，遵循公平、公正、科学和择优的原则，对投标文件中的商务、技术等内容进行评审。设有标底的，应当参考标底。</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第三十四条</w:t>
      </w:r>
      <w:r>
        <w:rPr>
          <w:rFonts w:hint="eastAsia" w:ascii="黑体" w:eastAsia="黑体"/>
          <w:sz w:val="32"/>
          <w:szCs w:val="32"/>
        </w:rPr>
        <w:t xml:space="preserve"> </w:t>
      </w:r>
      <w:r>
        <w:rPr>
          <w:rFonts w:hint="eastAsia" w:ascii="仿宋" w:hAnsi="仿宋" w:eastAsia="仿宋"/>
          <w:sz w:val="32"/>
          <w:szCs w:val="32"/>
        </w:rPr>
        <w:t>评标工作应当封闭进行，相关工作人员应做好评标保密工作。</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第三十五条</w:t>
      </w:r>
      <w:r>
        <w:rPr>
          <w:rFonts w:hint="eastAsia" w:ascii="黑体" w:eastAsia="黑体"/>
          <w:sz w:val="32"/>
          <w:szCs w:val="32"/>
        </w:rPr>
        <w:t xml:space="preserve"> </w:t>
      </w:r>
      <w:r>
        <w:rPr>
          <w:rFonts w:hint="eastAsia" w:ascii="仿宋" w:hAnsi="仿宋" w:eastAsia="仿宋"/>
          <w:sz w:val="32"/>
          <w:szCs w:val="32"/>
        </w:rPr>
        <w:t>投标文件中有含义不明确的内容、明显文字或者计算错误，评标委员会认为需要投标人作出必要澄清、说明的，应当书面通知该投标人。投标人的澄清、说明应当采用书面形式,并不得超出投标文件的范围或者改变投标文件的实质性内容。</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第三十六条</w:t>
      </w:r>
      <w:r>
        <w:rPr>
          <w:rFonts w:hint="eastAsia" w:ascii="黑体" w:eastAsia="黑体"/>
          <w:sz w:val="32"/>
          <w:szCs w:val="32"/>
        </w:rPr>
        <w:t xml:space="preserve"> </w:t>
      </w:r>
      <w:r>
        <w:rPr>
          <w:rFonts w:hint="eastAsia" w:ascii="仿宋" w:hAnsi="仿宋" w:eastAsia="仿宋"/>
          <w:sz w:val="32"/>
          <w:szCs w:val="32"/>
        </w:rPr>
        <w:t>投标人以低于成本价竞标、以他人名义投标、串通投标的，该投标人的投标应作废标处理。</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第三十七条</w:t>
      </w:r>
      <w:r>
        <w:rPr>
          <w:rFonts w:hint="eastAsia" w:ascii="黑体" w:eastAsia="黑体"/>
          <w:sz w:val="32"/>
          <w:szCs w:val="32"/>
        </w:rPr>
        <w:t xml:space="preserve"> </w:t>
      </w:r>
      <w:r>
        <w:rPr>
          <w:rFonts w:hint="eastAsia" w:ascii="仿宋" w:hAnsi="仿宋" w:eastAsia="仿宋"/>
          <w:sz w:val="32"/>
          <w:szCs w:val="32"/>
        </w:rPr>
        <w:t>除有关法律法规及规章等另有规定外，评标委员会推荐中标候选人可采用投票评标法、最低投标价法或综合评估法。如采用投票评标法，评标委员会成员每人有一票表决权，得多数票的候选人作为中标候选人；如采用最低投标价法，评标价最低的为中标候选人；如采用综合评估法，评标委员会成员对每个投标人进行综合评分，得分最高者为最终中标候选人。</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第三十八条</w:t>
      </w:r>
      <w:r>
        <w:rPr>
          <w:rFonts w:hint="eastAsia" w:ascii="黑体" w:eastAsia="黑体"/>
          <w:sz w:val="32"/>
          <w:szCs w:val="32"/>
        </w:rPr>
        <w:t xml:space="preserve"> </w:t>
      </w:r>
      <w:r>
        <w:rPr>
          <w:rFonts w:hint="eastAsia" w:ascii="仿宋" w:hAnsi="仿宋" w:eastAsia="仿宋"/>
          <w:sz w:val="32"/>
          <w:szCs w:val="32"/>
        </w:rPr>
        <w:t>评标委员会完成评标后，应当向集团招标活动决策机构提交书面评标报告和中标候选人名单。</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第三十九条</w:t>
      </w:r>
      <w:r>
        <w:rPr>
          <w:rFonts w:hint="eastAsia" w:ascii="黑体" w:eastAsia="黑体"/>
          <w:sz w:val="32"/>
          <w:szCs w:val="32"/>
        </w:rPr>
        <w:t xml:space="preserve"> </w:t>
      </w:r>
      <w:r>
        <w:rPr>
          <w:rFonts w:hint="eastAsia" w:ascii="仿宋" w:hAnsi="仿宋" w:eastAsia="仿宋"/>
          <w:sz w:val="32"/>
          <w:szCs w:val="32"/>
        </w:rPr>
        <w:t>依法必须进行招标的项目，评标报告应由评标委员会全体成员签字。对评标结论持有异议的评标委员会成员，可以书面方式阐述其不同意见和理由。评标委员会成员拒绝在评标报告上签字且不陈述其不同意见和理由的，视为同意评标结果，评标委员会应当对此作出书面说明并记录在案。</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第四十条</w:t>
      </w:r>
      <w:r>
        <w:rPr>
          <w:rFonts w:hint="eastAsia" w:ascii="黑体" w:eastAsia="黑体"/>
          <w:sz w:val="32"/>
          <w:szCs w:val="32"/>
        </w:rPr>
        <w:t xml:space="preserve"> </w:t>
      </w:r>
      <w:r>
        <w:rPr>
          <w:rFonts w:hint="eastAsia" w:ascii="仿宋" w:hAnsi="仿宋" w:eastAsia="仿宋"/>
          <w:sz w:val="32"/>
          <w:szCs w:val="32"/>
        </w:rPr>
        <w:t>集团招标活动决策机构审阅完毕评标委员会提交的评标报告后，应依据评标报告推荐的中标候选人进行定标。依法必须招标的项目集团应当确定排名第一的中标候选人为中标人，排名第一的中标候选人放弃中标、因不可抗力不能履行合同、不按照招标文件要求提交履约保证金，或者被查实存在影响中标结果的违法行为等情形，不符合中标条件的，招标人可以按照评标委员会提出的中标候选人名单排序依次确定其他中标候选人为中标人，也可以重新招标。其他项目确定非排名第一的候选人中标的，应当阐明理由并附相关证明材料。</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第四十一条</w:t>
      </w:r>
      <w:r>
        <w:rPr>
          <w:rFonts w:hint="eastAsia" w:ascii="黑体" w:eastAsia="黑体"/>
          <w:sz w:val="32"/>
          <w:szCs w:val="32"/>
        </w:rPr>
        <w:t xml:space="preserve"> </w:t>
      </w:r>
      <w:r>
        <w:rPr>
          <w:rFonts w:hint="eastAsia" w:ascii="仿宋" w:hAnsi="仿宋" w:eastAsia="仿宋"/>
          <w:sz w:val="32"/>
          <w:szCs w:val="32"/>
        </w:rPr>
        <w:t>定标结束后，应当将中标结果通知中标人和未中标的投标人。</w:t>
      </w:r>
    </w:p>
    <w:p>
      <w:pPr>
        <w:snapToGrid w:val="0"/>
        <w:spacing w:line="600" w:lineRule="exact"/>
        <w:ind w:firstLine="640" w:firstLineChars="200"/>
        <w:jc w:val="left"/>
        <w:rPr>
          <w:rFonts w:ascii="仿宋" w:hAnsi="仿宋" w:eastAsia="仿宋"/>
          <w:sz w:val="32"/>
          <w:szCs w:val="32"/>
        </w:rPr>
      </w:pPr>
      <w:r>
        <w:rPr>
          <w:rFonts w:hint="eastAsia" w:ascii="黑体" w:hAnsi="黑体" w:eastAsia="黑体"/>
          <w:sz w:val="32"/>
          <w:szCs w:val="32"/>
        </w:rPr>
        <w:t>第四十二条</w:t>
      </w:r>
      <w:r>
        <w:rPr>
          <w:rFonts w:hint="eastAsia" w:ascii="黑体" w:eastAsia="黑体"/>
          <w:sz w:val="32"/>
          <w:szCs w:val="32"/>
        </w:rPr>
        <w:t xml:space="preserve"> </w:t>
      </w:r>
      <w:r>
        <w:rPr>
          <w:rFonts w:hint="eastAsia" w:ascii="仿宋" w:hAnsi="仿宋" w:eastAsia="仿宋"/>
          <w:sz w:val="32"/>
          <w:szCs w:val="32"/>
        </w:rPr>
        <w:t>自中标通知书发出之日起三十日内，项目承办部门应当组织与中标人按照招标文件和中标人的投标文件订立书面合同，不得再行订立背离合同实质性内容的其他协议。</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第六章 竞争性谈判、询价及其他</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第四十三条</w:t>
      </w:r>
      <w:r>
        <w:rPr>
          <w:rFonts w:hint="eastAsia" w:ascii="黑体" w:eastAsia="黑体"/>
          <w:sz w:val="32"/>
          <w:szCs w:val="32"/>
        </w:rPr>
        <w:t xml:space="preserve"> </w:t>
      </w:r>
      <w:r>
        <w:rPr>
          <w:rFonts w:hint="eastAsia" w:ascii="仿宋" w:hAnsi="仿宋" w:eastAsia="仿宋"/>
          <w:sz w:val="32"/>
          <w:szCs w:val="32"/>
        </w:rPr>
        <w:t>本办法第十条第（一）、（二）项所述项目有下列情形之一的，经集团总经理或者总经理办公会批准，可不进行招标，采取竞争性谈判、询价或单一来源采购等方式进行：</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（一）无法满足时限需要的应急项目；</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（二）须采用特定专利、专用技术等特殊要求的项目；</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（三）须保证项目的一致性、可持续性或配套需要等要求的项目；</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（四）只能从唯一供应商处采购的项目；</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（五）响应的供应商不足三家的项目、招标后没有合格标的或者重新招标未能成立的项目；</w:t>
      </w:r>
    </w:p>
    <w:p>
      <w:pPr>
        <w:snapToGrid w:val="0"/>
        <w:spacing w:line="600" w:lineRule="exact"/>
        <w:ind w:firstLine="640" w:firstLineChars="200"/>
        <w:rPr>
          <w:rFonts w:ascii="仿宋" w:hAnsi="仿宋" w:eastAsia="仿宋"/>
          <w:sz w:val="32"/>
          <w:szCs w:val="32"/>
        </w:rPr>
      </w:pPr>
      <w:r>
        <w:rPr>
          <w:rFonts w:hint="eastAsia" w:ascii="仿宋" w:hAnsi="仿宋" w:eastAsia="仿宋"/>
          <w:sz w:val="32"/>
          <w:szCs w:val="32"/>
        </w:rPr>
        <w:t>（六）不能事先计算出价格、确定详细规格或者具体要求的项目；</w:t>
      </w:r>
    </w:p>
    <w:p>
      <w:pPr>
        <w:snapToGrid w:val="0"/>
        <w:spacing w:line="600" w:lineRule="exact"/>
        <w:ind w:firstLine="640" w:firstLineChars="200"/>
        <w:rPr>
          <w:rFonts w:ascii="仿宋_GB2312" w:hAnsi="宋体" w:eastAsia="仿宋_GB2312"/>
          <w:color w:val="FF0000"/>
          <w:sz w:val="32"/>
          <w:szCs w:val="32"/>
        </w:rPr>
      </w:pPr>
      <w:r>
        <w:rPr>
          <w:rFonts w:hint="eastAsia" w:ascii="仿宋" w:hAnsi="仿宋" w:eastAsia="仿宋"/>
          <w:sz w:val="32"/>
          <w:szCs w:val="32"/>
        </w:rPr>
        <w:t>（七）经集团总经理或者总经理办公会批准的其他项目。</w:t>
      </w:r>
    </w:p>
    <w:p>
      <w:pPr>
        <w:snapToGrid w:val="0"/>
        <w:spacing w:line="600" w:lineRule="exact"/>
        <w:ind w:firstLine="640" w:firstLineChars="200"/>
        <w:jc w:val="left"/>
        <w:rPr>
          <w:rFonts w:ascii="仿宋_GB2312" w:hAnsi="宋体" w:eastAsia="仿宋_GB2312"/>
          <w:sz w:val="32"/>
          <w:szCs w:val="32"/>
        </w:rPr>
      </w:pPr>
      <w:r>
        <w:rPr>
          <w:rFonts w:hint="eastAsia" w:ascii="黑体" w:hAnsi="黑体" w:eastAsia="黑体"/>
          <w:sz w:val="32"/>
          <w:szCs w:val="32"/>
        </w:rPr>
        <w:t>第四十四条</w:t>
      </w:r>
      <w:r>
        <w:rPr>
          <w:rFonts w:hint="eastAsia" w:ascii="黑体" w:eastAsia="黑体"/>
          <w:sz w:val="32"/>
          <w:szCs w:val="32"/>
        </w:rPr>
        <w:t xml:space="preserve"> </w:t>
      </w:r>
      <w:r>
        <w:rPr>
          <w:rFonts w:hint="eastAsia" w:ascii="仿宋" w:hAnsi="仿宋" w:eastAsia="仿宋"/>
          <w:sz w:val="32"/>
          <w:szCs w:val="32"/>
        </w:rPr>
        <w:t>未达到本办法第十条规定标准的项目，应采用竞争性谈判或者询价等可比选的方式确定供应商（即时交割的小额交易除外），但有下列情形之一的项目，可采取单一来源采购等方式进行：</w:t>
      </w:r>
    </w:p>
    <w:p>
      <w:pPr>
        <w:snapToGrid w:val="0"/>
        <w:spacing w:line="600" w:lineRule="exact"/>
        <w:ind w:firstLine="640" w:firstLineChars="200"/>
        <w:jc w:val="left"/>
        <w:rPr>
          <w:rFonts w:ascii="仿宋" w:hAnsi="仿宋" w:eastAsia="仿宋"/>
          <w:sz w:val="32"/>
          <w:szCs w:val="32"/>
        </w:rPr>
      </w:pPr>
      <w:r>
        <w:rPr>
          <w:rFonts w:hint="eastAsia" w:ascii="仿宋" w:hAnsi="仿宋" w:eastAsia="仿宋"/>
          <w:sz w:val="32"/>
          <w:szCs w:val="32"/>
        </w:rPr>
        <w:t>（一）存在本办法第四十三条第（一）项至第（四）项情形的；</w:t>
      </w:r>
    </w:p>
    <w:p>
      <w:pPr>
        <w:snapToGrid w:val="0"/>
        <w:spacing w:line="600" w:lineRule="exact"/>
        <w:ind w:firstLine="640" w:firstLineChars="200"/>
        <w:jc w:val="left"/>
        <w:rPr>
          <w:rFonts w:ascii="仿宋" w:hAnsi="仿宋" w:eastAsia="仿宋"/>
          <w:sz w:val="32"/>
          <w:szCs w:val="32"/>
        </w:rPr>
      </w:pPr>
      <w:r>
        <w:rPr>
          <w:rFonts w:hint="eastAsia" w:ascii="仿宋" w:hAnsi="仿宋" w:eastAsia="仿宋"/>
          <w:sz w:val="32"/>
          <w:szCs w:val="32"/>
        </w:rPr>
        <w:t>（二）经集团相关审批流程确定了供应商的。</w:t>
      </w:r>
    </w:p>
    <w:p>
      <w:pPr>
        <w:snapToGrid w:val="0"/>
        <w:spacing w:line="600" w:lineRule="exact"/>
        <w:ind w:firstLine="640" w:firstLineChars="200"/>
        <w:jc w:val="left"/>
        <w:rPr>
          <w:rFonts w:ascii="仿宋" w:hAnsi="仿宋" w:eastAsia="仿宋"/>
          <w:sz w:val="32"/>
          <w:szCs w:val="32"/>
        </w:rPr>
      </w:pPr>
      <w:r>
        <w:rPr>
          <w:rFonts w:hint="eastAsia" w:ascii="黑体" w:hAnsi="黑体" w:eastAsia="黑体"/>
          <w:sz w:val="32"/>
          <w:szCs w:val="32"/>
        </w:rPr>
        <w:t>第四十五条</w:t>
      </w:r>
      <w:r>
        <w:rPr>
          <w:rFonts w:hint="eastAsia" w:ascii="黑体" w:eastAsia="黑体"/>
          <w:sz w:val="32"/>
          <w:szCs w:val="32"/>
        </w:rPr>
        <w:t xml:space="preserve"> </w:t>
      </w:r>
      <w:r>
        <w:rPr>
          <w:rFonts w:hint="eastAsia" w:ascii="仿宋" w:hAnsi="仿宋" w:eastAsia="仿宋"/>
          <w:sz w:val="32"/>
          <w:szCs w:val="32"/>
        </w:rPr>
        <w:t>单一来源方式采购是向特定的一个供应商进行采购，承办部门在与该供应商洽谈时，应当遵循本办法规定的原则，在保证采购项目质量的基础上商定合理价格。</w:t>
      </w:r>
    </w:p>
    <w:p>
      <w:pPr>
        <w:snapToGrid w:val="0"/>
        <w:spacing w:line="600" w:lineRule="exact"/>
        <w:ind w:firstLine="640" w:firstLineChars="200"/>
        <w:jc w:val="left"/>
        <w:rPr>
          <w:rFonts w:ascii="仿宋_GB2312" w:hAnsi="宋体" w:eastAsia="仿宋_GB2312"/>
          <w:sz w:val="32"/>
          <w:szCs w:val="32"/>
        </w:rPr>
      </w:pPr>
      <w:r>
        <w:rPr>
          <w:rFonts w:hint="eastAsia" w:ascii="黑体" w:hAnsi="黑体" w:eastAsia="黑体"/>
          <w:sz w:val="32"/>
          <w:szCs w:val="32"/>
        </w:rPr>
        <w:t>第四十六条</w:t>
      </w:r>
      <w:r>
        <w:rPr>
          <w:rFonts w:hint="eastAsia" w:ascii="黑体" w:eastAsia="黑体"/>
          <w:sz w:val="32"/>
          <w:szCs w:val="32"/>
        </w:rPr>
        <w:t xml:space="preserve"> </w:t>
      </w:r>
      <w:r>
        <w:rPr>
          <w:rFonts w:hint="eastAsia" w:ascii="仿宋" w:hAnsi="仿宋" w:eastAsia="仿宋"/>
          <w:sz w:val="32"/>
          <w:szCs w:val="32"/>
        </w:rPr>
        <w:t>采用竞争性谈判方式采购的，应当遵循下列程序：</w:t>
      </w:r>
      <w:r>
        <w:rPr>
          <w:rFonts w:hint="eastAsia" w:ascii="仿宋" w:hAnsi="仿宋" w:eastAsia="仿宋"/>
          <w:sz w:val="32"/>
          <w:szCs w:val="32"/>
        </w:rPr>
        <w:br w:type="textWrapping"/>
      </w:r>
      <w:r>
        <w:rPr>
          <w:rFonts w:hint="eastAsia" w:ascii="仿宋" w:hAnsi="仿宋" w:eastAsia="仿宋"/>
          <w:sz w:val="32"/>
          <w:szCs w:val="32"/>
        </w:rPr>
        <w:t xml:space="preserve">   （一）成立谈判小组。谈判小组由三人以上单数成员组成，其中技术、经济等方面的专业人员一般不少于成员总数的三分之二。</w:t>
      </w:r>
      <w:r>
        <w:rPr>
          <w:rFonts w:hint="eastAsia" w:ascii="仿宋" w:hAnsi="仿宋" w:eastAsia="仿宋"/>
          <w:sz w:val="32"/>
          <w:szCs w:val="32"/>
        </w:rPr>
        <w:br w:type="textWrapping"/>
      </w:r>
      <w:r>
        <w:rPr>
          <w:rFonts w:hint="eastAsia" w:ascii="仿宋" w:hAnsi="仿宋" w:eastAsia="仿宋"/>
          <w:sz w:val="32"/>
          <w:szCs w:val="32"/>
        </w:rPr>
        <w:t xml:space="preserve">   （二）制定谈判方案。谈判文件应当明确谈判程序、谈判内容以及评定成交的标准等事项。</w:t>
      </w:r>
      <w:r>
        <w:rPr>
          <w:rFonts w:hint="eastAsia" w:ascii="仿宋" w:hAnsi="仿宋" w:eastAsia="仿宋"/>
          <w:sz w:val="32"/>
          <w:szCs w:val="32"/>
        </w:rPr>
        <w:br w:type="textWrapping"/>
      </w:r>
      <w:r>
        <w:rPr>
          <w:rFonts w:hint="eastAsia" w:ascii="仿宋" w:hAnsi="仿宋" w:eastAsia="仿宋"/>
          <w:sz w:val="32"/>
          <w:szCs w:val="32"/>
        </w:rPr>
        <w:t xml:space="preserve">   （三）确定邀请参加谈判的供应商名单。谈判小组从符合相应资格条件的供应商名单中确定不少于三家的供应商（属于本办法第四十三条第（五）项或第（七）项规定情形的可以为两家）参加谈判，并向其提供谈判文件。</w:t>
      </w:r>
      <w:r>
        <w:rPr>
          <w:rFonts w:hint="eastAsia" w:ascii="仿宋" w:hAnsi="仿宋" w:eastAsia="仿宋"/>
          <w:sz w:val="32"/>
          <w:szCs w:val="32"/>
        </w:rPr>
        <w:br w:type="textWrapping"/>
      </w:r>
      <w:r>
        <w:rPr>
          <w:rFonts w:hint="eastAsia" w:ascii="仿宋" w:hAnsi="仿宋" w:eastAsia="仿宋"/>
          <w:sz w:val="32"/>
          <w:szCs w:val="32"/>
        </w:rPr>
        <w:t xml:space="preserve">   （四）谈判。谈判小组所有成员集中与单一供应商分别进行谈判。在谈判中，谈判的任何一方不得透露与谈判有关的其他供应商的技术资料、价格和其他信息。</w:t>
      </w:r>
      <w:r>
        <w:rPr>
          <w:rFonts w:hint="eastAsia" w:ascii="仿宋" w:hAnsi="仿宋" w:eastAsia="仿宋"/>
          <w:sz w:val="32"/>
          <w:szCs w:val="32"/>
        </w:rPr>
        <w:br w:type="textWrapping"/>
      </w:r>
      <w:r>
        <w:rPr>
          <w:rFonts w:hint="eastAsia" w:ascii="仿宋_GB2312" w:hAnsi="宋体" w:eastAsia="仿宋_GB2312"/>
          <w:sz w:val="32"/>
          <w:szCs w:val="32"/>
        </w:rPr>
        <w:t xml:space="preserve">   </w:t>
      </w:r>
      <w:r>
        <w:rPr>
          <w:rFonts w:hint="eastAsia" w:ascii="仿宋" w:hAnsi="仿宋" w:eastAsia="仿宋"/>
          <w:sz w:val="32"/>
          <w:szCs w:val="32"/>
        </w:rPr>
        <w:t>（五）确定成交供应商。谈判结束后，谈判小组根据符合采购需求、质量和服务相等且报价最低的原则确定成交供应商，并将结果通知参加谈判的供应商。</w:t>
      </w:r>
    </w:p>
    <w:p>
      <w:pPr>
        <w:snapToGrid w:val="0"/>
        <w:spacing w:line="600" w:lineRule="exact"/>
        <w:ind w:firstLine="640" w:firstLineChars="200"/>
        <w:jc w:val="left"/>
        <w:rPr>
          <w:rFonts w:ascii="仿宋" w:hAnsi="仿宋" w:eastAsia="仿宋"/>
          <w:sz w:val="32"/>
          <w:szCs w:val="32"/>
        </w:rPr>
      </w:pPr>
      <w:r>
        <w:rPr>
          <w:rFonts w:hint="eastAsia" w:ascii="黑体" w:hAnsi="黑体" w:eastAsia="黑体"/>
          <w:sz w:val="32"/>
          <w:szCs w:val="32"/>
        </w:rPr>
        <w:t>第四十七条</w:t>
      </w:r>
      <w:r>
        <w:rPr>
          <w:rFonts w:hint="eastAsia" w:ascii="黑体" w:eastAsia="黑体"/>
          <w:sz w:val="32"/>
          <w:szCs w:val="32"/>
        </w:rPr>
        <w:t xml:space="preserve"> </w:t>
      </w:r>
      <w:r>
        <w:rPr>
          <w:rFonts w:hint="eastAsia" w:ascii="仿宋" w:hAnsi="仿宋" w:eastAsia="仿宋"/>
          <w:sz w:val="32"/>
          <w:szCs w:val="32"/>
        </w:rPr>
        <w:t>采取询价方式采购的，应当遵循下列程序：</w:t>
      </w:r>
      <w:r>
        <w:rPr>
          <w:rFonts w:hint="eastAsia" w:ascii="仿宋" w:hAnsi="仿宋" w:eastAsia="仿宋"/>
          <w:sz w:val="32"/>
          <w:szCs w:val="32"/>
        </w:rPr>
        <w:br w:type="textWrapping"/>
      </w:r>
      <w:r>
        <w:rPr>
          <w:rFonts w:hint="eastAsia" w:ascii="仿宋" w:hAnsi="仿宋" w:eastAsia="仿宋"/>
          <w:sz w:val="32"/>
          <w:szCs w:val="32"/>
        </w:rPr>
        <w:t xml:space="preserve">    （一）成立询价小组。询价小组由二人以上成员组成，其中至少有一名相关领域专业人员。</w:t>
      </w:r>
    </w:p>
    <w:p>
      <w:pPr>
        <w:snapToGrid w:val="0"/>
        <w:spacing w:line="600" w:lineRule="exact"/>
        <w:ind w:firstLine="640" w:firstLineChars="200"/>
        <w:jc w:val="left"/>
        <w:rPr>
          <w:rFonts w:ascii="仿宋" w:hAnsi="仿宋" w:eastAsia="仿宋"/>
          <w:sz w:val="32"/>
          <w:szCs w:val="32"/>
        </w:rPr>
      </w:pPr>
      <w:r>
        <w:rPr>
          <w:rFonts w:hint="eastAsia" w:ascii="仿宋" w:hAnsi="仿宋" w:eastAsia="仿宋"/>
          <w:sz w:val="32"/>
          <w:szCs w:val="32"/>
        </w:rPr>
        <w:t>（二）确定被询价的供应商名单。询价小组根据采购需求，从符合相应资格条件的供应商名单中确定不少于三家的供应商，并向其发出询价通知让其报价。</w:t>
      </w:r>
      <w:r>
        <w:rPr>
          <w:rFonts w:hint="eastAsia" w:ascii="仿宋" w:hAnsi="仿宋" w:eastAsia="仿宋"/>
          <w:sz w:val="32"/>
          <w:szCs w:val="32"/>
        </w:rPr>
        <w:br w:type="textWrapping"/>
      </w:r>
      <w:r>
        <w:rPr>
          <w:rFonts w:hint="eastAsia" w:ascii="仿宋" w:hAnsi="仿宋" w:eastAsia="仿宋"/>
          <w:sz w:val="32"/>
          <w:szCs w:val="32"/>
        </w:rPr>
        <w:t xml:space="preserve">    （三）询价。要求被询价的供应商一次报出不得更改的价格。</w:t>
      </w:r>
      <w:r>
        <w:rPr>
          <w:rFonts w:hint="eastAsia" w:ascii="仿宋" w:hAnsi="仿宋" w:eastAsia="仿宋"/>
          <w:sz w:val="32"/>
          <w:szCs w:val="32"/>
        </w:rPr>
        <w:br w:type="textWrapping"/>
      </w:r>
      <w:r>
        <w:rPr>
          <w:rFonts w:hint="eastAsia" w:ascii="仿宋" w:hAnsi="仿宋" w:eastAsia="仿宋"/>
          <w:sz w:val="32"/>
          <w:szCs w:val="32"/>
        </w:rPr>
        <w:t xml:space="preserve">  （四）确定成交供应商。根据符合采购需求、质量和服务相等且报价最低的原则确定成交供应商。</w:t>
      </w:r>
    </w:p>
    <w:p>
      <w:pPr>
        <w:snapToGrid w:val="0"/>
        <w:spacing w:line="600" w:lineRule="exact"/>
        <w:ind w:firstLine="640" w:firstLineChars="200"/>
        <w:jc w:val="left"/>
        <w:rPr>
          <w:rFonts w:ascii="仿宋" w:hAnsi="仿宋" w:eastAsia="仿宋"/>
          <w:sz w:val="32"/>
          <w:szCs w:val="32"/>
        </w:rPr>
      </w:pPr>
      <w:r>
        <w:rPr>
          <w:rFonts w:hint="eastAsia" w:ascii="黑体" w:hAnsi="黑体" w:eastAsia="黑体"/>
          <w:sz w:val="32"/>
          <w:szCs w:val="32"/>
        </w:rPr>
        <w:t>第四十八条</w:t>
      </w:r>
      <w:r>
        <w:rPr>
          <w:rFonts w:hint="eastAsia" w:ascii="黑体" w:eastAsia="黑体"/>
          <w:sz w:val="32"/>
          <w:szCs w:val="32"/>
        </w:rPr>
        <w:t xml:space="preserve"> </w:t>
      </w:r>
      <w:r>
        <w:rPr>
          <w:rFonts w:hint="eastAsia" w:ascii="仿宋" w:hAnsi="仿宋" w:eastAsia="仿宋"/>
          <w:sz w:val="32"/>
          <w:szCs w:val="32"/>
        </w:rPr>
        <w:t>承办部门确定拟选用的采购方式后，应按集团有关事项审批流程履行相应程序，经批准后进行采购。报批文件中应包含采购标的、采购方式、以及以非招标方式采购的理由等内容并附相关证明材料。</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第七章 责任与追究</w:t>
      </w:r>
    </w:p>
    <w:p>
      <w:pPr>
        <w:snapToGrid w:val="0"/>
        <w:spacing w:line="600" w:lineRule="exact"/>
        <w:ind w:firstLine="640" w:firstLineChars="200"/>
        <w:jc w:val="left"/>
        <w:rPr>
          <w:rFonts w:ascii="仿宋" w:hAnsi="仿宋" w:eastAsia="仿宋"/>
          <w:sz w:val="32"/>
          <w:szCs w:val="32"/>
        </w:rPr>
      </w:pPr>
      <w:r>
        <w:rPr>
          <w:rFonts w:hint="eastAsia" w:ascii="黑体" w:hAnsi="黑体" w:eastAsia="黑体"/>
          <w:sz w:val="32"/>
          <w:szCs w:val="32"/>
        </w:rPr>
        <w:t>第四十九条</w:t>
      </w:r>
      <w:r>
        <w:rPr>
          <w:rFonts w:hint="eastAsia" w:ascii="黑体" w:eastAsia="黑体"/>
          <w:sz w:val="32"/>
          <w:szCs w:val="32"/>
        </w:rPr>
        <w:t xml:space="preserve"> </w:t>
      </w:r>
      <w:r>
        <w:rPr>
          <w:rFonts w:hint="eastAsia" w:ascii="仿宋" w:hAnsi="仿宋" w:eastAsia="仿宋"/>
          <w:sz w:val="32"/>
          <w:szCs w:val="32"/>
        </w:rPr>
        <w:t>集团各部门及人员应当依照招投标相关法律法规及本办法开展采购招标活动，严禁在采购招标过程中谋取个人私利，损害集团利益。</w:t>
      </w:r>
    </w:p>
    <w:p>
      <w:pPr>
        <w:snapToGrid w:val="0"/>
        <w:spacing w:line="600" w:lineRule="exact"/>
        <w:ind w:firstLine="640" w:firstLineChars="200"/>
        <w:jc w:val="left"/>
        <w:rPr>
          <w:rFonts w:ascii="仿宋_GB2312" w:hAnsi="宋体" w:eastAsia="仿宋_GB2312"/>
          <w:sz w:val="32"/>
          <w:szCs w:val="32"/>
        </w:rPr>
      </w:pPr>
      <w:r>
        <w:rPr>
          <w:rFonts w:hint="eastAsia" w:ascii="黑体" w:hAnsi="黑体" w:eastAsia="黑体"/>
          <w:sz w:val="32"/>
          <w:szCs w:val="32"/>
        </w:rPr>
        <w:t>第五十条</w:t>
      </w:r>
      <w:r>
        <w:rPr>
          <w:rFonts w:hint="eastAsia" w:ascii="黑体" w:eastAsia="黑体"/>
          <w:sz w:val="32"/>
          <w:szCs w:val="32"/>
        </w:rPr>
        <w:t xml:space="preserve"> </w:t>
      </w:r>
      <w:r>
        <w:rPr>
          <w:rFonts w:hint="eastAsia" w:ascii="仿宋" w:hAnsi="仿宋" w:eastAsia="仿宋"/>
          <w:sz w:val="32"/>
          <w:szCs w:val="32"/>
        </w:rPr>
        <w:t>对违反本办法的行为，将按照集团相关规定对责任人予以处罚；给集团造成损失的，集团将依法进行追偿；有犯罪嫌疑的，依法移送司法机关处理。</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第八章 附则</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第五十一条</w:t>
      </w:r>
      <w:r>
        <w:rPr>
          <w:rFonts w:hint="eastAsia" w:ascii="黑体" w:eastAsia="黑体"/>
          <w:sz w:val="32"/>
          <w:szCs w:val="32"/>
        </w:rPr>
        <w:t xml:space="preserve"> </w:t>
      </w:r>
      <w:r>
        <w:rPr>
          <w:rFonts w:hint="eastAsia" w:ascii="仿宋" w:hAnsi="仿宋" w:eastAsia="仿宋"/>
          <w:sz w:val="32"/>
          <w:szCs w:val="32"/>
        </w:rPr>
        <w:t>法律法规、规章及集团章程等对本办法所涉内容另有规定的从其规定。本办法未尽事宜，按照《中华人民共和国招标投标法》和《中华人民共和国招标投标法实施条例》等相关法律法规和集团规章制度执行。</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第五十二条</w:t>
      </w:r>
      <w:r>
        <w:rPr>
          <w:rFonts w:hint="eastAsia" w:ascii="黑体" w:eastAsia="黑体"/>
          <w:sz w:val="32"/>
          <w:szCs w:val="32"/>
        </w:rPr>
        <w:t xml:space="preserve"> </w:t>
      </w:r>
      <w:r>
        <w:rPr>
          <w:rFonts w:hint="eastAsia" w:ascii="仿宋" w:hAnsi="仿宋" w:eastAsia="仿宋"/>
          <w:sz w:val="32"/>
          <w:szCs w:val="32"/>
        </w:rPr>
        <w:t>集团全资和控股子公司没有采购招标活动相关制度的，参照本办法执行。</w:t>
      </w:r>
    </w:p>
    <w:p>
      <w:pPr>
        <w:snapToGrid w:val="0"/>
        <w:spacing w:line="600" w:lineRule="exact"/>
        <w:ind w:firstLine="640" w:firstLineChars="200"/>
        <w:rPr>
          <w:rFonts w:ascii="仿宋_GB2312" w:hAnsi="宋体" w:eastAsia="仿宋_GB2312"/>
          <w:sz w:val="32"/>
          <w:szCs w:val="32"/>
        </w:rPr>
      </w:pPr>
      <w:r>
        <w:rPr>
          <w:rFonts w:hint="eastAsia" w:ascii="黑体" w:hAnsi="黑体" w:eastAsia="黑体"/>
          <w:sz w:val="32"/>
          <w:szCs w:val="32"/>
        </w:rPr>
        <w:t>第五十三条</w:t>
      </w:r>
      <w:r>
        <w:rPr>
          <w:rFonts w:hint="eastAsia" w:ascii="黑体" w:eastAsia="黑体"/>
          <w:sz w:val="32"/>
          <w:szCs w:val="32"/>
        </w:rPr>
        <w:t xml:space="preserve"> </w:t>
      </w:r>
      <w:r>
        <w:rPr>
          <w:rFonts w:hint="eastAsia" w:ascii="仿宋" w:hAnsi="仿宋" w:eastAsia="仿宋"/>
          <w:sz w:val="32"/>
          <w:szCs w:val="32"/>
        </w:rPr>
        <w:t>本办法由风险管理部负责解释和修改。</w:t>
      </w:r>
    </w:p>
    <w:p>
      <w:pPr>
        <w:snapToGrid w:val="0"/>
        <w:spacing w:line="600" w:lineRule="exact"/>
        <w:ind w:firstLine="640" w:firstLineChars="200"/>
        <w:rPr>
          <w:rFonts w:ascii="仿宋" w:hAnsi="仿宋" w:eastAsia="仿宋"/>
          <w:sz w:val="32"/>
          <w:szCs w:val="32"/>
        </w:rPr>
      </w:pPr>
      <w:r>
        <w:rPr>
          <w:rFonts w:hint="eastAsia" w:ascii="黑体" w:hAnsi="黑体" w:eastAsia="黑体"/>
          <w:sz w:val="32"/>
          <w:szCs w:val="32"/>
        </w:rPr>
        <w:t>第五十四条</w:t>
      </w:r>
      <w:r>
        <w:rPr>
          <w:rFonts w:hint="eastAsia" w:ascii="黑体" w:eastAsia="黑体"/>
          <w:sz w:val="32"/>
          <w:szCs w:val="32"/>
        </w:rPr>
        <w:t xml:space="preserve"> </w:t>
      </w:r>
      <w:r>
        <w:rPr>
          <w:rFonts w:hint="eastAsia" w:ascii="仿宋" w:hAnsi="仿宋" w:eastAsia="仿宋"/>
          <w:sz w:val="32"/>
          <w:szCs w:val="32"/>
        </w:rPr>
        <w:t>本办法自发布之日起施行。</w:t>
      </w:r>
    </w:p>
    <w:p>
      <w:pPr>
        <w:spacing w:line="600" w:lineRule="exact"/>
        <w:ind w:firstLine="5280" w:firstLineChars="1650"/>
        <w:rPr>
          <w:rFonts w:ascii="仿宋" w:hAnsi="仿宋" w:eastAsia="仿宋"/>
          <w:sz w:val="32"/>
          <w:szCs w:val="32"/>
        </w:rPr>
      </w:pPr>
      <w:r>
        <w:rPr>
          <w:rFonts w:hint="eastAsia" w:ascii="仿宋" w:hAnsi="仿宋" w:eastAsia="仿宋"/>
          <w:sz w:val="32"/>
          <w:szCs w:val="32"/>
        </w:rPr>
        <w:t xml:space="preserve"> </w:t>
      </w:r>
    </w:p>
    <w:p>
      <w:pPr>
        <w:spacing w:line="600" w:lineRule="exact"/>
        <w:rPr>
          <w:rFonts w:ascii="楷体" w:hAnsi="楷体" w:eastAsia="楷体"/>
          <w:sz w:val="32"/>
          <w:szCs w:val="32"/>
        </w:rPr>
      </w:pPr>
      <w:r>
        <w:rPr>
          <w:rFonts w:hint="eastAsia" w:ascii="楷体" w:hAnsi="楷体" w:eastAsia="楷体"/>
          <w:sz w:val="32"/>
          <w:szCs w:val="32"/>
        </w:rPr>
        <w:t xml:space="preserve"> </w:t>
      </w:r>
    </w:p>
    <w:p>
      <w:pPr>
        <w:spacing w:line="600" w:lineRule="exact"/>
        <w:ind w:firstLine="5280" w:firstLineChars="1650"/>
        <w:rPr>
          <w:rFonts w:ascii="楷体" w:hAnsi="楷体" w:eastAsia="楷体"/>
          <w:sz w:val="32"/>
          <w:szCs w:val="32"/>
        </w:rPr>
      </w:pPr>
      <w:r>
        <w:rPr>
          <w:rFonts w:hint="eastAsia" w:ascii="楷体" w:hAnsi="楷体" w:eastAsia="楷体"/>
          <w:sz w:val="32"/>
          <w:szCs w:val="32"/>
        </w:rPr>
        <w:br w:type="page"/>
      </w:r>
    </w:p>
    <w:p>
      <w:pPr>
        <w:pStyle w:val="29"/>
        <w:spacing w:line="560" w:lineRule="exact"/>
        <w:jc w:val="center"/>
        <w:rPr>
          <w:rFonts w:ascii="方正小标宋简体" w:hAnsi="仿宋" w:eastAsia="方正小标宋简体"/>
          <w:sz w:val="44"/>
          <w:szCs w:val="44"/>
        </w:rPr>
      </w:pPr>
      <w:r>
        <w:rPr>
          <w:rFonts w:hint="eastAsia" w:ascii="方正小标宋简体" w:hAnsi="仿宋" w:eastAsia="方正小标宋简体"/>
          <w:sz w:val="44"/>
          <w:szCs w:val="44"/>
        </w:rPr>
        <w:t>中关村发展集团股份有限公司</w:t>
      </w:r>
    </w:p>
    <w:p>
      <w:pPr>
        <w:pStyle w:val="29"/>
        <w:spacing w:line="560" w:lineRule="exact"/>
        <w:jc w:val="center"/>
        <w:rPr>
          <w:rFonts w:ascii="方正小标宋简体" w:hAnsi="仿宋" w:eastAsia="方正小标宋简体"/>
          <w:sz w:val="44"/>
          <w:szCs w:val="44"/>
        </w:rPr>
      </w:pPr>
      <w:r>
        <w:rPr>
          <w:rFonts w:hint="eastAsia" w:ascii="方正小标宋简体" w:hAnsi="仿宋" w:eastAsia="方正小标宋简体"/>
          <w:sz w:val="44"/>
          <w:szCs w:val="44"/>
        </w:rPr>
        <w:t>合同管理办法</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第一章  总  则</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为加强中关村发展集团股份有限公司（以下简称集团）合同管理，明确管理程序，预防经济合同纠纷，降低经营风险，提高经济效益，根据《合同法》及有关法律、法规，结合集团实际情况，制定本办法。</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本办法适用集团总部，如无特殊说明，本办法中的“集团”均指集团总部。</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本办法所称的合同指为完成集团的某项经济活动，提高集团经济效益，集团作为一方当事人，与其他当事人签订的设立、变更、终止某种权利义务关系的协议。</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本办法所称的合同范本指经风险管理部审定并发布，作为集团对外签署同类合作事项合同的固定合同文本。集团风险管理部根据集团业务运作情况，建立、完善并发布合同范本。</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本办法所称的合同管理包括资信调查、意向接触、商务谈判、合同签订、履行、变更、解除、归档、考核以及合同纠纷处理等全过程的管理，是企业现代化管理的重要内容。</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合同管理遵循统一管理、归口负责、合理授权的原则。劳动合同的管理不适用本办法。</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第二章  合同管理的分工和职责</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合同的主办部门为合同的承办部门。</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风险管理部是集团的合同综合管理部门，主要职责为：</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（一）制订集团的合同管理办法；</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（二）对集团各部门所承办合同的签订程序及法律条款进行审核；</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（三）负责集团合同的编号、登记、追踪、备案、保管、查询、借阅工作；</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（四）根据集团业务的开展情况，建立、完善并发布合同范本；</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（五）协调集团法律顾问做好集团重大经济合同审核及执行的咨询工作；</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（六）负责集团成员单位合同管理工作的指导和监督，检查并监督成员单位合同的管理情况，并定期向集团主管领导报告；</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（七）协调、配合合同承办部门防范、处理合同纠纷、诉讼等事项。</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集团各部门应承担的合同管理工作如下：</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（一）负责本部门的合同管理工作，协调、配合风险管理部开展及完善合同管理工作；</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（二）负责本部门承办合同的起草、签订、履行、变更、解除；</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（三）在本部门中指定合同经办人，负责办理本部门承办合同的审批和归档手续；</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（四）对合同的执行情况实施动态管理，履行中涉及其他部门，要主动协调，以保证合同的按时、全面履行；</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（五）定期将本部门承办合同执行情况报送主管领导和风险管理部；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（六）参与本部门承办合同纠纷的协商、仲裁、诉讼等活动。</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董事长是集团的法定代表人，代表集团对外签署合同。董事长以外的人员代表集团对外签署合同的，需提前取得集团书面授权文件《授权委托书》（见附件三），未经授权或超出授权范围签订的合同为无效合同。</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（一）签署对外担保、融资、诉讼、购并及重组等合同，由董事长本人签署，原则上不进行授权委托。</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（二）除上述须由董事长亲自签署的合同外，其余各类合同按年度以“常年授权委托书形式”授权集团总经理负责签订，总经理可在授权范围内逐级授权集团副总经理等有关人员签订有关合同。</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集团常年法律顾问是合同的咨询机构，负责集团重大合同的调研、起草、审核工作。除政府或行业主管部门规定的样本合同外，签订以下合同时，若集团承办部门认为有必要，可经风险管理部提交集团法律顾问审核：</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 xml:space="preserve">（一）涉外合同； </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（二）合同标的金额较大或较复杂的集团对外投资合同、合资合作合同、重大资产转让合同、对外资金拆借合同、担保合同、资产抵押合同；</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（三）集团各部门认为有必要经集团法律顾问审核的其他合同。</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第三章  合同的签订</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签订合同必须遵守国家的法律法规及集团有关规定。凡进行各种交易、协作、委托等经济活动，除合同标的金额较小且即时清结的外，均须以集团名义签订书面合同。未经集团书面授权，集团各部门不得以部门名义对外签订合同。</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合同谈判前，需由承办部门调查合同相对方资信情况、经营状况、履约能力、利益和风险预测等，必要时可要求合同相对方提供有关财务报表、开户银行出具的资金证明和注册会计师出具的审计报告。承办部门在签约前还应审核合同相对方的下列情况：</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（一）法人资质：审验并留存企业法人营业执照（副本）；</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（二）签约人资质：审验并留存法定代表人证明书或授权委托书；</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（三）履约能力和信誉。提供担保的，须查明担保人的担保资格和担保能力；提供资产抵押的，须核实抵押物的合法性。</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集团的合同签订应按如下程序进行：</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（一）合同谈判</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合同谈判由合同承办部门负责，部门谈判人员至少为2人。谈判人员应及时记录谈判主要内容及谈判情况，必要时可进行专业咨询或聘请相关专业人员参加。</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（二）合同起草</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承办部门根据谈判情况起草合同。起草合同时应优先参考风险管理部已发布的合同范本。</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（三）合同会签、审批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1.合同的签订必须履行会签审批手续，原则上应通过OA合同管理系统完成会签审批。谈判完成后，承办部门应准备合同会签资料，合同会签资料包括：</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（1）合同文本及附件；</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（2）本办法第十三条中规定的合同相对方的营业执照（副本）、《授权委托书》等证明材料；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（3）与合同及谈判有关的文件、资料，集团领导对合同的有关批示，相关会议纪要等；</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（4）符合本办法第十条第（二）款规定的合同，还应附上授权代表签署合同的《授权委托书》。</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合同承办人应在OA合同管理系统中填写《合同签订审批表》及上传相关合同会签资料。承办部门负责人在OA线上审批后，由风险管理部等相关部门审核会签。承办部门或风险管理部认为有必要请其他部门会签的，应在流程中将合同加签给会签部门，合同会签部门应认真把关审核。各部门会签完成后，按集团合同审批权限经OA报送主管领导、总经理或者董事长审批。</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3.承办部门负责会签审核意见的答疑，并根据审核意见，对合同文本进行修改，同时协调合同相对方的意见，共同形成正式合同文本。若未能与合同相对方就上述修改协调一致，会签部门可以出具保留意见并附说明，以协助集团领导决策。</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（四）合同签署</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1.会签完成后，承办部门持由风险管理部打印的《合同签订审批表》及经会签并由风险管理部加盖法审章的合同原件及附件，报送合同签署人签署。</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2.集团董事长作为集团法定代表人在合同上签字，总经理或其他经授权的人员作为集团授权代表在合同上签字。签署合同由签署人本人亲笔签字或手签章。</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3.承办部门持《合同签订审批表》及经法定代表人或授权代表签字的合同原件及附件，到办公室办理用印手续，加盖合同专用章。</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4.风险管理部负责办理合同签署的以下手续：</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（1）对合同进行统一编号和登记；</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（2）对符合授权签署规定的合同出具《授权委托书》。</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（五）合同文本管理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1.合同签署完成后，按照以下内容分类管理：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（1）《合同签订审批表》原件由风险管理部管理；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（2）合同原件正本由风险管理部管理，合同原件副本由资金财务部、合同主办部门管理。</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2.上述规定之外的主办部门留存合同复印件。</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3.合同原件份数不足的，风险管理部优先管理合同原件，资金财务部、合同主办部门管理合同复印件。</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4.集团已签署，但合同相对方尚未签署的合同是未归档合同，风险管理部定期向承办部门发出合同追踪提醒，由承办部门负责敦促合同相对方及时完成签署并统一交还风险管理部，由风险管理部按本办法的规定管理或移交。</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风险管理部建立合同范本库，用以规范、统一集团的合同文本。使用集团合同范本，可根据需要增加特定条款，合同范本条款原则上不得减少或删除。</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如无特殊约定，集团正式合同文本应统一以A4纸尺寸为标准制作，正反面打印，要求页面整洁，不得有涂改痕迹；需要保密的合同，应在合同文本表面明显的位置注明密级。</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第四章  合同的执行、变更、解除及评价</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承办部门负责合同的全面执行、保管合同执行过程中的相关资料，并督促与合同执行有关的部门按照合同约定及时、准确执行合同。</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合同执行情况表》（见附件四）是对已签订合同执行情况的全过程记录，合同承办部门应根据合同的执行情况，填写一式两份，于每双月10日前报送集团主管领导和风险管理部。每年1月31日前，集团各部门应就上年度合同执行情况，填写《年度部门合同情况表》（见附件五），报送集团主管领导和风险管理部。</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合同执行过程中，如果承办部门发现合同约定不明或对有关事项未约定，需要与对方签署补充协议的，应参照原合同执行合同签订审批程序。</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对合同执行过程中出现的问题，合同承办部门应及时处理解决，如出现下列情况，严重影响合同执行，承办部门应及时向主管领导汇报，并通知风险管理部：</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（一）合同相对方没有执行义务或执行义务不符合约定；</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（二）我方出现或可能出现不能执行义务的情况；</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（三）其他影响合同执行的客观情况发生重大变化。</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合同在执行过程中，需要变更或解除的，应在法律规定或合同约定的条件下与合同相对方进行协商。将协商结果形成补充协议，并参照原合同执行合同签订审批程序。</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变更、解除合同必须采用书面形式（包括双方往来信函、传真等），其签订程序、审批权限与原合同相同。在达成变更、解除合同的协议之前，仍应执行原合同。</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对于执行完毕的重大合同，由风险管理部定期与主办部门根据实际情况共同对合同执行情况进行评价。</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第五章  合同纠纷处理</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合同纠纷发生后，承办部门应立即向主管领导报告并通知风险管理部，对于能协商解决的，应编写协商解决协议书；不能协商解决的，由承办部门报经主管领导后，会同风险管理部商议解决办法，并报总经理审批。</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申请仲裁、起诉或公司作为被告应诉的，由风险管理部视情况会同承办部门采取委托法律顾问、委托其他律师或自行组织的办法，参与仲裁或诉讼。</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涉及合同纠纷的承办部门应负责收集并提供下列材料：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（一）合同文本相关文件（包括谈判及洽商文件，合同文本及补充协议，履行或纠纷过程中双方的传真、信函、图表、视听资料以及与合同有关的其他资料）；</w:t>
      </w:r>
    </w:p>
    <w:p>
      <w:pPr>
        <w:spacing w:line="600" w:lineRule="exact"/>
        <w:ind w:firstLine="640" w:firstLineChars="200"/>
        <w:rPr>
          <w:rFonts w:ascii="仿宋" w:hAnsi="仿宋" w:eastAsia="仿宋"/>
          <w:sz w:val="32"/>
          <w:szCs w:val="32"/>
        </w:rPr>
      </w:pPr>
      <w:r>
        <w:rPr>
          <w:rFonts w:hint="eastAsia" w:ascii="仿宋_GB2312" w:eastAsia="仿宋_GB2312"/>
          <w:sz w:val="32"/>
          <w:szCs w:val="32"/>
        </w:rPr>
        <w:t>（二）</w:t>
      </w:r>
      <w:r>
        <w:rPr>
          <w:rFonts w:hint="eastAsia" w:ascii="仿宋" w:hAnsi="仿宋" w:eastAsia="仿宋"/>
          <w:sz w:val="32"/>
          <w:szCs w:val="32"/>
        </w:rPr>
        <w:t>合同有关的单证票据；</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（三）合同款项的收支情况及催款记录；</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（四）有关违约的证据材料；</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（五）其他与处理该合同纠纷有关的材料。</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风险管理部就纠纷或诉讼进行调查取证时，承办部门应予配合，提供有关证据材料，根据需要协调有关人员参与仲裁、诉讼或出庭作证。</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双方就解决合同纠纷达成的和解协议、仲裁机关的裁决书、人民法院的调解书、判决书等法律文书，合同承办部门应将原件交风险管理部存档，并确定专人负责该文件的执行和检查。</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生效的调解书、判决书、裁定书由承办部门负责执行。合同相对方逾期不履行和解协议、仲裁书、调解书、判决书的，承办部门应立即向集团主管领导报告并通知风险管理部，以便及时采取有效措施。</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第六章  合同档案管理</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风险管理部遵循完备、整齐、分类检索和易于查找的原则对合同进行编号、登记、保管，并形成合同档案。</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合同档案的范围包括：《合同签订审批表》，合同正本及附件，《合同执行情况表》，《授权委托书》。</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如发现散存的合同档案原件，应及时交还风险管理部，由风险管理部依本办法的规定保管或移交。</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风险管理部保管的合同档案，向承办部门及集团领导提供信息查询和原件借阅，承办部门仅限查询及借阅本部门主办的合同。借阅人应在风险管理部登记借阅内容并在5个工作日内归还。</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资金财务部保管的合同原件副本主要用于财务内部核查与统计。</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风险管理部及其他相关部门根据集团档案管理办法的有关规定，定期将合同档案移交办公室。</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第七章  合同印章管理</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合同专用章是订立合同的指定用章，由办公室设专人负责保管。</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签订合同应按本办法规定的流程审批及用印。印章管理人是执印人，仅对经完整会签审批的合同加盖印章。</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集团签订合同原则上均使用合同专用章。若特殊情况须使用公章签订合同的，承办部门应在盖章前向执印人说明。执印人应在《合同签订审批表》上如实注明用印情况。</w:t>
      </w:r>
    </w:p>
    <w:p>
      <w:pPr>
        <w:numPr>
          <w:ilvl w:val="0"/>
          <w:numId w:val="1"/>
        </w:numPr>
        <w:spacing w:line="600" w:lineRule="exact"/>
        <w:ind w:left="0" w:firstLine="640" w:firstLineChars="200"/>
        <w:rPr>
          <w:rFonts w:ascii="仿宋_GB2312" w:eastAsia="仿宋_GB2312"/>
          <w:sz w:val="32"/>
          <w:szCs w:val="32"/>
        </w:rPr>
      </w:pPr>
      <w:r>
        <w:rPr>
          <w:rFonts w:hint="eastAsia" w:ascii="仿宋" w:hAnsi="仿宋" w:eastAsia="仿宋"/>
          <w:sz w:val="32"/>
          <w:szCs w:val="32"/>
        </w:rPr>
        <w:t>非经总经理审批，合同专用章不得携带外出或借出，亦不得事先在空白合同上加盖印章。</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第八章  合同行为管理</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员工以集团名义进行经济合同活动的，应遵守本办法及集团相关规定，维护集团的信誉和利益。</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合同经办人、合同参与人、合同管理人均有责任对合同内容保密。</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各有关部门应认真履行合同管理职责，对合同签订履行情况进行检查监督，发现问题后应及时汇报、处理。</w:t>
      </w:r>
    </w:p>
    <w:p>
      <w:pPr>
        <w:numPr>
          <w:ilvl w:val="0"/>
          <w:numId w:val="1"/>
        </w:numPr>
        <w:spacing w:line="600" w:lineRule="exact"/>
        <w:ind w:left="0" w:firstLine="640" w:firstLineChars="200"/>
        <w:rPr>
          <w:rFonts w:ascii="仿宋" w:hAnsi="仿宋" w:eastAsia="仿宋"/>
          <w:sz w:val="32"/>
          <w:szCs w:val="32"/>
        </w:rPr>
      </w:pPr>
      <w:r>
        <w:rPr>
          <w:rFonts w:hint="eastAsia" w:ascii="仿宋" w:hAnsi="仿宋" w:eastAsia="仿宋"/>
          <w:sz w:val="32"/>
          <w:szCs w:val="32"/>
        </w:rPr>
        <w:t>对违反国家法律、法规和本办法，在订立、履行合同中失职或以权谋私，签署假合同、无效合同或有其他损害国家、社会和/或集团利益行为的，集团将依据国家法律、法规和集团相关规章制度，视情节严重程度给予责任人员处分，并保留追究责任人员法律责任的权利。构成犯罪的，将移交司法机关依法追究刑事责任。</w:t>
      </w:r>
    </w:p>
    <w:p>
      <w:pPr>
        <w:pStyle w:val="2"/>
        <w:spacing w:before="240" w:after="10"/>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第九章  附则</w:t>
      </w:r>
    </w:p>
    <w:p>
      <w:pPr>
        <w:numPr>
          <w:ilvl w:val="0"/>
          <w:numId w:val="1"/>
        </w:numPr>
        <w:spacing w:line="600" w:lineRule="exact"/>
        <w:ind w:left="0" w:firstLine="640" w:firstLineChars="200"/>
        <w:rPr>
          <w:rFonts w:ascii="仿宋_GB2312" w:eastAsia="仿宋_GB2312"/>
          <w:sz w:val="32"/>
          <w:szCs w:val="32"/>
        </w:rPr>
      </w:pPr>
      <w:r>
        <w:rPr>
          <w:rFonts w:hint="eastAsia" w:ascii="仿宋_GB2312" w:eastAsia="仿宋_GB2312"/>
          <w:sz w:val="32"/>
          <w:szCs w:val="32"/>
        </w:rPr>
        <w:t>本办法由风险管理部负责解释和修订。</w:t>
      </w:r>
    </w:p>
    <w:p>
      <w:pPr>
        <w:numPr>
          <w:ilvl w:val="0"/>
          <w:numId w:val="1"/>
        </w:numPr>
        <w:spacing w:line="600" w:lineRule="exact"/>
        <w:ind w:left="0" w:firstLine="640" w:firstLineChars="200"/>
        <w:rPr>
          <w:rFonts w:ascii="仿宋_GB2312" w:eastAsia="仿宋_GB2312"/>
          <w:sz w:val="32"/>
          <w:szCs w:val="32"/>
        </w:rPr>
      </w:pPr>
      <w:r>
        <w:rPr>
          <w:rFonts w:hint="eastAsia" w:ascii="仿宋_GB2312" w:eastAsia="仿宋_GB2312"/>
          <w:sz w:val="32"/>
          <w:szCs w:val="32"/>
        </w:rPr>
        <w:t>本办法经总经理办公会审定后生效，自签发之日起施行。</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附件：1.授权委托书、授权委托书（转授权）</w:t>
      </w:r>
    </w:p>
    <w:p>
      <w:pPr>
        <w:spacing w:line="600" w:lineRule="exact"/>
        <w:ind w:firstLine="1600" w:firstLineChars="500"/>
        <w:rPr>
          <w:rFonts w:ascii="仿宋" w:hAnsi="仿宋" w:eastAsia="仿宋"/>
          <w:sz w:val="32"/>
          <w:szCs w:val="32"/>
        </w:rPr>
      </w:pPr>
      <w:r>
        <w:rPr>
          <w:rFonts w:hint="eastAsia" w:ascii="仿宋" w:hAnsi="仿宋" w:eastAsia="仿宋"/>
          <w:sz w:val="32"/>
          <w:szCs w:val="32"/>
        </w:rPr>
        <w:t>2.合同执行情况表</w:t>
      </w:r>
    </w:p>
    <w:p>
      <w:pPr>
        <w:ind w:left="319" w:leftChars="152" w:firstLine="1280" w:firstLineChars="400"/>
        <w:rPr>
          <w:rFonts w:hint="eastAsia" w:ascii="仿宋" w:hAnsi="仿宋" w:eastAsia="仿宋"/>
          <w:sz w:val="32"/>
          <w:szCs w:val="32"/>
        </w:rPr>
      </w:pPr>
      <w:r>
        <w:rPr>
          <w:rFonts w:hint="eastAsia" w:ascii="仿宋" w:hAnsi="仿宋" w:eastAsia="仿宋"/>
          <w:sz w:val="32"/>
          <w:szCs w:val="32"/>
        </w:rPr>
        <w:t>3.年度部门合同情况表</w:t>
      </w:r>
    </w:p>
    <w:p>
      <w:pPr>
        <w:ind w:left="319" w:leftChars="152" w:firstLine="1280" w:firstLineChars="400"/>
        <w:jc w:val="center"/>
        <w:rPr>
          <w:rFonts w:hint="eastAsia" w:ascii="仿宋" w:hAnsi="仿宋" w:eastAsia="仿宋"/>
          <w:sz w:val="32"/>
          <w:szCs w:val="32"/>
        </w:rPr>
      </w:pPr>
    </w:p>
    <w:p>
      <w:pPr>
        <w:ind w:left="319" w:leftChars="152" w:firstLine="1280" w:firstLineChars="400"/>
        <w:jc w:val="center"/>
        <w:rPr>
          <w:rFonts w:hint="eastAsia" w:ascii="仿宋" w:hAnsi="仿宋" w:eastAsia="仿宋"/>
          <w:sz w:val="32"/>
          <w:szCs w:val="32"/>
        </w:rPr>
      </w:pPr>
    </w:p>
    <w:p>
      <w:pPr>
        <w:ind w:left="319" w:leftChars="152" w:firstLine="1280" w:firstLineChars="400"/>
        <w:jc w:val="center"/>
        <w:rPr>
          <w:rFonts w:hint="eastAsia" w:ascii="仿宋" w:hAnsi="仿宋" w:eastAsia="仿宋"/>
          <w:sz w:val="32"/>
          <w:szCs w:val="32"/>
        </w:rPr>
      </w:pPr>
    </w:p>
    <w:p>
      <w:pPr>
        <w:ind w:left="319" w:leftChars="152" w:firstLine="1280" w:firstLineChars="400"/>
        <w:jc w:val="center"/>
        <w:rPr>
          <w:rFonts w:hint="eastAsia" w:ascii="仿宋" w:hAnsi="仿宋" w:eastAsia="仿宋"/>
          <w:sz w:val="32"/>
          <w:szCs w:val="32"/>
        </w:rPr>
      </w:pPr>
    </w:p>
    <w:p>
      <w:pPr>
        <w:ind w:left="319" w:leftChars="152" w:firstLine="1280" w:firstLineChars="400"/>
        <w:jc w:val="center"/>
        <w:rPr>
          <w:rFonts w:hint="eastAsia" w:ascii="仿宋" w:hAnsi="仿宋" w:eastAsia="仿宋"/>
          <w:sz w:val="32"/>
          <w:szCs w:val="32"/>
        </w:rPr>
      </w:pPr>
    </w:p>
    <w:p>
      <w:pPr>
        <w:ind w:left="319" w:leftChars="152" w:firstLine="1767" w:firstLineChars="550"/>
        <w:rPr>
          <w:szCs w:val="21"/>
        </w:rPr>
      </w:pPr>
      <w:r>
        <w:rPr>
          <w:rFonts w:hint="eastAsia" w:ascii="宋体" w:hAnsi="宋体"/>
          <w:b/>
          <w:bCs/>
          <w:sz w:val="32"/>
          <w:szCs w:val="32"/>
        </w:rPr>
        <w:t>中关村发展集团股份有限公司</w:t>
      </w:r>
    </w:p>
    <w:p>
      <w:pPr>
        <w:pStyle w:val="35"/>
        <w:rPr>
          <w:rFonts w:ascii="宋体" w:eastAsia="宋体"/>
          <w:sz w:val="32"/>
          <w:szCs w:val="32"/>
        </w:rPr>
      </w:pPr>
      <w:r>
        <w:rPr>
          <w:rFonts w:hint="eastAsia" w:ascii="宋体" w:eastAsia="宋体"/>
          <w:sz w:val="32"/>
          <w:szCs w:val="32"/>
        </w:rPr>
        <w:t>授权委托书</w:t>
      </w:r>
    </w:p>
    <w:p>
      <w:pPr>
        <w:spacing w:line="480" w:lineRule="exact"/>
        <w:ind w:firstLine="480" w:firstLineChars="200"/>
        <w:rPr>
          <w:rFonts w:ascii="仿宋_GB2312" w:eastAsia="仿宋_GB2312"/>
          <w:sz w:val="24"/>
        </w:rPr>
      </w:pPr>
      <w:r>
        <w:rPr>
          <w:rFonts w:hint="eastAsia" w:ascii="仿宋_GB2312" w:eastAsia="仿宋_GB2312"/>
          <w:sz w:val="24"/>
        </w:rPr>
        <w:t xml:space="preserve"> </w:t>
      </w:r>
    </w:p>
    <w:p>
      <w:pPr>
        <w:spacing w:line="480" w:lineRule="exact"/>
        <w:ind w:firstLine="480" w:firstLineChars="200"/>
        <w:jc w:val="right"/>
        <w:rPr>
          <w:rFonts w:ascii="仿宋_GB2312" w:eastAsia="仿宋_GB2312"/>
          <w:sz w:val="24"/>
        </w:rPr>
      </w:pPr>
      <w:r>
        <w:rPr>
          <w:rFonts w:hint="eastAsia" w:ascii="仿宋_GB2312" w:eastAsia="仿宋_GB2312"/>
          <w:sz w:val="24"/>
        </w:rPr>
        <w:t>****授字〔    〕号</w:t>
      </w:r>
    </w:p>
    <w:p>
      <w:pPr>
        <w:spacing w:line="480" w:lineRule="exact"/>
        <w:ind w:firstLine="480" w:firstLineChars="200"/>
        <w:rPr>
          <w:rFonts w:ascii="仿宋_GB2312" w:eastAsia="仿宋_GB2312"/>
          <w:color w:val="FF0000"/>
          <w:sz w:val="24"/>
        </w:rPr>
      </w:pPr>
      <w:r>
        <w:rPr>
          <w:rFonts w:hint="eastAsia" w:ascii="仿宋_GB2312" w:eastAsia="仿宋_GB2312"/>
          <w:color w:val="FF0000"/>
          <w:sz w:val="24"/>
        </w:rPr>
        <w:t xml:space="preserve"> </w:t>
      </w:r>
    </w:p>
    <w:p>
      <w:pPr>
        <w:spacing w:line="600" w:lineRule="exact"/>
        <w:rPr>
          <w:rFonts w:ascii="仿宋_GB2312" w:eastAsia="仿宋_GB2312"/>
          <w:sz w:val="32"/>
          <w:szCs w:val="32"/>
        </w:rPr>
      </w:pPr>
      <w:r>
        <w:rPr>
          <w:rFonts w:hint="eastAsia" w:ascii="仿宋_GB2312" w:eastAsia="仿宋_GB2312"/>
          <w:b/>
          <w:bCs/>
          <w:sz w:val="32"/>
          <w:szCs w:val="32"/>
        </w:rPr>
        <w:t>委 托 单位：</w:t>
      </w:r>
      <w:r>
        <w:rPr>
          <w:rFonts w:hint="eastAsia" w:ascii="仿宋_GB2312" w:eastAsia="仿宋_GB2312"/>
          <w:sz w:val="32"/>
          <w:szCs w:val="32"/>
        </w:rPr>
        <w:t>中关村发展集团股份有限公司</w:t>
      </w:r>
    </w:p>
    <w:p>
      <w:pPr>
        <w:spacing w:line="600" w:lineRule="exact"/>
        <w:rPr>
          <w:rFonts w:ascii="仿宋_GB2312" w:eastAsia="仿宋_GB2312"/>
          <w:sz w:val="32"/>
          <w:szCs w:val="32"/>
        </w:rPr>
      </w:pPr>
      <w:r>
        <w:rPr>
          <w:rFonts w:hint="eastAsia" w:ascii="仿宋_GB2312" w:eastAsia="仿宋_GB2312"/>
          <w:b/>
          <w:bCs/>
          <w:sz w:val="32"/>
          <w:szCs w:val="32"/>
        </w:rPr>
        <w:t>法定代表人：</w:t>
      </w:r>
      <w:r>
        <w:rPr>
          <w:rFonts w:hint="eastAsia" w:ascii="仿宋_GB2312" w:eastAsia="仿宋_GB2312"/>
          <w:sz w:val="32"/>
          <w:szCs w:val="32"/>
        </w:rPr>
        <w:t xml:space="preserve">                 </w:t>
      </w:r>
      <w:r>
        <w:rPr>
          <w:rFonts w:hint="eastAsia" w:ascii="仿宋_GB2312" w:eastAsia="仿宋_GB2312"/>
          <w:b/>
          <w:bCs/>
          <w:sz w:val="32"/>
          <w:szCs w:val="32"/>
        </w:rPr>
        <w:t>职  务：</w:t>
      </w:r>
      <w:r>
        <w:rPr>
          <w:rFonts w:hint="eastAsia" w:ascii="仿宋_GB2312" w:eastAsia="仿宋_GB2312"/>
          <w:sz w:val="32"/>
          <w:szCs w:val="32"/>
        </w:rPr>
        <w:t>董事长</w:t>
      </w:r>
    </w:p>
    <w:p>
      <w:pPr>
        <w:spacing w:line="600" w:lineRule="exact"/>
        <w:rPr>
          <w:rFonts w:ascii="仿宋_GB2312" w:eastAsia="仿宋_GB2312"/>
          <w:sz w:val="32"/>
          <w:szCs w:val="32"/>
        </w:rPr>
      </w:pPr>
      <w:r>
        <w:rPr>
          <w:rFonts w:hint="eastAsia" w:ascii="仿宋_GB2312" w:eastAsia="仿宋_GB2312"/>
          <w:b/>
          <w:bCs/>
          <w:sz w:val="32"/>
          <w:szCs w:val="32"/>
        </w:rPr>
        <w:t>受  托  人：</w:t>
      </w:r>
      <w:r>
        <w:rPr>
          <w:rFonts w:hint="eastAsia" w:ascii="仿宋_GB2312" w:eastAsia="仿宋_GB2312"/>
          <w:sz w:val="32"/>
          <w:szCs w:val="32"/>
        </w:rPr>
        <w:t xml:space="preserve">                 </w:t>
      </w:r>
      <w:r>
        <w:rPr>
          <w:rFonts w:hint="eastAsia" w:ascii="仿宋_GB2312" w:eastAsia="仿宋_GB2312"/>
          <w:b/>
          <w:bCs/>
          <w:sz w:val="32"/>
          <w:szCs w:val="32"/>
        </w:rPr>
        <w:t>职  务：</w:t>
      </w:r>
    </w:p>
    <w:p>
      <w:pPr>
        <w:spacing w:line="600" w:lineRule="exact"/>
        <w:rPr>
          <w:rFonts w:ascii="仿宋_GB2312" w:eastAsia="仿宋_GB2312"/>
          <w:b/>
          <w:bCs/>
          <w:sz w:val="32"/>
          <w:szCs w:val="32"/>
        </w:rPr>
      </w:pPr>
      <w:r>
        <w:rPr>
          <w:rFonts w:hint="eastAsia" w:ascii="仿宋_GB2312" w:eastAsia="仿宋_GB2312"/>
          <w:b/>
          <w:bCs/>
          <w:sz w:val="32"/>
          <w:szCs w:val="32"/>
        </w:rPr>
        <w:t xml:space="preserve"> </w:t>
      </w:r>
    </w:p>
    <w:p>
      <w:pPr>
        <w:spacing w:line="600" w:lineRule="exact"/>
        <w:rPr>
          <w:rFonts w:ascii="仿宋_GB2312" w:eastAsia="仿宋_GB2312"/>
          <w:b/>
          <w:bCs/>
          <w:sz w:val="32"/>
          <w:szCs w:val="32"/>
        </w:rPr>
      </w:pPr>
      <w:r>
        <w:rPr>
          <w:rFonts w:hint="eastAsia" w:ascii="仿宋_GB2312" w:eastAsia="仿宋_GB2312"/>
          <w:b/>
          <w:bCs/>
          <w:sz w:val="32"/>
          <w:szCs w:val="32"/>
        </w:rPr>
        <w:t>授权事项和权限：</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兹授权</w:t>
      </w:r>
      <w:r>
        <w:rPr>
          <w:rFonts w:hint="eastAsia" w:ascii="仿宋_GB2312" w:eastAsia="仿宋_GB2312"/>
          <w:sz w:val="32"/>
          <w:szCs w:val="32"/>
          <w:u w:val="single"/>
        </w:rPr>
        <w:t xml:space="preserve">       </w:t>
      </w:r>
      <w:r>
        <w:rPr>
          <w:rFonts w:hint="eastAsia" w:ascii="仿宋_GB2312" w:eastAsia="仿宋_GB2312"/>
          <w:sz w:val="32"/>
          <w:szCs w:val="32"/>
        </w:rPr>
        <w:t>作为本公司的委托代理人，代表本公司签署本公司与</w:t>
      </w:r>
      <w:r>
        <w:rPr>
          <w:rFonts w:hint="eastAsia" w:ascii="仿宋_GB2312" w:eastAsia="仿宋_GB2312"/>
          <w:sz w:val="32"/>
          <w:szCs w:val="32"/>
          <w:u w:val="single"/>
        </w:rPr>
        <w:t xml:space="preserve">                      </w:t>
      </w:r>
      <w:r>
        <w:rPr>
          <w:rFonts w:hint="eastAsia" w:ascii="仿宋_GB2312" w:eastAsia="仿宋_GB2312"/>
          <w:sz w:val="32"/>
          <w:szCs w:val="32"/>
        </w:rPr>
        <w:t>订立的《</w:t>
      </w:r>
      <w:r>
        <w:rPr>
          <w:rFonts w:hint="eastAsia" w:ascii="仿宋_GB2312" w:eastAsia="仿宋_GB2312"/>
          <w:sz w:val="32"/>
          <w:szCs w:val="32"/>
          <w:u w:val="single"/>
        </w:rPr>
        <w:t xml:space="preserve">                         </w:t>
      </w:r>
      <w:r>
        <w:rPr>
          <w:rFonts w:hint="eastAsia" w:ascii="仿宋_GB2312" w:eastAsia="仿宋_GB2312"/>
          <w:sz w:val="32"/>
          <w:szCs w:val="32"/>
        </w:rPr>
        <w:t>》合同。</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w:t>
      </w:r>
    </w:p>
    <w:p>
      <w:pPr>
        <w:spacing w:line="600" w:lineRule="exact"/>
        <w:rPr>
          <w:rFonts w:ascii="仿宋_GB2312" w:eastAsia="仿宋_GB2312"/>
          <w:b/>
          <w:bCs/>
          <w:sz w:val="32"/>
          <w:szCs w:val="32"/>
        </w:rPr>
      </w:pPr>
      <w:r>
        <w:rPr>
          <w:rFonts w:hint="eastAsia" w:ascii="仿宋_GB2312" w:eastAsia="仿宋_GB2312"/>
          <w:b/>
          <w:bCs/>
          <w:sz w:val="32"/>
          <w:szCs w:val="32"/>
        </w:rPr>
        <w:t>授 权 期 限：</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本授权书自签发之日起 </w:t>
      </w:r>
      <w:r>
        <w:rPr>
          <w:rFonts w:hint="eastAsia" w:ascii="仿宋_GB2312" w:eastAsia="仿宋_GB2312"/>
          <w:sz w:val="32"/>
          <w:szCs w:val="32"/>
          <w:u w:val="single"/>
        </w:rPr>
        <w:t xml:space="preserve">    </w:t>
      </w:r>
      <w:r>
        <w:rPr>
          <w:rFonts w:hint="eastAsia" w:ascii="仿宋_GB2312" w:eastAsia="仿宋_GB2312"/>
          <w:sz w:val="32"/>
          <w:szCs w:val="32"/>
        </w:rPr>
        <w:t>日内有效。</w:t>
      </w:r>
    </w:p>
    <w:p>
      <w:pPr>
        <w:spacing w:line="600" w:lineRule="exact"/>
        <w:rPr>
          <w:rFonts w:ascii="仿宋_GB2312" w:eastAsia="仿宋_GB2312"/>
          <w:sz w:val="32"/>
          <w:szCs w:val="32"/>
        </w:rPr>
      </w:pPr>
      <w:r>
        <w:rPr>
          <w:rFonts w:hint="eastAsia" w:ascii="仿宋_GB2312" w:eastAsia="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中关村发展集团股份有限公司</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法定代表人：</w:t>
      </w:r>
    </w:p>
    <w:p>
      <w:pPr>
        <w:spacing w:line="600" w:lineRule="exact"/>
        <w:ind w:firstLine="640" w:firstLineChars="200"/>
        <w:rPr>
          <w:rFonts w:ascii="仿宋_GB2312" w:eastAsia="仿宋_GB2312"/>
          <w:color w:val="FF0000"/>
          <w:sz w:val="24"/>
        </w:rPr>
      </w:pPr>
      <w:r>
        <w:rPr>
          <w:rFonts w:hint="eastAsia" w:ascii="仿宋_GB2312" w:eastAsia="仿宋_GB2312"/>
          <w:sz w:val="32"/>
          <w:szCs w:val="32"/>
        </w:rPr>
        <w:t xml:space="preserve">                       二О   年   月   日</w:t>
      </w:r>
    </w:p>
    <w:p>
      <w:pPr>
        <w:widowControl/>
        <w:jc w:val="left"/>
        <w:rPr>
          <w:b/>
          <w:bCs/>
          <w:sz w:val="32"/>
          <w:szCs w:val="32"/>
        </w:rPr>
        <w:sectPr>
          <w:pgSz w:w="11906" w:h="16838"/>
          <w:pgMar w:top="1440" w:right="1800" w:bottom="1440" w:left="1800" w:header="720" w:footer="720" w:gutter="0"/>
          <w:pgNumType w:fmt="numberInDash"/>
          <w:cols w:space="720" w:num="1"/>
          <w:docGrid w:type="lines" w:linePitch="312" w:charSpace="0"/>
        </w:sectPr>
      </w:pPr>
    </w:p>
    <w:p>
      <w:pPr>
        <w:jc w:val="center"/>
        <w:rPr>
          <w:b/>
          <w:bCs/>
          <w:sz w:val="32"/>
          <w:szCs w:val="32"/>
        </w:rPr>
      </w:pPr>
      <w:r>
        <w:rPr>
          <w:rFonts w:hint="eastAsia" w:ascii="宋体" w:hAnsi="宋体"/>
          <w:b/>
          <w:bCs/>
          <w:sz w:val="32"/>
          <w:szCs w:val="32"/>
        </w:rPr>
        <w:t>中关村发展集团股份有限公司</w:t>
      </w:r>
    </w:p>
    <w:p>
      <w:pPr>
        <w:pStyle w:val="35"/>
        <w:rPr>
          <w:rFonts w:ascii="宋体" w:eastAsia="宋体"/>
          <w:sz w:val="32"/>
          <w:szCs w:val="32"/>
        </w:rPr>
      </w:pPr>
      <w:r>
        <w:rPr>
          <w:rFonts w:hint="eastAsia" w:ascii="宋体" w:eastAsia="宋体"/>
          <w:sz w:val="32"/>
          <w:szCs w:val="32"/>
        </w:rPr>
        <w:t>授权委托书（转授权）</w:t>
      </w:r>
    </w:p>
    <w:p>
      <w:pPr>
        <w:spacing w:line="480" w:lineRule="exact"/>
        <w:ind w:firstLine="480" w:firstLineChars="200"/>
        <w:rPr>
          <w:rFonts w:ascii="仿宋_GB2312" w:eastAsia="仿宋_GB2312"/>
          <w:sz w:val="24"/>
        </w:rPr>
      </w:pPr>
      <w:r>
        <w:rPr>
          <w:rFonts w:hint="eastAsia" w:ascii="仿宋_GB2312" w:eastAsia="仿宋_GB2312"/>
          <w:sz w:val="24"/>
        </w:rPr>
        <w:t xml:space="preserve"> </w:t>
      </w:r>
    </w:p>
    <w:p>
      <w:pPr>
        <w:spacing w:line="480" w:lineRule="exact"/>
        <w:ind w:firstLine="480" w:firstLineChars="200"/>
        <w:jc w:val="right"/>
        <w:rPr>
          <w:rFonts w:ascii="仿宋_GB2312" w:eastAsia="仿宋_GB2312"/>
          <w:sz w:val="24"/>
        </w:rPr>
      </w:pPr>
      <w:r>
        <w:rPr>
          <w:rFonts w:hint="eastAsia" w:ascii="仿宋_GB2312" w:eastAsia="仿宋_GB2312"/>
          <w:sz w:val="24"/>
        </w:rPr>
        <w:t>****授字〔    〕号</w:t>
      </w:r>
    </w:p>
    <w:p>
      <w:pPr>
        <w:spacing w:line="480" w:lineRule="exact"/>
        <w:ind w:firstLine="480" w:firstLineChars="200"/>
        <w:rPr>
          <w:rFonts w:ascii="仿宋_GB2312" w:eastAsia="仿宋_GB2312"/>
          <w:color w:val="FF0000"/>
          <w:sz w:val="24"/>
        </w:rPr>
      </w:pPr>
      <w:r>
        <w:rPr>
          <w:rFonts w:hint="eastAsia" w:ascii="仿宋_GB2312" w:eastAsia="仿宋_GB2312"/>
          <w:color w:val="FF0000"/>
          <w:sz w:val="24"/>
        </w:rPr>
        <w:t xml:space="preserve"> </w:t>
      </w:r>
    </w:p>
    <w:p>
      <w:pPr>
        <w:spacing w:line="600" w:lineRule="exact"/>
        <w:rPr>
          <w:rFonts w:ascii="仿宋_GB2312" w:eastAsia="仿宋_GB2312"/>
          <w:sz w:val="32"/>
          <w:szCs w:val="32"/>
        </w:rPr>
      </w:pPr>
      <w:r>
        <w:rPr>
          <w:rFonts w:hint="eastAsia" w:ascii="仿宋_GB2312" w:eastAsia="仿宋_GB2312"/>
          <w:b/>
          <w:bCs/>
          <w:sz w:val="32"/>
          <w:szCs w:val="32"/>
        </w:rPr>
        <w:t>委 托 人：</w:t>
      </w:r>
      <w:r>
        <w:rPr>
          <w:rFonts w:hint="eastAsia" w:ascii="仿宋_GB2312" w:eastAsia="仿宋_GB2312"/>
          <w:sz w:val="32"/>
          <w:szCs w:val="32"/>
        </w:rPr>
        <w:t xml:space="preserve"> </w:t>
      </w:r>
    </w:p>
    <w:p>
      <w:pPr>
        <w:spacing w:line="600" w:lineRule="exact"/>
        <w:rPr>
          <w:rFonts w:ascii="仿宋_GB2312" w:eastAsia="仿宋_GB2312"/>
          <w:sz w:val="32"/>
          <w:szCs w:val="32"/>
        </w:rPr>
      </w:pPr>
      <w:r>
        <w:rPr>
          <w:rFonts w:hint="eastAsia" w:ascii="仿宋_GB2312" w:eastAsia="仿宋_GB2312"/>
          <w:b/>
          <w:bCs/>
          <w:sz w:val="32"/>
          <w:szCs w:val="32"/>
        </w:rPr>
        <w:t>受 托 人：</w:t>
      </w:r>
      <w:r>
        <w:rPr>
          <w:rFonts w:hint="eastAsia" w:ascii="仿宋_GB2312" w:eastAsia="仿宋_GB2312"/>
          <w:sz w:val="32"/>
          <w:szCs w:val="32"/>
        </w:rPr>
        <w:t xml:space="preserve"> </w:t>
      </w:r>
    </w:p>
    <w:p>
      <w:pPr>
        <w:spacing w:line="600" w:lineRule="exact"/>
        <w:rPr>
          <w:rFonts w:ascii="仿宋_GB2312" w:eastAsia="仿宋_GB2312"/>
          <w:b/>
          <w:bCs/>
          <w:sz w:val="32"/>
          <w:szCs w:val="32"/>
        </w:rPr>
      </w:pPr>
      <w:r>
        <w:rPr>
          <w:rFonts w:hint="eastAsia" w:ascii="仿宋_GB2312" w:eastAsia="仿宋_GB2312"/>
          <w:b/>
          <w:bCs/>
          <w:sz w:val="32"/>
          <w:szCs w:val="32"/>
        </w:rPr>
        <w:t xml:space="preserve"> </w:t>
      </w:r>
    </w:p>
    <w:p>
      <w:pPr>
        <w:spacing w:line="600" w:lineRule="exact"/>
        <w:rPr>
          <w:rFonts w:ascii="仿宋_GB2312" w:eastAsia="仿宋_GB2312"/>
          <w:b/>
          <w:bCs/>
          <w:sz w:val="32"/>
          <w:szCs w:val="32"/>
        </w:rPr>
      </w:pPr>
      <w:r>
        <w:rPr>
          <w:rFonts w:hint="eastAsia" w:ascii="仿宋_GB2312" w:eastAsia="仿宋_GB2312"/>
          <w:b/>
          <w:bCs/>
          <w:sz w:val="32"/>
          <w:szCs w:val="32"/>
        </w:rPr>
        <w:t>授权事项和权限：</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兹授权</w:t>
      </w:r>
      <w:r>
        <w:rPr>
          <w:rFonts w:hint="eastAsia" w:ascii="仿宋_GB2312" w:eastAsia="仿宋_GB2312"/>
          <w:sz w:val="32"/>
          <w:szCs w:val="32"/>
          <w:u w:val="single"/>
        </w:rPr>
        <w:t xml:space="preserve">       </w:t>
      </w:r>
      <w:r>
        <w:rPr>
          <w:rFonts w:hint="eastAsia" w:ascii="仿宋_GB2312" w:eastAsia="仿宋_GB2312"/>
          <w:sz w:val="32"/>
          <w:szCs w:val="32"/>
        </w:rPr>
        <w:t>作为本人的委托代理人，代表本人签署中关村发展集团有限公司与</w:t>
      </w:r>
      <w:r>
        <w:rPr>
          <w:rFonts w:hint="eastAsia" w:ascii="仿宋_GB2312" w:eastAsia="仿宋_GB2312"/>
          <w:sz w:val="32"/>
          <w:szCs w:val="32"/>
          <w:u w:val="single"/>
        </w:rPr>
        <w:t xml:space="preserve">                   </w:t>
      </w:r>
      <w:r>
        <w:rPr>
          <w:rFonts w:hint="eastAsia" w:ascii="仿宋_GB2312" w:eastAsia="仿宋_GB2312"/>
          <w:sz w:val="32"/>
          <w:szCs w:val="32"/>
        </w:rPr>
        <w:t>订立的《</w:t>
      </w:r>
      <w:r>
        <w:rPr>
          <w:rFonts w:hint="eastAsia" w:ascii="仿宋_GB2312" w:eastAsia="仿宋_GB2312"/>
          <w:sz w:val="32"/>
          <w:szCs w:val="32"/>
          <w:u w:val="single"/>
        </w:rPr>
        <w:t xml:space="preserve">                         </w:t>
      </w:r>
      <w:r>
        <w:rPr>
          <w:rFonts w:hint="eastAsia" w:ascii="仿宋_GB2312" w:eastAsia="仿宋_GB2312"/>
          <w:sz w:val="32"/>
          <w:szCs w:val="32"/>
        </w:rPr>
        <w:t>》合同。</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w:t>
      </w:r>
    </w:p>
    <w:p>
      <w:pPr>
        <w:spacing w:line="600" w:lineRule="exact"/>
        <w:rPr>
          <w:rFonts w:ascii="仿宋_GB2312" w:eastAsia="仿宋_GB2312"/>
          <w:b/>
          <w:bCs/>
          <w:sz w:val="32"/>
          <w:szCs w:val="32"/>
        </w:rPr>
      </w:pPr>
      <w:r>
        <w:rPr>
          <w:rFonts w:hint="eastAsia" w:ascii="仿宋_GB2312" w:eastAsia="仿宋_GB2312"/>
          <w:b/>
          <w:bCs/>
          <w:sz w:val="32"/>
          <w:szCs w:val="32"/>
        </w:rPr>
        <w:t>授 权 期 限：</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本授权书自签发之日起 </w:t>
      </w:r>
      <w:r>
        <w:rPr>
          <w:rFonts w:hint="eastAsia" w:ascii="仿宋_GB2312" w:eastAsia="仿宋_GB2312"/>
          <w:sz w:val="32"/>
          <w:szCs w:val="32"/>
          <w:u w:val="single"/>
        </w:rPr>
        <w:t xml:space="preserve">    </w:t>
      </w:r>
      <w:r>
        <w:rPr>
          <w:rFonts w:hint="eastAsia" w:ascii="仿宋_GB2312" w:eastAsia="仿宋_GB2312"/>
          <w:sz w:val="32"/>
          <w:szCs w:val="32"/>
        </w:rPr>
        <w:t>日内有效。</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 xml:space="preserve">                       委托人：</w:t>
      </w:r>
    </w:p>
    <w:p>
      <w:pPr>
        <w:spacing w:line="600" w:lineRule="exact"/>
        <w:ind w:firstLine="640" w:firstLineChars="200"/>
        <w:rPr>
          <w:rFonts w:ascii="仿宋_GB2312" w:eastAsia="仿宋_GB2312"/>
          <w:color w:val="FF0000"/>
          <w:sz w:val="24"/>
        </w:rPr>
      </w:pPr>
      <w:r>
        <w:rPr>
          <w:rFonts w:hint="eastAsia" w:ascii="仿宋_GB2312" w:eastAsia="仿宋_GB2312"/>
          <w:sz w:val="32"/>
          <w:szCs w:val="32"/>
        </w:rPr>
        <w:t xml:space="preserve">                       二О      年   月   日</w:t>
      </w:r>
    </w:p>
    <w:p>
      <w:pPr>
        <w:widowControl/>
        <w:jc w:val="left"/>
        <w:rPr>
          <w:rFonts w:ascii="宋体" w:hAnsi="宋体"/>
          <w:b/>
          <w:bCs/>
          <w:kern w:val="44"/>
          <w:sz w:val="32"/>
          <w:szCs w:val="32"/>
        </w:rPr>
        <w:sectPr>
          <w:pgSz w:w="11906" w:h="16838"/>
          <w:pgMar w:top="1440" w:right="1800" w:bottom="1440" w:left="1800" w:header="720" w:footer="720" w:gutter="0"/>
          <w:pgNumType w:fmt="numberInDash"/>
          <w:cols w:space="720" w:num="1"/>
          <w:docGrid w:type="lines" w:linePitch="312" w:charSpace="0"/>
        </w:sectPr>
      </w:pPr>
    </w:p>
    <w:p>
      <w:pPr>
        <w:pStyle w:val="35"/>
        <w:rPr>
          <w:rFonts w:ascii="宋体" w:eastAsia="宋体"/>
          <w:b/>
          <w:bCs/>
          <w:sz w:val="32"/>
          <w:szCs w:val="32"/>
        </w:rPr>
      </w:pPr>
      <w:r>
        <w:rPr>
          <w:rFonts w:hint="eastAsia" w:ascii="宋体" w:eastAsia="宋体"/>
          <w:b/>
          <w:bCs/>
          <w:sz w:val="32"/>
          <w:szCs w:val="32"/>
        </w:rPr>
        <w:t>合同执行情况表</w:t>
      </w:r>
    </w:p>
    <w:p>
      <w:pPr>
        <w:spacing w:line="480" w:lineRule="exact"/>
        <w:rPr>
          <w:rFonts w:ascii="宋体" w:hAnsi="宋体"/>
        </w:rPr>
      </w:pPr>
      <w:r>
        <w:rPr>
          <w:rFonts w:hint="eastAsia" w:ascii="宋体" w:hAnsi="宋体"/>
        </w:rPr>
        <w:t xml:space="preserve"> </w:t>
      </w:r>
    </w:p>
    <w:p>
      <w:pPr>
        <w:rPr>
          <w:rFonts w:ascii="宋体" w:hAnsi="宋体"/>
        </w:rPr>
      </w:pPr>
      <w:r>
        <w:rPr>
          <w:rFonts w:hint="eastAsia" w:ascii="宋体" w:hAnsi="宋体"/>
        </w:rPr>
        <w:t>合同编号：                                       补充合同编号：</w:t>
      </w:r>
    </w:p>
    <w:tbl>
      <w:tblPr>
        <w:tblStyle w:val="19"/>
        <w:tblW w:w="9889" w:type="dxa"/>
        <w:tblInd w:w="0" w:type="dxa"/>
        <w:tblLayout w:type="fixed"/>
        <w:tblCellMar>
          <w:top w:w="0" w:type="dxa"/>
          <w:left w:w="108" w:type="dxa"/>
          <w:bottom w:w="0" w:type="dxa"/>
          <w:right w:w="108" w:type="dxa"/>
        </w:tblCellMar>
      </w:tblPr>
      <w:tblGrid>
        <w:gridCol w:w="1809"/>
        <w:gridCol w:w="3261"/>
        <w:gridCol w:w="1701"/>
        <w:gridCol w:w="3118"/>
      </w:tblGrid>
      <w:tr>
        <w:tblPrEx>
          <w:tblLayout w:type="fixed"/>
          <w:tblCellMar>
            <w:top w:w="0" w:type="dxa"/>
            <w:left w:w="108" w:type="dxa"/>
            <w:bottom w:w="0" w:type="dxa"/>
            <w:right w:w="108" w:type="dxa"/>
          </w:tblCellMar>
        </w:tblPrEx>
        <w:tc>
          <w:tcPr>
            <w:tcW w:w="1809" w:type="dxa"/>
            <w:tcBorders>
              <w:top w:val="single" w:color="000000" w:sz="12" w:space="0"/>
              <w:left w:val="single" w:color="000000" w:sz="12" w:space="0"/>
              <w:bottom w:val="single" w:color="000000" w:sz="4" w:space="0"/>
              <w:right w:val="single" w:color="000000" w:sz="4" w:space="0"/>
            </w:tcBorders>
            <w:shd w:val="clear" w:color="auto" w:fill="DDD9C3"/>
            <w:vAlign w:val="center"/>
          </w:tcPr>
          <w:p>
            <w:pPr>
              <w:adjustRightInd w:val="0"/>
              <w:snapToGrid w:val="0"/>
              <w:spacing w:line="500" w:lineRule="exact"/>
              <w:jc w:val="center"/>
              <w:rPr>
                <w:rFonts w:ascii="宋体" w:hAnsi="宋体"/>
              </w:rPr>
            </w:pPr>
            <w:r>
              <w:rPr>
                <w:rFonts w:hint="eastAsia" w:ascii="宋体" w:hAnsi="宋体"/>
              </w:rPr>
              <w:t>合同名称</w:t>
            </w:r>
          </w:p>
        </w:tc>
        <w:tc>
          <w:tcPr>
            <w:tcW w:w="3261" w:type="dxa"/>
            <w:tcBorders>
              <w:top w:val="single" w:color="000000" w:sz="12" w:space="0"/>
              <w:left w:val="single" w:color="000000" w:sz="4" w:space="0"/>
              <w:bottom w:val="single" w:color="000000" w:sz="4" w:space="0"/>
              <w:right w:val="single" w:color="000000" w:sz="4" w:space="0"/>
            </w:tcBorders>
            <w:shd w:val="clear" w:color="auto" w:fill="auto"/>
            <w:vAlign w:val="center"/>
          </w:tcPr>
          <w:p>
            <w:pPr>
              <w:adjustRightInd w:val="0"/>
              <w:snapToGrid w:val="0"/>
              <w:spacing w:line="500" w:lineRule="exact"/>
              <w:jc w:val="center"/>
              <w:rPr>
                <w:rFonts w:ascii="宋体" w:hAnsi="宋体"/>
              </w:rPr>
            </w:pPr>
          </w:p>
        </w:tc>
        <w:tc>
          <w:tcPr>
            <w:tcW w:w="1701" w:type="dxa"/>
            <w:tcBorders>
              <w:top w:val="single" w:color="000000" w:sz="12" w:space="0"/>
              <w:left w:val="single" w:color="000000" w:sz="4" w:space="0"/>
              <w:bottom w:val="single" w:color="000000" w:sz="4" w:space="0"/>
              <w:right w:val="single" w:color="000000" w:sz="4" w:space="0"/>
            </w:tcBorders>
            <w:shd w:val="clear" w:color="auto" w:fill="DDD9C3"/>
            <w:vAlign w:val="center"/>
          </w:tcPr>
          <w:p>
            <w:pPr>
              <w:adjustRightInd w:val="0"/>
              <w:snapToGrid w:val="0"/>
              <w:spacing w:line="500" w:lineRule="exact"/>
              <w:jc w:val="center"/>
              <w:rPr>
                <w:rFonts w:ascii="宋体" w:hAnsi="宋体"/>
              </w:rPr>
            </w:pPr>
            <w:r>
              <w:rPr>
                <w:rFonts w:hint="eastAsia" w:ascii="宋体" w:hAnsi="宋体"/>
              </w:rPr>
              <w:t>甲方</w:t>
            </w:r>
          </w:p>
        </w:tc>
        <w:tc>
          <w:tcPr>
            <w:tcW w:w="3118" w:type="dxa"/>
            <w:tcBorders>
              <w:top w:val="single" w:color="000000" w:sz="12" w:space="0"/>
              <w:left w:val="single" w:color="000000" w:sz="4" w:space="0"/>
              <w:bottom w:val="single" w:color="000000" w:sz="4" w:space="0"/>
              <w:right w:val="single" w:color="000000" w:sz="12" w:space="0"/>
            </w:tcBorders>
            <w:vAlign w:val="center"/>
          </w:tcPr>
          <w:p>
            <w:pPr>
              <w:adjustRightInd w:val="0"/>
              <w:snapToGrid w:val="0"/>
              <w:spacing w:line="500" w:lineRule="exact"/>
              <w:jc w:val="center"/>
              <w:rPr>
                <w:rFonts w:ascii="宋体" w:hAnsi="宋体"/>
              </w:rPr>
            </w:pPr>
          </w:p>
        </w:tc>
      </w:tr>
      <w:tr>
        <w:tblPrEx>
          <w:tblLayout w:type="fixed"/>
          <w:tblCellMar>
            <w:top w:w="0" w:type="dxa"/>
            <w:left w:w="108" w:type="dxa"/>
            <w:bottom w:w="0" w:type="dxa"/>
            <w:right w:w="108" w:type="dxa"/>
          </w:tblCellMar>
        </w:tblPrEx>
        <w:tc>
          <w:tcPr>
            <w:tcW w:w="1809" w:type="dxa"/>
            <w:tcBorders>
              <w:top w:val="single" w:color="000000" w:sz="4" w:space="0"/>
              <w:left w:val="single" w:color="000000" w:sz="12" w:space="0"/>
              <w:bottom w:val="single" w:color="000000" w:sz="4" w:space="0"/>
              <w:right w:val="single" w:color="000000" w:sz="4" w:space="0"/>
            </w:tcBorders>
            <w:shd w:val="clear" w:color="auto" w:fill="DDD9C3"/>
            <w:vAlign w:val="center"/>
          </w:tcPr>
          <w:p>
            <w:pPr>
              <w:adjustRightInd w:val="0"/>
              <w:snapToGrid w:val="0"/>
              <w:spacing w:line="500" w:lineRule="exact"/>
              <w:jc w:val="center"/>
              <w:rPr>
                <w:rFonts w:ascii="宋体" w:hAnsi="宋体"/>
              </w:rPr>
            </w:pPr>
            <w:r>
              <w:rPr>
                <w:rFonts w:hint="eastAsia" w:ascii="宋体" w:hAnsi="宋体"/>
              </w:rPr>
              <w:t>合同金额</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500" w:lineRule="exact"/>
              <w:jc w:val="center"/>
              <w:rPr>
                <w:rFonts w:ascii="宋体" w:hAnsi="宋体"/>
              </w:rPr>
            </w:pPr>
          </w:p>
        </w:tc>
        <w:tc>
          <w:tcPr>
            <w:tcW w:w="1701" w:type="dxa"/>
            <w:tcBorders>
              <w:top w:val="single" w:color="000000" w:sz="4" w:space="0"/>
              <w:left w:val="single" w:color="000000" w:sz="4" w:space="0"/>
              <w:bottom w:val="single" w:color="000000" w:sz="4" w:space="0"/>
              <w:right w:val="single" w:color="000000" w:sz="4" w:space="0"/>
            </w:tcBorders>
            <w:shd w:val="clear" w:color="auto" w:fill="DDD9C3"/>
            <w:vAlign w:val="center"/>
          </w:tcPr>
          <w:p>
            <w:pPr>
              <w:adjustRightInd w:val="0"/>
              <w:snapToGrid w:val="0"/>
              <w:spacing w:line="500" w:lineRule="exact"/>
              <w:jc w:val="center"/>
              <w:rPr>
                <w:rFonts w:ascii="宋体" w:hAnsi="宋体"/>
              </w:rPr>
            </w:pPr>
            <w:r>
              <w:rPr>
                <w:rFonts w:hint="eastAsia" w:ascii="宋体" w:hAnsi="宋体"/>
              </w:rPr>
              <w:t>乙方</w:t>
            </w:r>
          </w:p>
        </w:tc>
        <w:tc>
          <w:tcPr>
            <w:tcW w:w="3118" w:type="dxa"/>
            <w:tcBorders>
              <w:top w:val="single" w:color="000000" w:sz="4" w:space="0"/>
              <w:left w:val="single" w:color="000000" w:sz="4" w:space="0"/>
              <w:bottom w:val="single" w:color="000000" w:sz="4" w:space="0"/>
              <w:right w:val="single" w:color="000000" w:sz="12" w:space="0"/>
            </w:tcBorders>
            <w:vAlign w:val="center"/>
          </w:tcPr>
          <w:p>
            <w:pPr>
              <w:adjustRightInd w:val="0"/>
              <w:snapToGrid w:val="0"/>
              <w:spacing w:line="500" w:lineRule="exact"/>
              <w:jc w:val="center"/>
              <w:rPr>
                <w:rFonts w:ascii="宋体" w:hAnsi="宋体"/>
              </w:rPr>
            </w:pPr>
          </w:p>
        </w:tc>
      </w:tr>
      <w:tr>
        <w:tblPrEx>
          <w:tblLayout w:type="fixed"/>
          <w:tblCellMar>
            <w:top w:w="0" w:type="dxa"/>
            <w:left w:w="108" w:type="dxa"/>
            <w:bottom w:w="0" w:type="dxa"/>
            <w:right w:w="108" w:type="dxa"/>
          </w:tblCellMar>
        </w:tblPrEx>
        <w:tc>
          <w:tcPr>
            <w:tcW w:w="1809" w:type="dxa"/>
            <w:tcBorders>
              <w:top w:val="single" w:color="000000" w:sz="4" w:space="0"/>
              <w:left w:val="single" w:color="000000" w:sz="12" w:space="0"/>
              <w:bottom w:val="single" w:color="000000" w:sz="4" w:space="0"/>
              <w:right w:val="single" w:color="000000" w:sz="4" w:space="0"/>
            </w:tcBorders>
            <w:shd w:val="clear" w:color="auto" w:fill="DDD9C3"/>
            <w:vAlign w:val="center"/>
          </w:tcPr>
          <w:p>
            <w:pPr>
              <w:adjustRightInd w:val="0"/>
              <w:snapToGrid w:val="0"/>
              <w:spacing w:line="500" w:lineRule="exact"/>
              <w:jc w:val="center"/>
              <w:rPr>
                <w:rFonts w:ascii="宋体" w:hAnsi="宋体"/>
              </w:rPr>
            </w:pPr>
            <w:r>
              <w:rPr>
                <w:rFonts w:hint="eastAsia" w:ascii="宋体" w:hAnsi="宋体"/>
              </w:rPr>
              <w:t>变更后合同金额</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adjustRightInd w:val="0"/>
              <w:snapToGrid w:val="0"/>
              <w:spacing w:line="500" w:lineRule="exact"/>
              <w:jc w:val="center"/>
              <w:rPr>
                <w:rFonts w:ascii="宋体" w:hAnsi="宋体"/>
              </w:rPr>
            </w:pPr>
          </w:p>
        </w:tc>
        <w:tc>
          <w:tcPr>
            <w:tcW w:w="1701" w:type="dxa"/>
            <w:tcBorders>
              <w:top w:val="single" w:color="000000" w:sz="4" w:space="0"/>
              <w:left w:val="single" w:color="000000" w:sz="4" w:space="0"/>
              <w:bottom w:val="single" w:color="000000" w:sz="4" w:space="0"/>
              <w:right w:val="single" w:color="000000" w:sz="4" w:space="0"/>
            </w:tcBorders>
            <w:shd w:val="clear" w:color="auto" w:fill="DDD9C3"/>
            <w:vAlign w:val="center"/>
          </w:tcPr>
          <w:p>
            <w:pPr>
              <w:adjustRightInd w:val="0"/>
              <w:snapToGrid w:val="0"/>
              <w:spacing w:line="500" w:lineRule="exact"/>
              <w:jc w:val="center"/>
              <w:rPr>
                <w:rFonts w:ascii="宋体" w:hAnsi="宋体"/>
              </w:rPr>
            </w:pPr>
            <w:r>
              <w:rPr>
                <w:rFonts w:hint="eastAsia" w:ascii="宋体" w:hAnsi="宋体"/>
              </w:rPr>
              <w:t>其他方</w:t>
            </w:r>
          </w:p>
        </w:tc>
        <w:tc>
          <w:tcPr>
            <w:tcW w:w="3118" w:type="dxa"/>
            <w:tcBorders>
              <w:top w:val="single" w:color="000000" w:sz="4" w:space="0"/>
              <w:left w:val="single" w:color="000000" w:sz="4" w:space="0"/>
              <w:bottom w:val="single" w:color="000000" w:sz="4" w:space="0"/>
              <w:right w:val="single" w:color="000000" w:sz="12" w:space="0"/>
            </w:tcBorders>
            <w:vAlign w:val="center"/>
          </w:tcPr>
          <w:p>
            <w:pPr>
              <w:adjustRightInd w:val="0"/>
              <w:snapToGrid w:val="0"/>
              <w:spacing w:line="500" w:lineRule="exact"/>
              <w:jc w:val="center"/>
              <w:rPr>
                <w:rFonts w:ascii="宋体" w:hAnsi="宋体"/>
              </w:rPr>
            </w:pPr>
          </w:p>
        </w:tc>
      </w:tr>
      <w:tr>
        <w:tblPrEx>
          <w:tblLayout w:type="fixed"/>
          <w:tblCellMar>
            <w:top w:w="0" w:type="dxa"/>
            <w:left w:w="108" w:type="dxa"/>
            <w:bottom w:w="0" w:type="dxa"/>
            <w:right w:w="108" w:type="dxa"/>
          </w:tblCellMar>
        </w:tblPrEx>
        <w:tc>
          <w:tcPr>
            <w:tcW w:w="5070" w:type="dxa"/>
            <w:gridSpan w:val="2"/>
            <w:tcBorders>
              <w:top w:val="single" w:color="000000" w:sz="4" w:space="0"/>
              <w:left w:val="single" w:color="000000" w:sz="12" w:space="0"/>
              <w:bottom w:val="single" w:color="000000" w:sz="4" w:space="0"/>
              <w:right w:val="single" w:color="000000" w:sz="4" w:space="0"/>
            </w:tcBorders>
            <w:shd w:val="clear" w:color="auto" w:fill="DDD9C3"/>
            <w:vAlign w:val="center"/>
          </w:tcPr>
          <w:p>
            <w:pPr>
              <w:adjustRightInd w:val="0"/>
              <w:snapToGrid w:val="0"/>
              <w:spacing w:line="500" w:lineRule="exact"/>
              <w:jc w:val="center"/>
              <w:rPr>
                <w:rFonts w:ascii="宋体" w:hAnsi="宋体"/>
                <w:b/>
                <w:bCs/>
              </w:rPr>
            </w:pPr>
            <w:r>
              <w:rPr>
                <w:rFonts w:hint="eastAsia" w:ascii="宋体" w:hAnsi="宋体"/>
                <w:b/>
                <w:bCs/>
              </w:rPr>
              <w:t>合同执行及变更情况</w:t>
            </w:r>
          </w:p>
        </w:tc>
        <w:tc>
          <w:tcPr>
            <w:tcW w:w="4819" w:type="dxa"/>
            <w:gridSpan w:val="2"/>
            <w:tcBorders>
              <w:top w:val="single" w:color="000000" w:sz="4" w:space="0"/>
              <w:left w:val="single" w:color="000000" w:sz="4" w:space="0"/>
              <w:bottom w:val="single" w:color="000000" w:sz="4" w:space="0"/>
              <w:right w:val="single" w:color="000000" w:sz="12" w:space="0"/>
            </w:tcBorders>
            <w:shd w:val="clear" w:color="auto" w:fill="DDD9C3"/>
            <w:vAlign w:val="center"/>
          </w:tcPr>
          <w:p>
            <w:pPr>
              <w:adjustRightInd w:val="0"/>
              <w:snapToGrid w:val="0"/>
              <w:spacing w:line="500" w:lineRule="exact"/>
              <w:jc w:val="center"/>
              <w:rPr>
                <w:rFonts w:ascii="宋体" w:hAnsi="宋体"/>
                <w:b/>
                <w:bCs/>
              </w:rPr>
            </w:pPr>
            <w:r>
              <w:rPr>
                <w:rFonts w:hint="eastAsia" w:ascii="宋体" w:hAnsi="宋体"/>
                <w:b/>
                <w:bCs/>
              </w:rPr>
              <w:t>收（付）款记录</w:t>
            </w:r>
          </w:p>
        </w:tc>
      </w:tr>
      <w:tr>
        <w:tblPrEx>
          <w:tblLayout w:type="fixed"/>
          <w:tblCellMar>
            <w:top w:w="0" w:type="dxa"/>
            <w:left w:w="108" w:type="dxa"/>
            <w:bottom w:w="0" w:type="dxa"/>
            <w:right w:w="108" w:type="dxa"/>
          </w:tblCellMar>
        </w:tblPrEx>
        <w:tc>
          <w:tcPr>
            <w:tcW w:w="1809" w:type="dxa"/>
            <w:tcBorders>
              <w:top w:val="single" w:color="000000" w:sz="4" w:space="0"/>
              <w:left w:val="single" w:color="000000" w:sz="12" w:space="0"/>
              <w:bottom w:val="single" w:color="000000" w:sz="4" w:space="0"/>
              <w:right w:val="single" w:color="000000" w:sz="4" w:space="0"/>
            </w:tcBorders>
            <w:shd w:val="clear" w:color="auto" w:fill="DDD9C3"/>
            <w:vAlign w:val="center"/>
          </w:tcPr>
          <w:p>
            <w:pPr>
              <w:adjustRightInd w:val="0"/>
              <w:snapToGrid w:val="0"/>
              <w:spacing w:line="500" w:lineRule="exact"/>
              <w:jc w:val="center"/>
              <w:rPr>
                <w:rFonts w:ascii="宋体" w:hAnsi="宋体"/>
              </w:rPr>
            </w:pPr>
            <w:r>
              <w:rPr>
                <w:rFonts w:hint="eastAsia" w:ascii="宋体" w:hAnsi="宋体"/>
              </w:rPr>
              <w:t>日期</w:t>
            </w:r>
          </w:p>
        </w:tc>
        <w:tc>
          <w:tcPr>
            <w:tcW w:w="3261" w:type="dxa"/>
            <w:tcBorders>
              <w:top w:val="single" w:color="000000" w:sz="4" w:space="0"/>
              <w:left w:val="single" w:color="000000" w:sz="4" w:space="0"/>
              <w:bottom w:val="single" w:color="000000" w:sz="4" w:space="0"/>
              <w:right w:val="single" w:color="000000" w:sz="4" w:space="0"/>
            </w:tcBorders>
            <w:shd w:val="clear" w:color="auto" w:fill="DDD9C3"/>
            <w:vAlign w:val="center"/>
          </w:tcPr>
          <w:p>
            <w:pPr>
              <w:adjustRightInd w:val="0"/>
              <w:snapToGrid w:val="0"/>
              <w:spacing w:line="500" w:lineRule="exact"/>
              <w:jc w:val="center"/>
              <w:rPr>
                <w:rFonts w:ascii="宋体" w:hAnsi="宋体"/>
              </w:rPr>
            </w:pPr>
            <w:r>
              <w:rPr>
                <w:rFonts w:hint="eastAsia" w:ascii="宋体" w:hAnsi="宋体"/>
              </w:rPr>
              <w:t>内容</w:t>
            </w:r>
          </w:p>
        </w:tc>
        <w:tc>
          <w:tcPr>
            <w:tcW w:w="1701" w:type="dxa"/>
            <w:tcBorders>
              <w:top w:val="single" w:color="000000" w:sz="4" w:space="0"/>
              <w:left w:val="single" w:color="000000" w:sz="4" w:space="0"/>
              <w:bottom w:val="single" w:color="000000" w:sz="4" w:space="0"/>
              <w:right w:val="single" w:color="000000" w:sz="4" w:space="0"/>
            </w:tcBorders>
            <w:shd w:val="clear" w:color="auto" w:fill="DDD9C3"/>
            <w:vAlign w:val="center"/>
          </w:tcPr>
          <w:p>
            <w:pPr>
              <w:adjustRightInd w:val="0"/>
              <w:snapToGrid w:val="0"/>
              <w:spacing w:line="500" w:lineRule="exact"/>
              <w:jc w:val="center"/>
              <w:rPr>
                <w:rFonts w:ascii="宋体" w:hAnsi="宋体"/>
              </w:rPr>
            </w:pPr>
            <w:r>
              <w:rPr>
                <w:rFonts w:hint="eastAsia" w:ascii="宋体" w:hAnsi="宋体"/>
              </w:rPr>
              <w:t>日期</w:t>
            </w:r>
          </w:p>
        </w:tc>
        <w:tc>
          <w:tcPr>
            <w:tcW w:w="3118" w:type="dxa"/>
            <w:tcBorders>
              <w:top w:val="single" w:color="000000" w:sz="4" w:space="0"/>
              <w:left w:val="single" w:color="000000" w:sz="4" w:space="0"/>
              <w:bottom w:val="single" w:color="000000" w:sz="4" w:space="0"/>
              <w:right w:val="single" w:color="000000" w:sz="12" w:space="0"/>
            </w:tcBorders>
            <w:shd w:val="clear" w:color="auto" w:fill="DDD9C3"/>
            <w:vAlign w:val="center"/>
          </w:tcPr>
          <w:p>
            <w:pPr>
              <w:adjustRightInd w:val="0"/>
              <w:snapToGrid w:val="0"/>
              <w:spacing w:line="500" w:lineRule="exact"/>
              <w:jc w:val="center"/>
              <w:rPr>
                <w:rFonts w:ascii="宋体" w:hAnsi="宋体"/>
              </w:rPr>
            </w:pPr>
            <w:r>
              <w:rPr>
                <w:rFonts w:hint="eastAsia" w:ascii="宋体" w:hAnsi="宋体"/>
              </w:rPr>
              <w:t>内容</w:t>
            </w:r>
          </w:p>
        </w:tc>
      </w:tr>
      <w:tr>
        <w:tblPrEx>
          <w:tblLayout w:type="fixed"/>
          <w:tblCellMar>
            <w:top w:w="0" w:type="dxa"/>
            <w:left w:w="108" w:type="dxa"/>
            <w:bottom w:w="0" w:type="dxa"/>
            <w:right w:w="108" w:type="dxa"/>
          </w:tblCellMar>
        </w:tblPrEx>
        <w:tc>
          <w:tcPr>
            <w:tcW w:w="1809" w:type="dxa"/>
            <w:tcBorders>
              <w:top w:val="single" w:color="000000" w:sz="4" w:space="0"/>
              <w:left w:val="single" w:color="000000" w:sz="12"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3261"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1701"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3118" w:type="dxa"/>
            <w:tcBorders>
              <w:top w:val="single" w:color="000000" w:sz="4" w:space="0"/>
              <w:left w:val="single" w:color="000000" w:sz="4" w:space="0"/>
              <w:bottom w:val="single" w:color="000000" w:sz="4" w:space="0"/>
              <w:right w:val="single" w:color="000000" w:sz="12"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r>
      <w:tr>
        <w:tblPrEx>
          <w:tblLayout w:type="fixed"/>
          <w:tblCellMar>
            <w:top w:w="0" w:type="dxa"/>
            <w:left w:w="108" w:type="dxa"/>
            <w:bottom w:w="0" w:type="dxa"/>
            <w:right w:w="108" w:type="dxa"/>
          </w:tblCellMar>
        </w:tblPrEx>
        <w:tc>
          <w:tcPr>
            <w:tcW w:w="1809" w:type="dxa"/>
            <w:tcBorders>
              <w:top w:val="single" w:color="000000" w:sz="4" w:space="0"/>
              <w:left w:val="single" w:color="000000" w:sz="12"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3261"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1701"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3118" w:type="dxa"/>
            <w:tcBorders>
              <w:top w:val="single" w:color="000000" w:sz="4" w:space="0"/>
              <w:left w:val="single" w:color="000000" w:sz="4" w:space="0"/>
              <w:bottom w:val="single" w:color="000000" w:sz="4" w:space="0"/>
              <w:right w:val="single" w:color="000000" w:sz="12"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r>
      <w:tr>
        <w:tblPrEx>
          <w:tblLayout w:type="fixed"/>
          <w:tblCellMar>
            <w:top w:w="0" w:type="dxa"/>
            <w:left w:w="108" w:type="dxa"/>
            <w:bottom w:w="0" w:type="dxa"/>
            <w:right w:w="108" w:type="dxa"/>
          </w:tblCellMar>
        </w:tblPrEx>
        <w:tc>
          <w:tcPr>
            <w:tcW w:w="1809" w:type="dxa"/>
            <w:tcBorders>
              <w:top w:val="single" w:color="000000" w:sz="4" w:space="0"/>
              <w:left w:val="single" w:color="000000" w:sz="12"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3261"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1701"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3118" w:type="dxa"/>
            <w:tcBorders>
              <w:top w:val="single" w:color="000000" w:sz="4" w:space="0"/>
              <w:left w:val="single" w:color="000000" w:sz="4" w:space="0"/>
              <w:bottom w:val="single" w:color="000000" w:sz="4" w:space="0"/>
              <w:right w:val="single" w:color="000000" w:sz="12"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r>
      <w:tr>
        <w:tblPrEx>
          <w:tblLayout w:type="fixed"/>
          <w:tblCellMar>
            <w:top w:w="0" w:type="dxa"/>
            <w:left w:w="108" w:type="dxa"/>
            <w:bottom w:w="0" w:type="dxa"/>
            <w:right w:w="108" w:type="dxa"/>
          </w:tblCellMar>
        </w:tblPrEx>
        <w:tc>
          <w:tcPr>
            <w:tcW w:w="1809" w:type="dxa"/>
            <w:tcBorders>
              <w:top w:val="single" w:color="000000" w:sz="4" w:space="0"/>
              <w:left w:val="single" w:color="000000" w:sz="12"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3261"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1701"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3118" w:type="dxa"/>
            <w:tcBorders>
              <w:top w:val="single" w:color="000000" w:sz="4" w:space="0"/>
              <w:left w:val="single" w:color="000000" w:sz="4" w:space="0"/>
              <w:bottom w:val="single" w:color="000000" w:sz="4" w:space="0"/>
              <w:right w:val="single" w:color="000000" w:sz="12"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r>
      <w:tr>
        <w:tblPrEx>
          <w:tblLayout w:type="fixed"/>
          <w:tblCellMar>
            <w:top w:w="0" w:type="dxa"/>
            <w:left w:w="108" w:type="dxa"/>
            <w:bottom w:w="0" w:type="dxa"/>
            <w:right w:w="108" w:type="dxa"/>
          </w:tblCellMar>
        </w:tblPrEx>
        <w:tc>
          <w:tcPr>
            <w:tcW w:w="1809" w:type="dxa"/>
            <w:tcBorders>
              <w:top w:val="single" w:color="000000" w:sz="4" w:space="0"/>
              <w:left w:val="single" w:color="000000" w:sz="12"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3261"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1701"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3118" w:type="dxa"/>
            <w:tcBorders>
              <w:top w:val="single" w:color="000000" w:sz="4" w:space="0"/>
              <w:left w:val="single" w:color="000000" w:sz="4" w:space="0"/>
              <w:bottom w:val="single" w:color="000000" w:sz="4" w:space="0"/>
              <w:right w:val="single" w:color="000000" w:sz="12"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r>
      <w:tr>
        <w:tblPrEx>
          <w:tblLayout w:type="fixed"/>
          <w:tblCellMar>
            <w:top w:w="0" w:type="dxa"/>
            <w:left w:w="108" w:type="dxa"/>
            <w:bottom w:w="0" w:type="dxa"/>
            <w:right w:w="108" w:type="dxa"/>
          </w:tblCellMar>
        </w:tblPrEx>
        <w:tc>
          <w:tcPr>
            <w:tcW w:w="1809" w:type="dxa"/>
            <w:tcBorders>
              <w:top w:val="single" w:color="000000" w:sz="4" w:space="0"/>
              <w:left w:val="single" w:color="000000" w:sz="12"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3261"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1701" w:type="dxa"/>
            <w:tcBorders>
              <w:top w:val="single" w:color="000000" w:sz="4" w:space="0"/>
              <w:left w:val="single" w:color="000000" w:sz="4" w:space="0"/>
              <w:bottom w:val="single" w:color="000000" w:sz="4"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3118" w:type="dxa"/>
            <w:tcBorders>
              <w:top w:val="single" w:color="000000" w:sz="4" w:space="0"/>
              <w:left w:val="single" w:color="000000" w:sz="4" w:space="0"/>
              <w:bottom w:val="single" w:color="000000" w:sz="4" w:space="0"/>
              <w:right w:val="single" w:color="000000" w:sz="12"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r>
      <w:tr>
        <w:tblPrEx>
          <w:tblLayout w:type="fixed"/>
          <w:tblCellMar>
            <w:top w:w="0" w:type="dxa"/>
            <w:left w:w="108" w:type="dxa"/>
            <w:bottom w:w="0" w:type="dxa"/>
            <w:right w:w="108" w:type="dxa"/>
          </w:tblCellMar>
        </w:tblPrEx>
        <w:tc>
          <w:tcPr>
            <w:tcW w:w="1809" w:type="dxa"/>
            <w:tcBorders>
              <w:top w:val="single" w:color="000000" w:sz="4" w:space="0"/>
              <w:left w:val="single" w:color="000000" w:sz="12" w:space="0"/>
              <w:bottom w:val="single" w:color="000000" w:sz="12"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3261" w:type="dxa"/>
            <w:tcBorders>
              <w:top w:val="single" w:color="000000" w:sz="4" w:space="0"/>
              <w:left w:val="single" w:color="000000" w:sz="4" w:space="0"/>
              <w:bottom w:val="single" w:color="000000" w:sz="12"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1701" w:type="dxa"/>
            <w:tcBorders>
              <w:top w:val="single" w:color="000000" w:sz="4" w:space="0"/>
              <w:left w:val="single" w:color="000000" w:sz="4" w:space="0"/>
              <w:bottom w:val="single" w:color="000000" w:sz="12" w:space="0"/>
              <w:right w:val="single" w:color="000000" w:sz="4"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c>
          <w:tcPr>
            <w:tcW w:w="3118" w:type="dxa"/>
            <w:tcBorders>
              <w:top w:val="single" w:color="000000" w:sz="4" w:space="0"/>
              <w:left w:val="single" w:color="000000" w:sz="4" w:space="0"/>
              <w:bottom w:val="single" w:color="000000" w:sz="12" w:space="0"/>
              <w:right w:val="single" w:color="000000" w:sz="12" w:space="0"/>
            </w:tcBorders>
            <w:vAlign w:val="center"/>
          </w:tcPr>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p>
            <w:pPr>
              <w:adjustRightInd w:val="0"/>
              <w:snapToGrid w:val="0"/>
              <w:jc w:val="center"/>
              <w:rPr>
                <w:rFonts w:ascii="宋体" w:hAnsi="宋体"/>
              </w:rPr>
            </w:pPr>
          </w:p>
        </w:tc>
      </w:tr>
    </w:tbl>
    <w:p>
      <w:pPr>
        <w:rPr>
          <w:rFonts w:ascii="宋体" w:hAnsi="宋体"/>
        </w:rPr>
      </w:pPr>
      <w:r>
        <w:rPr>
          <w:rFonts w:hint="eastAsia" w:ascii="宋体" w:hAnsi="宋体"/>
        </w:rPr>
        <w:t xml:space="preserve"> </w:t>
      </w:r>
    </w:p>
    <w:p>
      <w:pPr>
        <w:rPr>
          <w:rFonts w:ascii="宋体" w:hAnsi="宋体"/>
        </w:rPr>
      </w:pPr>
      <w:r>
        <w:rPr>
          <w:rFonts w:hint="eastAsia" w:ascii="宋体" w:hAnsi="宋体"/>
          <w:b/>
          <w:bCs/>
        </w:rPr>
        <w:t>部门负责人：                       经办人：                        记录人：</w:t>
      </w:r>
    </w:p>
    <w:p>
      <w:pPr>
        <w:rPr>
          <w:rFonts w:ascii="宋体" w:hAnsi="宋体"/>
          <w:sz w:val="18"/>
          <w:szCs w:val="18"/>
        </w:rPr>
      </w:pPr>
      <w:r>
        <w:rPr>
          <w:rFonts w:hint="eastAsia" w:ascii="宋体" w:hAnsi="宋体"/>
          <w:sz w:val="18"/>
          <w:szCs w:val="18"/>
        </w:rPr>
        <w:t>说明：</w:t>
      </w:r>
    </w:p>
    <w:p>
      <w:pPr>
        <w:rPr>
          <w:rFonts w:ascii="宋体" w:hAnsi="宋体"/>
          <w:sz w:val="18"/>
          <w:szCs w:val="18"/>
        </w:rPr>
      </w:pPr>
      <w:r>
        <w:rPr>
          <w:rFonts w:hint="eastAsia" w:ascii="宋体" w:hAnsi="宋体"/>
          <w:sz w:val="18"/>
          <w:szCs w:val="18"/>
        </w:rPr>
        <w:t>1、本表适用于已签订的合同，每个合同对应一个合同执行情况表；</w:t>
      </w:r>
    </w:p>
    <w:p>
      <w:pPr>
        <w:rPr>
          <w:rFonts w:ascii="宋体" w:hAnsi="宋体"/>
          <w:sz w:val="18"/>
          <w:szCs w:val="18"/>
        </w:rPr>
      </w:pPr>
      <w:r>
        <w:rPr>
          <w:rFonts w:hint="eastAsia" w:ascii="宋体" w:hAnsi="宋体"/>
          <w:sz w:val="18"/>
          <w:szCs w:val="18"/>
        </w:rPr>
        <w:t>2、合同执行情况含合同双方的违约行为。</w:t>
      </w:r>
    </w:p>
    <w:p>
      <w:pPr>
        <w:rPr>
          <w:rFonts w:ascii="宋体" w:hAnsi="宋体"/>
          <w:sz w:val="18"/>
          <w:szCs w:val="18"/>
        </w:rPr>
        <w:sectPr>
          <w:pgSz w:w="11906" w:h="16838"/>
          <w:pgMar w:top="1134" w:right="1134" w:bottom="1134" w:left="1134" w:header="720" w:footer="720" w:gutter="0"/>
          <w:pgNumType w:fmt="numberInDash"/>
          <w:cols w:space="720" w:num="1"/>
          <w:docGrid w:type="lines" w:linePitch="312" w:charSpace="0"/>
        </w:sectPr>
      </w:pPr>
      <w:r>
        <w:rPr>
          <w:rFonts w:hint="eastAsia" w:ascii="宋体" w:hAnsi="宋体"/>
          <w:sz w:val="18"/>
          <w:szCs w:val="18"/>
        </w:rPr>
        <w:t>3、本表一式两份，每双月10日前由承办部门报送集团主管领导及风险管理部。</w:t>
      </w:r>
    </w:p>
    <w:tbl>
      <w:tblPr>
        <w:tblStyle w:val="19"/>
        <w:tblpPr w:leftFromText="180" w:rightFromText="180" w:vertAnchor="text" w:horzAnchor="margin" w:tblpXSpec="center" w:tblpY="964"/>
        <w:tblW w:w="14537" w:type="dxa"/>
        <w:tblInd w:w="0" w:type="dxa"/>
        <w:tblLayout w:type="fixed"/>
        <w:tblCellMar>
          <w:top w:w="0" w:type="dxa"/>
          <w:left w:w="108" w:type="dxa"/>
          <w:bottom w:w="0" w:type="dxa"/>
          <w:right w:w="108" w:type="dxa"/>
        </w:tblCellMar>
      </w:tblPr>
      <w:tblGrid>
        <w:gridCol w:w="1193"/>
        <w:gridCol w:w="1306"/>
        <w:gridCol w:w="1306"/>
        <w:gridCol w:w="1434"/>
        <w:gridCol w:w="1085"/>
        <w:gridCol w:w="796"/>
        <w:gridCol w:w="1946"/>
        <w:gridCol w:w="1231"/>
        <w:gridCol w:w="1993"/>
        <w:gridCol w:w="1190"/>
        <w:gridCol w:w="1057"/>
      </w:tblGrid>
      <w:tr>
        <w:tblPrEx>
          <w:tblLayout w:type="fixed"/>
          <w:tblCellMar>
            <w:top w:w="0" w:type="dxa"/>
            <w:left w:w="108" w:type="dxa"/>
            <w:bottom w:w="0" w:type="dxa"/>
            <w:right w:w="108" w:type="dxa"/>
          </w:tblCellMar>
        </w:tblPrEx>
        <w:trPr>
          <w:trHeight w:val="510" w:hRule="atLeast"/>
        </w:trPr>
        <w:tc>
          <w:tcPr>
            <w:tcW w:w="1193" w:type="dxa"/>
            <w:tcBorders>
              <w:top w:val="single" w:color="000000" w:sz="12" w:space="0"/>
              <w:left w:val="nil"/>
              <w:bottom w:val="single" w:color="000000" w:sz="4" w:space="0"/>
              <w:right w:val="single" w:color="000000" w:sz="4" w:space="0"/>
            </w:tcBorders>
            <w:shd w:val="clear" w:color="auto" w:fill="DDD9C3"/>
            <w:vAlign w:val="center"/>
          </w:tcPr>
          <w:p>
            <w:pPr>
              <w:jc w:val="center"/>
              <w:rPr>
                <w:rFonts w:ascii="宋体" w:hAnsi="宋体"/>
                <w:b/>
                <w:bCs/>
              </w:rPr>
            </w:pPr>
            <w:r>
              <w:rPr>
                <w:rFonts w:hint="eastAsia" w:ascii="宋体" w:hAnsi="宋体"/>
                <w:b/>
                <w:bCs/>
              </w:rPr>
              <w:t>合同编号</w:t>
            </w:r>
          </w:p>
        </w:tc>
        <w:tc>
          <w:tcPr>
            <w:tcW w:w="1306" w:type="dxa"/>
            <w:tcBorders>
              <w:top w:val="single" w:color="000000" w:sz="12" w:space="0"/>
              <w:left w:val="nil"/>
              <w:bottom w:val="single" w:color="000000" w:sz="4" w:space="0"/>
              <w:right w:val="nil"/>
            </w:tcBorders>
            <w:shd w:val="clear" w:color="auto" w:fill="DDD9C3"/>
            <w:vAlign w:val="center"/>
          </w:tcPr>
          <w:p>
            <w:pPr>
              <w:jc w:val="center"/>
              <w:rPr>
                <w:rFonts w:ascii="宋体" w:hAnsi="宋体"/>
                <w:b/>
                <w:bCs/>
              </w:rPr>
            </w:pPr>
            <w:r>
              <w:rPr>
                <w:rFonts w:hint="eastAsia" w:ascii="宋体" w:hAnsi="宋体"/>
                <w:b/>
                <w:bCs/>
              </w:rPr>
              <w:t>序号</w:t>
            </w:r>
          </w:p>
        </w:tc>
        <w:tc>
          <w:tcPr>
            <w:tcW w:w="1306" w:type="dxa"/>
            <w:tcBorders>
              <w:top w:val="single" w:color="000000" w:sz="12" w:space="0"/>
              <w:left w:val="nil"/>
              <w:bottom w:val="single" w:color="000000" w:sz="4" w:space="0"/>
              <w:right w:val="single" w:color="000000" w:sz="4" w:space="0"/>
            </w:tcBorders>
            <w:shd w:val="clear" w:color="auto" w:fill="DDD9C3"/>
            <w:vAlign w:val="center"/>
          </w:tcPr>
          <w:p>
            <w:pPr>
              <w:jc w:val="center"/>
              <w:rPr>
                <w:rFonts w:ascii="宋体" w:hAnsi="宋体"/>
                <w:b/>
                <w:bCs/>
              </w:rPr>
            </w:pPr>
            <w:r>
              <w:rPr>
                <w:rFonts w:hint="eastAsia" w:ascii="宋体" w:hAnsi="宋体"/>
                <w:b/>
                <w:bCs/>
              </w:rPr>
              <w:t>合同名称</w:t>
            </w:r>
          </w:p>
        </w:tc>
        <w:tc>
          <w:tcPr>
            <w:tcW w:w="1434" w:type="dxa"/>
            <w:tcBorders>
              <w:top w:val="single" w:color="000000" w:sz="12" w:space="0"/>
              <w:left w:val="nil"/>
              <w:bottom w:val="single" w:color="000000" w:sz="4" w:space="0"/>
              <w:right w:val="single" w:color="000000" w:sz="4" w:space="0"/>
            </w:tcBorders>
            <w:shd w:val="clear" w:color="auto" w:fill="DDD9C3"/>
            <w:vAlign w:val="center"/>
          </w:tcPr>
          <w:p>
            <w:pPr>
              <w:jc w:val="center"/>
              <w:rPr>
                <w:rFonts w:ascii="宋体" w:hAnsi="宋体"/>
                <w:b/>
                <w:bCs/>
              </w:rPr>
            </w:pPr>
            <w:r>
              <w:rPr>
                <w:rFonts w:hint="eastAsia" w:ascii="宋体" w:hAnsi="宋体"/>
                <w:b/>
                <w:bCs/>
              </w:rPr>
              <w:t>合同相对方</w:t>
            </w:r>
          </w:p>
        </w:tc>
        <w:tc>
          <w:tcPr>
            <w:tcW w:w="1085" w:type="dxa"/>
            <w:tcBorders>
              <w:top w:val="single" w:color="000000" w:sz="12" w:space="0"/>
              <w:left w:val="nil"/>
              <w:bottom w:val="single" w:color="000000" w:sz="4" w:space="0"/>
              <w:right w:val="single" w:color="000000" w:sz="4" w:space="0"/>
            </w:tcBorders>
            <w:shd w:val="clear" w:color="auto" w:fill="DDD9C3"/>
            <w:vAlign w:val="center"/>
          </w:tcPr>
          <w:p>
            <w:pPr>
              <w:jc w:val="center"/>
              <w:rPr>
                <w:rFonts w:ascii="宋体" w:hAnsi="宋体"/>
                <w:b/>
                <w:bCs/>
              </w:rPr>
            </w:pPr>
            <w:r>
              <w:rPr>
                <w:rFonts w:hint="eastAsia" w:ascii="宋体" w:hAnsi="宋体"/>
                <w:b/>
                <w:bCs/>
              </w:rPr>
              <w:t>合同金额</w:t>
            </w:r>
          </w:p>
          <w:p>
            <w:pPr>
              <w:jc w:val="center"/>
              <w:rPr>
                <w:rFonts w:ascii="宋体" w:hAnsi="宋体"/>
                <w:b/>
                <w:bCs/>
                <w:sz w:val="18"/>
                <w:szCs w:val="18"/>
              </w:rPr>
            </w:pPr>
            <w:r>
              <w:rPr>
                <w:rFonts w:hint="eastAsia" w:ascii="宋体" w:hAnsi="宋体"/>
                <w:b/>
                <w:bCs/>
                <w:sz w:val="18"/>
                <w:szCs w:val="18"/>
              </w:rPr>
              <w:t>（万元）</w:t>
            </w:r>
          </w:p>
        </w:tc>
        <w:tc>
          <w:tcPr>
            <w:tcW w:w="796" w:type="dxa"/>
            <w:tcBorders>
              <w:top w:val="single" w:color="000000" w:sz="12" w:space="0"/>
              <w:left w:val="nil"/>
              <w:bottom w:val="single" w:color="000000" w:sz="4" w:space="0"/>
              <w:right w:val="single" w:color="000000" w:sz="4" w:space="0"/>
            </w:tcBorders>
            <w:shd w:val="clear" w:color="auto" w:fill="DDD9C3"/>
            <w:vAlign w:val="center"/>
          </w:tcPr>
          <w:p>
            <w:pPr>
              <w:jc w:val="center"/>
              <w:rPr>
                <w:rFonts w:ascii="宋体" w:hAnsi="宋体"/>
                <w:b/>
                <w:bCs/>
                <w:sz w:val="18"/>
                <w:szCs w:val="18"/>
              </w:rPr>
            </w:pPr>
            <w:r>
              <w:rPr>
                <w:rFonts w:hint="eastAsia" w:ascii="宋体" w:hAnsi="宋体"/>
                <w:b/>
                <w:bCs/>
              </w:rPr>
              <w:t>是否执行完毕</w:t>
            </w:r>
          </w:p>
        </w:tc>
        <w:tc>
          <w:tcPr>
            <w:tcW w:w="1946" w:type="dxa"/>
            <w:tcBorders>
              <w:top w:val="single" w:color="000000" w:sz="12" w:space="0"/>
              <w:left w:val="nil"/>
              <w:bottom w:val="single" w:color="000000" w:sz="4" w:space="0"/>
              <w:right w:val="single" w:color="000000" w:sz="4" w:space="0"/>
            </w:tcBorders>
            <w:shd w:val="clear" w:color="auto" w:fill="DDD9C3"/>
            <w:vAlign w:val="center"/>
          </w:tcPr>
          <w:p>
            <w:pPr>
              <w:jc w:val="center"/>
              <w:rPr>
                <w:rFonts w:ascii="宋体" w:hAnsi="宋体"/>
                <w:b/>
                <w:bCs/>
              </w:rPr>
            </w:pPr>
            <w:r>
              <w:rPr>
                <w:rFonts w:hint="eastAsia" w:ascii="宋体" w:hAnsi="宋体"/>
                <w:b/>
                <w:bCs/>
              </w:rPr>
              <w:t>已执行事项</w:t>
            </w:r>
          </w:p>
        </w:tc>
        <w:tc>
          <w:tcPr>
            <w:tcW w:w="1231" w:type="dxa"/>
            <w:tcBorders>
              <w:top w:val="single" w:color="000000" w:sz="12" w:space="0"/>
              <w:left w:val="nil"/>
              <w:bottom w:val="single" w:color="000000" w:sz="4" w:space="0"/>
              <w:right w:val="single" w:color="000000" w:sz="4" w:space="0"/>
            </w:tcBorders>
            <w:shd w:val="clear" w:color="auto" w:fill="DDD9C3"/>
            <w:vAlign w:val="center"/>
          </w:tcPr>
          <w:p>
            <w:pPr>
              <w:jc w:val="center"/>
              <w:rPr>
                <w:rFonts w:ascii="宋体" w:hAnsi="宋体"/>
                <w:b/>
                <w:bCs/>
              </w:rPr>
            </w:pPr>
            <w:r>
              <w:rPr>
                <w:rFonts w:hint="eastAsia" w:ascii="宋体" w:hAnsi="宋体"/>
                <w:b/>
                <w:bCs/>
              </w:rPr>
              <w:t>执行时间</w:t>
            </w:r>
          </w:p>
        </w:tc>
        <w:tc>
          <w:tcPr>
            <w:tcW w:w="1993" w:type="dxa"/>
            <w:tcBorders>
              <w:top w:val="single" w:color="000000" w:sz="12" w:space="0"/>
              <w:left w:val="nil"/>
              <w:bottom w:val="single" w:color="000000" w:sz="4" w:space="0"/>
              <w:right w:val="single" w:color="000000" w:sz="4" w:space="0"/>
            </w:tcBorders>
            <w:shd w:val="clear" w:color="auto" w:fill="DDD9C3"/>
            <w:vAlign w:val="center"/>
          </w:tcPr>
          <w:p>
            <w:pPr>
              <w:jc w:val="center"/>
              <w:rPr>
                <w:rFonts w:ascii="宋体" w:hAnsi="宋体"/>
                <w:b/>
                <w:bCs/>
              </w:rPr>
            </w:pPr>
            <w:r>
              <w:rPr>
                <w:rFonts w:hint="eastAsia" w:ascii="宋体" w:hAnsi="宋体"/>
                <w:b/>
                <w:bCs/>
              </w:rPr>
              <w:t>尚未执行事项</w:t>
            </w:r>
          </w:p>
        </w:tc>
        <w:tc>
          <w:tcPr>
            <w:tcW w:w="1190" w:type="dxa"/>
            <w:tcBorders>
              <w:top w:val="single" w:color="000000" w:sz="12" w:space="0"/>
              <w:left w:val="nil"/>
              <w:bottom w:val="single" w:color="000000" w:sz="4" w:space="0"/>
              <w:right w:val="single" w:color="auto" w:sz="4" w:space="0"/>
            </w:tcBorders>
            <w:shd w:val="clear" w:color="auto" w:fill="DDD9C3"/>
            <w:vAlign w:val="center"/>
          </w:tcPr>
          <w:p>
            <w:pPr>
              <w:jc w:val="center"/>
              <w:rPr>
                <w:rFonts w:ascii="宋体" w:hAnsi="宋体"/>
                <w:b/>
                <w:bCs/>
              </w:rPr>
            </w:pPr>
            <w:r>
              <w:rPr>
                <w:rFonts w:hint="eastAsia" w:ascii="宋体" w:hAnsi="宋体"/>
                <w:b/>
                <w:bCs/>
              </w:rPr>
              <w:t>计划</w:t>
            </w:r>
          </w:p>
          <w:p>
            <w:pPr>
              <w:jc w:val="center"/>
              <w:rPr>
                <w:rFonts w:ascii="宋体" w:hAnsi="宋体"/>
                <w:b/>
                <w:bCs/>
              </w:rPr>
            </w:pPr>
            <w:r>
              <w:rPr>
                <w:rFonts w:hint="eastAsia" w:ascii="宋体" w:hAnsi="宋体"/>
                <w:b/>
                <w:bCs/>
              </w:rPr>
              <w:t>执行时间</w:t>
            </w:r>
          </w:p>
        </w:tc>
        <w:tc>
          <w:tcPr>
            <w:tcW w:w="1057" w:type="dxa"/>
            <w:tcBorders>
              <w:top w:val="single" w:color="000000" w:sz="12" w:space="0"/>
              <w:left w:val="nil"/>
              <w:bottom w:val="single" w:color="000000" w:sz="4" w:space="0"/>
              <w:right w:val="single" w:color="000000" w:sz="12" w:space="0"/>
            </w:tcBorders>
            <w:shd w:val="clear" w:color="auto" w:fill="DDD9C3"/>
            <w:vAlign w:val="center"/>
          </w:tcPr>
          <w:p>
            <w:pPr>
              <w:jc w:val="center"/>
              <w:rPr>
                <w:rFonts w:ascii="宋体" w:hAnsi="宋体"/>
                <w:b/>
                <w:bCs/>
              </w:rPr>
            </w:pPr>
            <w:r>
              <w:rPr>
                <w:rFonts w:hint="eastAsia" w:ascii="宋体" w:hAnsi="宋体"/>
                <w:b/>
                <w:bCs/>
              </w:rPr>
              <w:t>经办人</w:t>
            </w:r>
          </w:p>
          <w:p>
            <w:pPr>
              <w:jc w:val="center"/>
              <w:rPr>
                <w:rFonts w:ascii="宋体" w:hAnsi="宋体"/>
                <w:b/>
                <w:bCs/>
              </w:rPr>
            </w:pPr>
            <w:r>
              <w:rPr>
                <w:rFonts w:hint="eastAsia" w:ascii="宋体" w:hAnsi="宋体"/>
                <w:b/>
                <w:bCs/>
              </w:rPr>
              <w:t>签字</w:t>
            </w:r>
          </w:p>
        </w:tc>
      </w:tr>
      <w:tr>
        <w:tblPrEx>
          <w:tblLayout w:type="fixed"/>
          <w:tblCellMar>
            <w:top w:w="0" w:type="dxa"/>
            <w:left w:w="108" w:type="dxa"/>
            <w:bottom w:w="0" w:type="dxa"/>
            <w:right w:w="108" w:type="dxa"/>
          </w:tblCellMar>
        </w:tblPrEx>
        <w:trPr>
          <w:trHeight w:val="497" w:hRule="atLeast"/>
        </w:trPr>
        <w:tc>
          <w:tcPr>
            <w:tcW w:w="1193"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306" w:type="dxa"/>
            <w:tcBorders>
              <w:top w:val="single" w:color="000000" w:sz="4" w:space="0"/>
              <w:left w:val="nil"/>
              <w:bottom w:val="single" w:color="000000" w:sz="4" w:space="0"/>
              <w:right w:val="nil"/>
            </w:tcBorders>
            <w:vAlign w:val="top"/>
          </w:tcPr>
          <w:p>
            <w:pPr>
              <w:jc w:val="center"/>
              <w:rPr>
                <w:rFonts w:ascii="宋体" w:hAnsi="宋体"/>
              </w:rPr>
            </w:pPr>
          </w:p>
        </w:tc>
        <w:tc>
          <w:tcPr>
            <w:tcW w:w="1306" w:type="dxa"/>
            <w:tcBorders>
              <w:top w:val="single" w:color="000000" w:sz="4" w:space="0"/>
              <w:left w:val="nil"/>
              <w:bottom w:val="single" w:color="000000" w:sz="4" w:space="0"/>
              <w:right w:val="single" w:color="000000" w:sz="4" w:space="0"/>
            </w:tcBorders>
            <w:vAlign w:val="top"/>
          </w:tcPr>
          <w:p>
            <w:pPr>
              <w:jc w:val="center"/>
              <w:rPr>
                <w:rFonts w:ascii="宋体" w:hAnsi="宋体"/>
              </w:rPr>
            </w:pPr>
          </w:p>
          <w:p>
            <w:pPr>
              <w:jc w:val="center"/>
              <w:rPr>
                <w:rFonts w:ascii="宋体" w:hAnsi="宋体"/>
              </w:rPr>
            </w:pPr>
          </w:p>
        </w:tc>
        <w:tc>
          <w:tcPr>
            <w:tcW w:w="1434"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085"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796"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946"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231"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993"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190" w:type="dxa"/>
            <w:tcBorders>
              <w:top w:val="single" w:color="000000" w:sz="4" w:space="0"/>
              <w:left w:val="nil"/>
              <w:bottom w:val="single" w:color="000000" w:sz="4" w:space="0"/>
              <w:right w:val="single" w:color="auto" w:sz="4" w:space="0"/>
            </w:tcBorders>
            <w:vAlign w:val="top"/>
          </w:tcPr>
          <w:p>
            <w:pPr>
              <w:jc w:val="center"/>
              <w:rPr>
                <w:rFonts w:ascii="宋体" w:hAnsi="宋体"/>
              </w:rPr>
            </w:pPr>
          </w:p>
        </w:tc>
        <w:tc>
          <w:tcPr>
            <w:tcW w:w="1057" w:type="dxa"/>
            <w:tcBorders>
              <w:top w:val="single" w:color="000000" w:sz="4" w:space="0"/>
              <w:left w:val="nil"/>
              <w:bottom w:val="single" w:color="000000" w:sz="4" w:space="0"/>
              <w:right w:val="single" w:color="000000" w:sz="12" w:space="0"/>
            </w:tcBorders>
            <w:vAlign w:val="top"/>
          </w:tcPr>
          <w:p>
            <w:pPr>
              <w:jc w:val="center"/>
              <w:rPr>
                <w:rFonts w:ascii="宋体" w:hAnsi="宋体"/>
              </w:rPr>
            </w:pPr>
          </w:p>
        </w:tc>
      </w:tr>
      <w:tr>
        <w:tblPrEx>
          <w:tblLayout w:type="fixed"/>
          <w:tblCellMar>
            <w:top w:w="0" w:type="dxa"/>
            <w:left w:w="108" w:type="dxa"/>
            <w:bottom w:w="0" w:type="dxa"/>
            <w:right w:w="108" w:type="dxa"/>
          </w:tblCellMar>
        </w:tblPrEx>
        <w:trPr>
          <w:trHeight w:val="497" w:hRule="atLeast"/>
        </w:trPr>
        <w:tc>
          <w:tcPr>
            <w:tcW w:w="1193"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306" w:type="dxa"/>
            <w:tcBorders>
              <w:top w:val="single" w:color="000000" w:sz="4" w:space="0"/>
              <w:left w:val="nil"/>
              <w:bottom w:val="single" w:color="000000" w:sz="4" w:space="0"/>
              <w:right w:val="nil"/>
            </w:tcBorders>
            <w:vAlign w:val="top"/>
          </w:tcPr>
          <w:p>
            <w:pPr>
              <w:jc w:val="center"/>
              <w:rPr>
                <w:rFonts w:ascii="宋体" w:hAnsi="宋体"/>
              </w:rPr>
            </w:pPr>
          </w:p>
        </w:tc>
        <w:tc>
          <w:tcPr>
            <w:tcW w:w="1306" w:type="dxa"/>
            <w:tcBorders>
              <w:top w:val="single" w:color="000000" w:sz="4" w:space="0"/>
              <w:left w:val="nil"/>
              <w:bottom w:val="single" w:color="000000" w:sz="4" w:space="0"/>
              <w:right w:val="single" w:color="000000" w:sz="4" w:space="0"/>
            </w:tcBorders>
            <w:vAlign w:val="top"/>
          </w:tcPr>
          <w:p>
            <w:pPr>
              <w:jc w:val="center"/>
              <w:rPr>
                <w:rFonts w:ascii="宋体" w:hAnsi="宋体"/>
              </w:rPr>
            </w:pPr>
          </w:p>
          <w:p>
            <w:pPr>
              <w:jc w:val="center"/>
              <w:rPr>
                <w:rFonts w:ascii="宋体" w:hAnsi="宋体"/>
              </w:rPr>
            </w:pPr>
          </w:p>
        </w:tc>
        <w:tc>
          <w:tcPr>
            <w:tcW w:w="1434"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085"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796"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946"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231"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993"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190" w:type="dxa"/>
            <w:tcBorders>
              <w:top w:val="single" w:color="000000" w:sz="4" w:space="0"/>
              <w:left w:val="nil"/>
              <w:bottom w:val="single" w:color="000000" w:sz="4" w:space="0"/>
              <w:right w:val="single" w:color="auto" w:sz="4" w:space="0"/>
            </w:tcBorders>
            <w:vAlign w:val="top"/>
          </w:tcPr>
          <w:p>
            <w:pPr>
              <w:jc w:val="center"/>
              <w:rPr>
                <w:rFonts w:ascii="宋体" w:hAnsi="宋体"/>
              </w:rPr>
            </w:pPr>
          </w:p>
        </w:tc>
        <w:tc>
          <w:tcPr>
            <w:tcW w:w="1057" w:type="dxa"/>
            <w:tcBorders>
              <w:top w:val="single" w:color="000000" w:sz="4" w:space="0"/>
              <w:left w:val="nil"/>
              <w:bottom w:val="single" w:color="000000" w:sz="4" w:space="0"/>
              <w:right w:val="single" w:color="000000" w:sz="12" w:space="0"/>
            </w:tcBorders>
            <w:vAlign w:val="top"/>
          </w:tcPr>
          <w:p>
            <w:pPr>
              <w:jc w:val="center"/>
              <w:rPr>
                <w:rFonts w:ascii="宋体" w:hAnsi="宋体"/>
              </w:rPr>
            </w:pPr>
          </w:p>
        </w:tc>
      </w:tr>
      <w:tr>
        <w:tblPrEx>
          <w:tblLayout w:type="fixed"/>
          <w:tblCellMar>
            <w:top w:w="0" w:type="dxa"/>
            <w:left w:w="108" w:type="dxa"/>
            <w:bottom w:w="0" w:type="dxa"/>
            <w:right w:w="108" w:type="dxa"/>
          </w:tblCellMar>
        </w:tblPrEx>
        <w:trPr>
          <w:trHeight w:val="497" w:hRule="atLeast"/>
        </w:trPr>
        <w:tc>
          <w:tcPr>
            <w:tcW w:w="1193"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306" w:type="dxa"/>
            <w:tcBorders>
              <w:top w:val="single" w:color="000000" w:sz="4" w:space="0"/>
              <w:left w:val="nil"/>
              <w:bottom w:val="single" w:color="000000" w:sz="4" w:space="0"/>
              <w:right w:val="nil"/>
            </w:tcBorders>
            <w:vAlign w:val="top"/>
          </w:tcPr>
          <w:p>
            <w:pPr>
              <w:jc w:val="center"/>
              <w:rPr>
                <w:rFonts w:ascii="宋体" w:hAnsi="宋体"/>
              </w:rPr>
            </w:pPr>
          </w:p>
        </w:tc>
        <w:tc>
          <w:tcPr>
            <w:tcW w:w="1306" w:type="dxa"/>
            <w:tcBorders>
              <w:top w:val="single" w:color="000000" w:sz="4" w:space="0"/>
              <w:left w:val="nil"/>
              <w:bottom w:val="single" w:color="000000" w:sz="4" w:space="0"/>
              <w:right w:val="single" w:color="000000" w:sz="4" w:space="0"/>
            </w:tcBorders>
            <w:vAlign w:val="top"/>
          </w:tcPr>
          <w:p>
            <w:pPr>
              <w:jc w:val="center"/>
              <w:rPr>
                <w:rFonts w:ascii="宋体" w:hAnsi="宋体"/>
              </w:rPr>
            </w:pPr>
          </w:p>
          <w:p>
            <w:pPr>
              <w:jc w:val="center"/>
              <w:rPr>
                <w:rFonts w:ascii="宋体" w:hAnsi="宋体"/>
              </w:rPr>
            </w:pPr>
          </w:p>
        </w:tc>
        <w:tc>
          <w:tcPr>
            <w:tcW w:w="1434"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085"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796"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946"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231"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993"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190" w:type="dxa"/>
            <w:tcBorders>
              <w:top w:val="single" w:color="000000" w:sz="4" w:space="0"/>
              <w:left w:val="nil"/>
              <w:bottom w:val="single" w:color="000000" w:sz="4" w:space="0"/>
              <w:right w:val="single" w:color="auto" w:sz="4" w:space="0"/>
            </w:tcBorders>
            <w:vAlign w:val="top"/>
          </w:tcPr>
          <w:p>
            <w:pPr>
              <w:jc w:val="center"/>
              <w:rPr>
                <w:rFonts w:ascii="宋体" w:hAnsi="宋体"/>
              </w:rPr>
            </w:pPr>
          </w:p>
        </w:tc>
        <w:tc>
          <w:tcPr>
            <w:tcW w:w="1057" w:type="dxa"/>
            <w:tcBorders>
              <w:top w:val="single" w:color="000000" w:sz="4" w:space="0"/>
              <w:left w:val="nil"/>
              <w:bottom w:val="single" w:color="000000" w:sz="4" w:space="0"/>
              <w:right w:val="single" w:color="000000" w:sz="12" w:space="0"/>
            </w:tcBorders>
            <w:vAlign w:val="top"/>
          </w:tcPr>
          <w:p>
            <w:pPr>
              <w:jc w:val="center"/>
              <w:rPr>
                <w:rFonts w:ascii="宋体" w:hAnsi="宋体"/>
              </w:rPr>
            </w:pPr>
          </w:p>
        </w:tc>
      </w:tr>
      <w:tr>
        <w:tblPrEx>
          <w:tblLayout w:type="fixed"/>
          <w:tblCellMar>
            <w:top w:w="0" w:type="dxa"/>
            <w:left w:w="108" w:type="dxa"/>
            <w:bottom w:w="0" w:type="dxa"/>
            <w:right w:w="108" w:type="dxa"/>
          </w:tblCellMar>
        </w:tblPrEx>
        <w:trPr>
          <w:trHeight w:val="510" w:hRule="atLeast"/>
        </w:trPr>
        <w:tc>
          <w:tcPr>
            <w:tcW w:w="1193"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306" w:type="dxa"/>
            <w:tcBorders>
              <w:top w:val="single" w:color="000000" w:sz="4" w:space="0"/>
              <w:left w:val="nil"/>
              <w:bottom w:val="single" w:color="000000" w:sz="4" w:space="0"/>
              <w:right w:val="nil"/>
            </w:tcBorders>
            <w:vAlign w:val="top"/>
          </w:tcPr>
          <w:p>
            <w:pPr>
              <w:jc w:val="center"/>
              <w:rPr>
                <w:rFonts w:ascii="宋体" w:hAnsi="宋体"/>
              </w:rPr>
            </w:pPr>
          </w:p>
        </w:tc>
        <w:tc>
          <w:tcPr>
            <w:tcW w:w="1306" w:type="dxa"/>
            <w:tcBorders>
              <w:top w:val="single" w:color="000000" w:sz="4" w:space="0"/>
              <w:left w:val="nil"/>
              <w:bottom w:val="single" w:color="000000" w:sz="4" w:space="0"/>
              <w:right w:val="single" w:color="000000" w:sz="4" w:space="0"/>
            </w:tcBorders>
            <w:vAlign w:val="top"/>
          </w:tcPr>
          <w:p>
            <w:pPr>
              <w:jc w:val="center"/>
              <w:rPr>
                <w:rFonts w:ascii="宋体" w:hAnsi="宋体"/>
              </w:rPr>
            </w:pPr>
          </w:p>
          <w:p>
            <w:pPr>
              <w:jc w:val="center"/>
              <w:rPr>
                <w:rFonts w:ascii="宋体" w:hAnsi="宋体"/>
              </w:rPr>
            </w:pPr>
          </w:p>
        </w:tc>
        <w:tc>
          <w:tcPr>
            <w:tcW w:w="1434"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085"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796"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946"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231"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993"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190" w:type="dxa"/>
            <w:tcBorders>
              <w:top w:val="single" w:color="000000" w:sz="4" w:space="0"/>
              <w:left w:val="nil"/>
              <w:bottom w:val="single" w:color="000000" w:sz="4" w:space="0"/>
              <w:right w:val="single" w:color="auto" w:sz="4" w:space="0"/>
            </w:tcBorders>
            <w:vAlign w:val="top"/>
          </w:tcPr>
          <w:p>
            <w:pPr>
              <w:jc w:val="center"/>
              <w:rPr>
                <w:rFonts w:ascii="宋体" w:hAnsi="宋体"/>
              </w:rPr>
            </w:pPr>
          </w:p>
        </w:tc>
        <w:tc>
          <w:tcPr>
            <w:tcW w:w="1057" w:type="dxa"/>
            <w:tcBorders>
              <w:top w:val="single" w:color="000000" w:sz="4" w:space="0"/>
              <w:left w:val="nil"/>
              <w:bottom w:val="single" w:color="000000" w:sz="4" w:space="0"/>
              <w:right w:val="single" w:color="000000" w:sz="12" w:space="0"/>
            </w:tcBorders>
            <w:vAlign w:val="top"/>
          </w:tcPr>
          <w:p>
            <w:pPr>
              <w:jc w:val="center"/>
              <w:rPr>
                <w:rFonts w:ascii="宋体" w:hAnsi="宋体"/>
              </w:rPr>
            </w:pPr>
          </w:p>
        </w:tc>
      </w:tr>
      <w:tr>
        <w:tblPrEx>
          <w:tblLayout w:type="fixed"/>
          <w:tblCellMar>
            <w:top w:w="0" w:type="dxa"/>
            <w:left w:w="108" w:type="dxa"/>
            <w:bottom w:w="0" w:type="dxa"/>
            <w:right w:w="108" w:type="dxa"/>
          </w:tblCellMar>
        </w:tblPrEx>
        <w:trPr>
          <w:trHeight w:val="497" w:hRule="atLeast"/>
        </w:trPr>
        <w:tc>
          <w:tcPr>
            <w:tcW w:w="1193"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306" w:type="dxa"/>
            <w:tcBorders>
              <w:top w:val="single" w:color="000000" w:sz="4" w:space="0"/>
              <w:left w:val="nil"/>
              <w:bottom w:val="single" w:color="000000" w:sz="4" w:space="0"/>
              <w:right w:val="nil"/>
            </w:tcBorders>
            <w:vAlign w:val="top"/>
          </w:tcPr>
          <w:p>
            <w:pPr>
              <w:jc w:val="center"/>
              <w:rPr>
                <w:rFonts w:ascii="宋体" w:hAnsi="宋体"/>
              </w:rPr>
            </w:pPr>
          </w:p>
        </w:tc>
        <w:tc>
          <w:tcPr>
            <w:tcW w:w="1306" w:type="dxa"/>
            <w:tcBorders>
              <w:top w:val="single" w:color="000000" w:sz="4" w:space="0"/>
              <w:left w:val="nil"/>
              <w:bottom w:val="single" w:color="000000" w:sz="4" w:space="0"/>
              <w:right w:val="single" w:color="000000" w:sz="4" w:space="0"/>
            </w:tcBorders>
            <w:vAlign w:val="top"/>
          </w:tcPr>
          <w:p>
            <w:pPr>
              <w:jc w:val="center"/>
              <w:rPr>
                <w:rFonts w:ascii="宋体" w:hAnsi="宋体"/>
              </w:rPr>
            </w:pPr>
          </w:p>
          <w:p>
            <w:pPr>
              <w:jc w:val="center"/>
              <w:rPr>
                <w:rFonts w:ascii="宋体" w:hAnsi="宋体"/>
              </w:rPr>
            </w:pPr>
          </w:p>
        </w:tc>
        <w:tc>
          <w:tcPr>
            <w:tcW w:w="1434"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085"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796"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946"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231"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993"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190" w:type="dxa"/>
            <w:tcBorders>
              <w:top w:val="single" w:color="000000" w:sz="4" w:space="0"/>
              <w:left w:val="nil"/>
              <w:bottom w:val="single" w:color="000000" w:sz="4" w:space="0"/>
              <w:right w:val="single" w:color="auto" w:sz="4" w:space="0"/>
            </w:tcBorders>
            <w:vAlign w:val="top"/>
          </w:tcPr>
          <w:p>
            <w:pPr>
              <w:jc w:val="center"/>
              <w:rPr>
                <w:rFonts w:ascii="宋体" w:hAnsi="宋体"/>
              </w:rPr>
            </w:pPr>
          </w:p>
        </w:tc>
        <w:tc>
          <w:tcPr>
            <w:tcW w:w="1057" w:type="dxa"/>
            <w:tcBorders>
              <w:top w:val="single" w:color="000000" w:sz="4" w:space="0"/>
              <w:left w:val="nil"/>
              <w:bottom w:val="single" w:color="000000" w:sz="4" w:space="0"/>
              <w:right w:val="single" w:color="000000" w:sz="12" w:space="0"/>
            </w:tcBorders>
            <w:vAlign w:val="top"/>
          </w:tcPr>
          <w:p>
            <w:pPr>
              <w:jc w:val="center"/>
              <w:rPr>
                <w:rFonts w:ascii="宋体" w:hAnsi="宋体"/>
              </w:rPr>
            </w:pPr>
          </w:p>
        </w:tc>
      </w:tr>
      <w:tr>
        <w:tblPrEx>
          <w:tblLayout w:type="fixed"/>
          <w:tblCellMar>
            <w:top w:w="0" w:type="dxa"/>
            <w:left w:w="108" w:type="dxa"/>
            <w:bottom w:w="0" w:type="dxa"/>
            <w:right w:w="108" w:type="dxa"/>
          </w:tblCellMar>
        </w:tblPrEx>
        <w:trPr>
          <w:trHeight w:val="497" w:hRule="atLeast"/>
        </w:trPr>
        <w:tc>
          <w:tcPr>
            <w:tcW w:w="1193"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306" w:type="dxa"/>
            <w:tcBorders>
              <w:top w:val="single" w:color="000000" w:sz="4" w:space="0"/>
              <w:left w:val="nil"/>
              <w:bottom w:val="single" w:color="000000" w:sz="4" w:space="0"/>
              <w:right w:val="nil"/>
            </w:tcBorders>
            <w:vAlign w:val="top"/>
          </w:tcPr>
          <w:p>
            <w:pPr>
              <w:jc w:val="center"/>
              <w:rPr>
                <w:rFonts w:ascii="宋体" w:hAnsi="宋体"/>
              </w:rPr>
            </w:pPr>
          </w:p>
        </w:tc>
        <w:tc>
          <w:tcPr>
            <w:tcW w:w="1306" w:type="dxa"/>
            <w:tcBorders>
              <w:top w:val="single" w:color="000000" w:sz="4" w:space="0"/>
              <w:left w:val="nil"/>
              <w:bottom w:val="single" w:color="000000" w:sz="4" w:space="0"/>
              <w:right w:val="single" w:color="000000" w:sz="4" w:space="0"/>
            </w:tcBorders>
            <w:vAlign w:val="top"/>
          </w:tcPr>
          <w:p>
            <w:pPr>
              <w:jc w:val="center"/>
              <w:rPr>
                <w:rFonts w:ascii="宋体" w:hAnsi="宋体"/>
              </w:rPr>
            </w:pPr>
          </w:p>
          <w:p>
            <w:pPr>
              <w:jc w:val="center"/>
              <w:rPr>
                <w:rFonts w:ascii="宋体" w:hAnsi="宋体"/>
              </w:rPr>
            </w:pPr>
          </w:p>
        </w:tc>
        <w:tc>
          <w:tcPr>
            <w:tcW w:w="1434"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085"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796"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946"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231"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993"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190" w:type="dxa"/>
            <w:tcBorders>
              <w:top w:val="single" w:color="000000" w:sz="4" w:space="0"/>
              <w:left w:val="nil"/>
              <w:bottom w:val="single" w:color="000000" w:sz="4" w:space="0"/>
              <w:right w:val="single" w:color="auto" w:sz="4" w:space="0"/>
            </w:tcBorders>
            <w:vAlign w:val="top"/>
          </w:tcPr>
          <w:p>
            <w:pPr>
              <w:jc w:val="center"/>
              <w:rPr>
                <w:rFonts w:ascii="宋体" w:hAnsi="宋体"/>
              </w:rPr>
            </w:pPr>
          </w:p>
        </w:tc>
        <w:tc>
          <w:tcPr>
            <w:tcW w:w="1057" w:type="dxa"/>
            <w:tcBorders>
              <w:top w:val="single" w:color="000000" w:sz="4" w:space="0"/>
              <w:left w:val="nil"/>
              <w:bottom w:val="single" w:color="000000" w:sz="4" w:space="0"/>
              <w:right w:val="single" w:color="000000" w:sz="12" w:space="0"/>
            </w:tcBorders>
            <w:vAlign w:val="top"/>
          </w:tcPr>
          <w:p>
            <w:pPr>
              <w:jc w:val="center"/>
              <w:rPr>
                <w:rFonts w:ascii="宋体" w:hAnsi="宋体"/>
              </w:rPr>
            </w:pPr>
          </w:p>
        </w:tc>
      </w:tr>
      <w:tr>
        <w:tblPrEx>
          <w:tblLayout w:type="fixed"/>
          <w:tblCellMar>
            <w:top w:w="0" w:type="dxa"/>
            <w:left w:w="108" w:type="dxa"/>
            <w:bottom w:w="0" w:type="dxa"/>
            <w:right w:w="108" w:type="dxa"/>
          </w:tblCellMar>
        </w:tblPrEx>
        <w:trPr>
          <w:trHeight w:val="497" w:hRule="atLeast"/>
        </w:trPr>
        <w:tc>
          <w:tcPr>
            <w:tcW w:w="1193"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306" w:type="dxa"/>
            <w:tcBorders>
              <w:top w:val="single" w:color="000000" w:sz="4" w:space="0"/>
              <w:left w:val="nil"/>
              <w:bottom w:val="single" w:color="000000" w:sz="4" w:space="0"/>
              <w:right w:val="nil"/>
            </w:tcBorders>
            <w:vAlign w:val="top"/>
          </w:tcPr>
          <w:p>
            <w:pPr>
              <w:jc w:val="center"/>
              <w:rPr>
                <w:rFonts w:ascii="宋体" w:hAnsi="宋体"/>
              </w:rPr>
            </w:pPr>
          </w:p>
        </w:tc>
        <w:tc>
          <w:tcPr>
            <w:tcW w:w="1306" w:type="dxa"/>
            <w:tcBorders>
              <w:top w:val="single" w:color="000000" w:sz="4" w:space="0"/>
              <w:left w:val="nil"/>
              <w:bottom w:val="single" w:color="000000" w:sz="4" w:space="0"/>
              <w:right w:val="single" w:color="000000" w:sz="4" w:space="0"/>
            </w:tcBorders>
            <w:vAlign w:val="top"/>
          </w:tcPr>
          <w:p>
            <w:pPr>
              <w:jc w:val="center"/>
              <w:rPr>
                <w:rFonts w:ascii="宋体" w:hAnsi="宋体"/>
              </w:rPr>
            </w:pPr>
          </w:p>
          <w:p>
            <w:pPr>
              <w:jc w:val="center"/>
              <w:rPr>
                <w:rFonts w:ascii="宋体" w:hAnsi="宋体"/>
              </w:rPr>
            </w:pPr>
          </w:p>
        </w:tc>
        <w:tc>
          <w:tcPr>
            <w:tcW w:w="1434"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085"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796"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946"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231"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993" w:type="dxa"/>
            <w:tcBorders>
              <w:top w:val="single" w:color="000000" w:sz="4" w:space="0"/>
              <w:left w:val="nil"/>
              <w:bottom w:val="single" w:color="000000" w:sz="4" w:space="0"/>
              <w:right w:val="single" w:color="000000" w:sz="4" w:space="0"/>
            </w:tcBorders>
            <w:vAlign w:val="top"/>
          </w:tcPr>
          <w:p>
            <w:pPr>
              <w:jc w:val="center"/>
              <w:rPr>
                <w:rFonts w:ascii="宋体" w:hAnsi="宋体"/>
              </w:rPr>
            </w:pPr>
          </w:p>
        </w:tc>
        <w:tc>
          <w:tcPr>
            <w:tcW w:w="1190" w:type="dxa"/>
            <w:tcBorders>
              <w:top w:val="single" w:color="000000" w:sz="4" w:space="0"/>
              <w:left w:val="nil"/>
              <w:bottom w:val="single" w:color="000000" w:sz="4" w:space="0"/>
              <w:right w:val="single" w:color="auto" w:sz="4" w:space="0"/>
            </w:tcBorders>
            <w:vAlign w:val="top"/>
          </w:tcPr>
          <w:p>
            <w:pPr>
              <w:jc w:val="center"/>
              <w:rPr>
                <w:rFonts w:ascii="宋体" w:hAnsi="宋体"/>
              </w:rPr>
            </w:pPr>
          </w:p>
        </w:tc>
        <w:tc>
          <w:tcPr>
            <w:tcW w:w="1057" w:type="dxa"/>
            <w:tcBorders>
              <w:top w:val="single" w:color="000000" w:sz="4" w:space="0"/>
              <w:left w:val="nil"/>
              <w:bottom w:val="single" w:color="000000" w:sz="4" w:space="0"/>
              <w:right w:val="single" w:color="000000" w:sz="12" w:space="0"/>
            </w:tcBorders>
            <w:vAlign w:val="top"/>
          </w:tcPr>
          <w:p>
            <w:pPr>
              <w:jc w:val="center"/>
              <w:rPr>
                <w:rFonts w:ascii="宋体" w:hAnsi="宋体"/>
              </w:rPr>
            </w:pPr>
          </w:p>
        </w:tc>
      </w:tr>
      <w:tr>
        <w:tblPrEx>
          <w:tblLayout w:type="fixed"/>
          <w:tblCellMar>
            <w:top w:w="0" w:type="dxa"/>
            <w:left w:w="108" w:type="dxa"/>
            <w:bottom w:w="0" w:type="dxa"/>
            <w:right w:w="108" w:type="dxa"/>
          </w:tblCellMar>
        </w:tblPrEx>
        <w:trPr>
          <w:trHeight w:val="497" w:hRule="atLeast"/>
        </w:trPr>
        <w:tc>
          <w:tcPr>
            <w:tcW w:w="1193" w:type="dxa"/>
            <w:tcBorders>
              <w:top w:val="single" w:color="000000" w:sz="4" w:space="0"/>
              <w:left w:val="nil"/>
              <w:bottom w:val="single" w:color="000000" w:sz="12" w:space="0"/>
              <w:right w:val="single" w:color="000000" w:sz="4" w:space="0"/>
            </w:tcBorders>
            <w:vAlign w:val="top"/>
          </w:tcPr>
          <w:p>
            <w:pPr>
              <w:jc w:val="center"/>
              <w:rPr>
                <w:rFonts w:ascii="宋体" w:hAnsi="宋体"/>
              </w:rPr>
            </w:pPr>
          </w:p>
        </w:tc>
        <w:tc>
          <w:tcPr>
            <w:tcW w:w="1306" w:type="dxa"/>
            <w:tcBorders>
              <w:top w:val="single" w:color="000000" w:sz="4" w:space="0"/>
              <w:left w:val="nil"/>
              <w:bottom w:val="single" w:color="000000" w:sz="12" w:space="0"/>
              <w:right w:val="nil"/>
            </w:tcBorders>
            <w:vAlign w:val="top"/>
          </w:tcPr>
          <w:p>
            <w:pPr>
              <w:jc w:val="center"/>
              <w:rPr>
                <w:rFonts w:ascii="宋体" w:hAnsi="宋体"/>
              </w:rPr>
            </w:pPr>
          </w:p>
        </w:tc>
        <w:tc>
          <w:tcPr>
            <w:tcW w:w="1306" w:type="dxa"/>
            <w:tcBorders>
              <w:top w:val="single" w:color="000000" w:sz="4" w:space="0"/>
              <w:left w:val="nil"/>
              <w:bottom w:val="single" w:color="000000" w:sz="12" w:space="0"/>
              <w:right w:val="single" w:color="000000" w:sz="4" w:space="0"/>
            </w:tcBorders>
            <w:vAlign w:val="top"/>
          </w:tcPr>
          <w:p>
            <w:pPr>
              <w:jc w:val="center"/>
              <w:rPr>
                <w:rFonts w:ascii="宋体" w:hAnsi="宋体"/>
              </w:rPr>
            </w:pPr>
          </w:p>
          <w:p>
            <w:pPr>
              <w:jc w:val="center"/>
              <w:rPr>
                <w:rFonts w:ascii="宋体" w:hAnsi="宋体"/>
              </w:rPr>
            </w:pPr>
          </w:p>
        </w:tc>
        <w:tc>
          <w:tcPr>
            <w:tcW w:w="1434" w:type="dxa"/>
            <w:tcBorders>
              <w:top w:val="single" w:color="000000" w:sz="4" w:space="0"/>
              <w:left w:val="nil"/>
              <w:bottom w:val="single" w:color="000000" w:sz="12" w:space="0"/>
              <w:right w:val="single" w:color="000000" w:sz="4" w:space="0"/>
            </w:tcBorders>
            <w:vAlign w:val="top"/>
          </w:tcPr>
          <w:p>
            <w:pPr>
              <w:jc w:val="center"/>
              <w:rPr>
                <w:rFonts w:ascii="宋体" w:hAnsi="宋体"/>
              </w:rPr>
            </w:pPr>
          </w:p>
        </w:tc>
        <w:tc>
          <w:tcPr>
            <w:tcW w:w="1085" w:type="dxa"/>
            <w:tcBorders>
              <w:top w:val="single" w:color="000000" w:sz="4" w:space="0"/>
              <w:left w:val="nil"/>
              <w:bottom w:val="single" w:color="000000" w:sz="12" w:space="0"/>
              <w:right w:val="single" w:color="000000" w:sz="4" w:space="0"/>
            </w:tcBorders>
            <w:vAlign w:val="top"/>
          </w:tcPr>
          <w:p>
            <w:pPr>
              <w:jc w:val="center"/>
              <w:rPr>
                <w:rFonts w:ascii="宋体" w:hAnsi="宋体"/>
              </w:rPr>
            </w:pPr>
          </w:p>
        </w:tc>
        <w:tc>
          <w:tcPr>
            <w:tcW w:w="796" w:type="dxa"/>
            <w:tcBorders>
              <w:top w:val="single" w:color="000000" w:sz="4" w:space="0"/>
              <w:left w:val="nil"/>
              <w:bottom w:val="single" w:color="000000" w:sz="12" w:space="0"/>
              <w:right w:val="single" w:color="000000" w:sz="4" w:space="0"/>
            </w:tcBorders>
            <w:vAlign w:val="top"/>
          </w:tcPr>
          <w:p>
            <w:pPr>
              <w:jc w:val="center"/>
              <w:rPr>
                <w:rFonts w:ascii="宋体" w:hAnsi="宋体"/>
              </w:rPr>
            </w:pPr>
          </w:p>
        </w:tc>
        <w:tc>
          <w:tcPr>
            <w:tcW w:w="1946" w:type="dxa"/>
            <w:tcBorders>
              <w:top w:val="single" w:color="000000" w:sz="4" w:space="0"/>
              <w:left w:val="nil"/>
              <w:bottom w:val="single" w:color="000000" w:sz="12" w:space="0"/>
              <w:right w:val="single" w:color="000000" w:sz="4" w:space="0"/>
            </w:tcBorders>
            <w:vAlign w:val="top"/>
          </w:tcPr>
          <w:p>
            <w:pPr>
              <w:jc w:val="center"/>
              <w:rPr>
                <w:rFonts w:ascii="宋体" w:hAnsi="宋体"/>
              </w:rPr>
            </w:pPr>
          </w:p>
        </w:tc>
        <w:tc>
          <w:tcPr>
            <w:tcW w:w="1231" w:type="dxa"/>
            <w:tcBorders>
              <w:top w:val="single" w:color="000000" w:sz="4" w:space="0"/>
              <w:left w:val="nil"/>
              <w:bottom w:val="single" w:color="000000" w:sz="12" w:space="0"/>
              <w:right w:val="single" w:color="000000" w:sz="4" w:space="0"/>
            </w:tcBorders>
            <w:vAlign w:val="top"/>
          </w:tcPr>
          <w:p>
            <w:pPr>
              <w:jc w:val="center"/>
              <w:rPr>
                <w:rFonts w:ascii="宋体" w:hAnsi="宋体"/>
              </w:rPr>
            </w:pPr>
          </w:p>
        </w:tc>
        <w:tc>
          <w:tcPr>
            <w:tcW w:w="1993" w:type="dxa"/>
            <w:tcBorders>
              <w:top w:val="single" w:color="000000" w:sz="4" w:space="0"/>
              <w:left w:val="nil"/>
              <w:bottom w:val="single" w:color="000000" w:sz="12" w:space="0"/>
              <w:right w:val="single" w:color="000000" w:sz="4" w:space="0"/>
            </w:tcBorders>
            <w:vAlign w:val="top"/>
          </w:tcPr>
          <w:p>
            <w:pPr>
              <w:jc w:val="center"/>
              <w:rPr>
                <w:rFonts w:ascii="宋体" w:hAnsi="宋体"/>
              </w:rPr>
            </w:pPr>
          </w:p>
        </w:tc>
        <w:tc>
          <w:tcPr>
            <w:tcW w:w="1190" w:type="dxa"/>
            <w:tcBorders>
              <w:top w:val="single" w:color="000000" w:sz="4" w:space="0"/>
              <w:left w:val="nil"/>
              <w:bottom w:val="single" w:color="000000" w:sz="12" w:space="0"/>
              <w:right w:val="single" w:color="auto" w:sz="4" w:space="0"/>
            </w:tcBorders>
            <w:vAlign w:val="top"/>
          </w:tcPr>
          <w:p>
            <w:pPr>
              <w:jc w:val="center"/>
              <w:rPr>
                <w:rFonts w:ascii="宋体" w:hAnsi="宋体"/>
              </w:rPr>
            </w:pPr>
          </w:p>
        </w:tc>
        <w:tc>
          <w:tcPr>
            <w:tcW w:w="1057" w:type="dxa"/>
            <w:tcBorders>
              <w:top w:val="single" w:color="000000" w:sz="4" w:space="0"/>
              <w:left w:val="nil"/>
              <w:bottom w:val="single" w:color="000000" w:sz="12" w:space="0"/>
              <w:right w:val="single" w:color="000000" w:sz="12" w:space="0"/>
            </w:tcBorders>
            <w:vAlign w:val="top"/>
          </w:tcPr>
          <w:p>
            <w:pPr>
              <w:jc w:val="center"/>
              <w:rPr>
                <w:rFonts w:ascii="宋体" w:hAnsi="宋体"/>
              </w:rPr>
            </w:pPr>
          </w:p>
        </w:tc>
      </w:tr>
    </w:tbl>
    <w:p>
      <w:pPr>
        <w:pStyle w:val="35"/>
        <w:ind w:firstLine="4624" w:firstLineChars="1445"/>
        <w:jc w:val="both"/>
        <w:rPr>
          <w:rFonts w:ascii="宋体" w:eastAsia="宋体"/>
          <w:b/>
          <w:bCs/>
          <w:sz w:val="32"/>
          <w:szCs w:val="32"/>
        </w:rPr>
      </w:pPr>
      <w:r>
        <w:rPr>
          <w:rFonts w:hint="eastAsia" w:ascii="宋体" w:eastAsia="宋体"/>
          <w:b/>
          <w:bCs/>
          <w:sz w:val="32"/>
          <w:szCs w:val="32"/>
          <w:u w:val="single"/>
        </w:rPr>
        <w:t xml:space="preserve">       </w:t>
      </w:r>
      <w:r>
        <w:rPr>
          <w:rFonts w:hint="eastAsia" w:ascii="宋体" w:eastAsia="宋体"/>
          <w:b/>
          <w:bCs/>
          <w:sz w:val="32"/>
          <w:szCs w:val="32"/>
        </w:rPr>
        <w:t>年度部门合同情况表</w:t>
      </w:r>
    </w:p>
    <w:p>
      <w:pPr>
        <w:spacing w:after="156" w:afterLines="50"/>
        <w:rPr>
          <w:rFonts w:ascii="宋体" w:hAnsi="宋体"/>
          <w:b/>
          <w:bCs/>
        </w:rPr>
      </w:pPr>
      <w:r>
        <w:rPr>
          <w:rFonts w:hint="eastAsia" w:ascii="宋体" w:hAnsi="宋体"/>
          <w:b/>
          <w:bCs/>
        </w:rPr>
        <w:t>部门名称：</w:t>
      </w:r>
      <w:r>
        <w:rPr>
          <w:rFonts w:hint="eastAsia" w:ascii="宋体" w:hAnsi="宋体"/>
          <w:b/>
          <w:bCs/>
          <w:u w:val="single"/>
        </w:rPr>
        <w:t xml:space="preserve">                </w:t>
      </w:r>
      <w:r>
        <w:rPr>
          <w:rFonts w:hint="eastAsia" w:ascii="宋体" w:hAnsi="宋体"/>
          <w:b/>
          <w:bCs/>
        </w:rPr>
        <w:t xml:space="preserve">                                                                                  统计时间：</w:t>
      </w:r>
      <w:r>
        <w:rPr>
          <w:rFonts w:hint="eastAsia" w:ascii="宋体" w:hAnsi="宋体"/>
          <w:b/>
          <w:bCs/>
          <w:u w:val="single"/>
        </w:rPr>
        <w:t xml:space="preserve">                   </w:t>
      </w:r>
    </w:p>
    <w:p>
      <w:pPr>
        <w:ind w:firstLine="11550" w:firstLineChars="5500"/>
        <w:rPr>
          <w:rFonts w:ascii="宋体" w:hAnsi="宋体"/>
        </w:rPr>
      </w:pPr>
      <w:r>
        <w:rPr>
          <w:rFonts w:hint="eastAsia" w:ascii="宋体" w:hAnsi="宋体"/>
        </w:rPr>
        <w:t xml:space="preserve"> </w:t>
      </w:r>
    </w:p>
    <w:p>
      <w:pPr>
        <w:rPr>
          <w:rFonts w:ascii="宋体" w:hAnsi="宋体"/>
          <w:sz w:val="18"/>
          <w:szCs w:val="18"/>
        </w:rPr>
      </w:pPr>
      <w:r>
        <w:rPr>
          <w:rFonts w:hint="eastAsia" w:ascii="宋体" w:hAnsi="宋体"/>
          <w:sz w:val="18"/>
          <w:szCs w:val="18"/>
        </w:rPr>
        <w:t>说明：1、执行事项为多项的，执行时间应分别填写；已执行完毕的合同，“尚未执行事项”栏填写“无”。</w:t>
      </w:r>
    </w:p>
    <w:p>
      <w:pPr>
        <w:ind w:firstLine="540" w:firstLineChars="300"/>
        <w:jc w:val="left"/>
        <w:rPr>
          <w:rFonts w:ascii="宋体" w:hAnsi="宋体"/>
          <w:sz w:val="18"/>
          <w:szCs w:val="18"/>
        </w:rPr>
      </w:pPr>
      <w:r>
        <w:rPr>
          <w:rFonts w:hint="eastAsia"/>
          <w:sz w:val="18"/>
          <w:szCs w:val="18"/>
        </w:rPr>
        <w:t>2</w:t>
      </w:r>
      <w:r>
        <w:rPr>
          <w:rFonts w:hint="eastAsia" w:ascii="宋体" w:hAnsi="宋体"/>
          <w:sz w:val="18"/>
          <w:szCs w:val="18"/>
        </w:rPr>
        <w:t xml:space="preserve">、上年度已上报执行完毕的合同，本年度不再上报。                                                                      </w:t>
      </w:r>
      <w:r>
        <w:rPr>
          <w:rFonts w:hint="eastAsia" w:ascii="宋体" w:hAnsi="宋体"/>
          <w:b/>
          <w:bCs/>
        </w:rPr>
        <w:t>部门负责人：</w:t>
      </w:r>
      <w:r>
        <w:rPr>
          <w:rFonts w:hint="eastAsia" w:ascii="宋体" w:hAnsi="宋体"/>
          <w:b/>
          <w:bCs/>
          <w:u w:val="single"/>
        </w:rPr>
        <w:t xml:space="preserve">                     </w:t>
      </w:r>
    </w:p>
    <w:p>
      <w:r>
        <w:t xml:space="preserve"> </w:t>
      </w:r>
    </w:p>
    <w:p>
      <w:pPr>
        <w:spacing w:line="600" w:lineRule="exact"/>
        <w:jc w:val="center"/>
        <w:rPr>
          <w:rFonts w:ascii="方正小标宋简体" w:hAnsi="Calibri" w:eastAsia="方正小标宋简体"/>
          <w:color w:val="000000"/>
          <w:sz w:val="44"/>
          <w:szCs w:val="44"/>
        </w:rPr>
        <w:sectPr>
          <w:footerReference r:id="rId5" w:type="default"/>
          <w:footerReference r:id="rId6" w:type="even"/>
          <w:pgSz w:w="16838" w:h="11906" w:orient="landscape"/>
          <w:pgMar w:top="1588" w:right="2098" w:bottom="1474" w:left="1474" w:header="851" w:footer="992" w:gutter="0"/>
          <w:cols w:space="425" w:num="1"/>
          <w:docGrid w:type="linesAndChars" w:linePitch="312" w:charSpace="0"/>
        </w:sectPr>
      </w:pPr>
    </w:p>
    <w:p>
      <w:pPr>
        <w:spacing w:line="600" w:lineRule="exact"/>
        <w:jc w:val="center"/>
        <w:rPr>
          <w:rFonts w:ascii="方正小标宋简体" w:hAnsi="Calibri" w:eastAsia="方正小标宋简体"/>
          <w:color w:val="000000"/>
          <w:sz w:val="44"/>
          <w:szCs w:val="44"/>
        </w:rPr>
      </w:pPr>
      <w:r>
        <w:rPr>
          <w:rFonts w:hint="eastAsia" w:ascii="方正小标宋简体" w:hAnsi="Calibri" w:eastAsia="方正小标宋简体"/>
          <w:color w:val="000000"/>
          <w:sz w:val="44"/>
          <w:szCs w:val="44"/>
        </w:rPr>
        <w:t xml:space="preserve"> </w:t>
      </w:r>
      <w:r>
        <w:rPr>
          <w:rFonts w:hint="eastAsia" w:ascii="方正小标宋简体" w:eastAsia="方正小标宋简体"/>
          <w:bCs/>
          <w:sz w:val="44"/>
          <w:szCs w:val="44"/>
        </w:rPr>
        <w:t>中关村发展集团股份有限公司</w:t>
      </w:r>
    </w:p>
    <w:p>
      <w:pPr>
        <w:pStyle w:val="4"/>
        <w:keepLines w:val="0"/>
        <w:snapToGrid w:val="0"/>
        <w:spacing w:before="0" w:after="0" w:line="600" w:lineRule="exact"/>
        <w:jc w:val="center"/>
        <w:rPr>
          <w:b w:val="0"/>
          <w:u w:val="none"/>
        </w:rPr>
      </w:pPr>
      <w:r>
        <w:rPr>
          <w:rFonts w:hint="eastAsia" w:ascii="方正小标宋简体" w:eastAsia="方正小标宋简体"/>
          <w:b w:val="0"/>
          <w:bCs w:val="0"/>
          <w:sz w:val="44"/>
          <w:szCs w:val="44"/>
          <w:u w:val="none"/>
        </w:rPr>
        <w:t>新设公司过渡期代管办法</w:t>
      </w:r>
    </w:p>
    <w:p>
      <w:pPr>
        <w:pStyle w:val="2"/>
        <w:numPr>
          <w:ilvl w:val="0"/>
          <w:numId w:val="2"/>
        </w:numPr>
        <w:spacing w:before="240" w:after="10" w:line="576" w:lineRule="auto"/>
        <w:ind w:left="794" w:hanging="794"/>
        <w:jc w:val="center"/>
        <w:rPr>
          <w:rFonts w:hint="eastAsia" w:ascii="方正小标宋简体" w:hAnsi="黑体" w:eastAsia="方正小标宋简体"/>
          <w:b w:val="0"/>
          <w:sz w:val="32"/>
          <w:szCs w:val="32"/>
        </w:rPr>
      </w:pPr>
      <w:r>
        <w:rPr>
          <w:rFonts w:hint="eastAsia" w:ascii="方正小标宋简体" w:hAnsi="黑体" w:eastAsia="方正小标宋简体"/>
          <w:b w:val="0"/>
          <w:sz w:val="32"/>
          <w:szCs w:val="32"/>
        </w:rPr>
        <w:t>总 则</w:t>
      </w:r>
    </w:p>
    <w:p>
      <w:pPr>
        <w:numPr>
          <w:ilvl w:val="0"/>
          <w:numId w:val="3"/>
        </w:numPr>
        <w:spacing w:line="560" w:lineRule="exact"/>
        <w:ind w:left="0" w:firstLine="567"/>
        <w:rPr>
          <w:rFonts w:ascii="仿宋" w:hAnsi="仿宋" w:eastAsia="仿宋"/>
          <w:sz w:val="32"/>
          <w:szCs w:val="32"/>
        </w:rPr>
      </w:pPr>
      <w:r>
        <w:rPr>
          <w:rFonts w:hint="eastAsia" w:ascii="仿宋" w:hAnsi="仿宋" w:eastAsia="仿宋"/>
          <w:sz w:val="32"/>
          <w:szCs w:val="32"/>
        </w:rPr>
        <w:t>为了规范中关村发展集团（以下简称集团）新设公司过渡期的代管行为，明确相关程序及权责，确保新设公司规范运作、平稳过渡，根据国家有关法律法规和集团相关规定，并结合集团实际情况，制定本办法。</w:t>
      </w:r>
    </w:p>
    <w:p>
      <w:pPr>
        <w:numPr>
          <w:ilvl w:val="0"/>
          <w:numId w:val="3"/>
        </w:numPr>
        <w:spacing w:line="560" w:lineRule="exact"/>
        <w:ind w:left="0" w:firstLine="567"/>
        <w:rPr>
          <w:rFonts w:ascii="仿宋" w:hAnsi="仿宋" w:eastAsia="仿宋"/>
          <w:sz w:val="32"/>
          <w:szCs w:val="32"/>
        </w:rPr>
      </w:pPr>
      <w:r>
        <w:rPr>
          <w:rFonts w:hint="eastAsia" w:ascii="仿宋" w:hAnsi="仿宋" w:eastAsia="仿宋"/>
          <w:sz w:val="32"/>
          <w:szCs w:val="32"/>
        </w:rPr>
        <w:t>本办法所称新设公司，是指集团新设的分公司、全资子公司、控股子公司。控股子公司指集团直接持股比例超过50%，或者直接持股比例50％以下但能够实际控制的公司。</w:t>
      </w:r>
    </w:p>
    <w:p>
      <w:pPr>
        <w:numPr>
          <w:ilvl w:val="0"/>
          <w:numId w:val="3"/>
        </w:numPr>
        <w:spacing w:line="560" w:lineRule="exact"/>
        <w:ind w:left="0" w:firstLine="567"/>
        <w:rPr>
          <w:rFonts w:ascii="仿宋" w:hAnsi="仿宋" w:eastAsia="仿宋"/>
          <w:sz w:val="32"/>
          <w:szCs w:val="32"/>
        </w:rPr>
      </w:pPr>
      <w:r>
        <w:rPr>
          <w:rFonts w:hint="eastAsia" w:ascii="仿宋" w:hAnsi="仿宋" w:eastAsia="仿宋"/>
          <w:sz w:val="32"/>
          <w:szCs w:val="32"/>
        </w:rPr>
        <w:t>本办法所称代管，是指集团对新设公司或筹备组过渡期内工商注册和“三会”经办、印章、合同、财务、人力资源、采购等管理活动代为管理。</w:t>
      </w:r>
    </w:p>
    <w:p>
      <w:pPr>
        <w:numPr>
          <w:ilvl w:val="0"/>
          <w:numId w:val="3"/>
        </w:numPr>
        <w:spacing w:line="560" w:lineRule="exact"/>
        <w:ind w:left="0" w:firstLine="567"/>
        <w:rPr>
          <w:rFonts w:ascii="仿宋" w:hAnsi="仿宋" w:eastAsia="仿宋"/>
          <w:sz w:val="32"/>
          <w:szCs w:val="32"/>
        </w:rPr>
      </w:pPr>
      <w:r>
        <w:rPr>
          <w:rFonts w:hint="eastAsia" w:ascii="仿宋" w:hAnsi="仿宋" w:eastAsia="仿宋"/>
          <w:sz w:val="32"/>
          <w:szCs w:val="32"/>
        </w:rPr>
        <w:t>除本办法另有规定外，新设公司或筹备组过渡期内相关工作的开展均执行集团现行规定和流程。</w:t>
      </w:r>
    </w:p>
    <w:p>
      <w:pPr>
        <w:numPr>
          <w:ilvl w:val="0"/>
          <w:numId w:val="3"/>
        </w:numPr>
        <w:spacing w:line="560" w:lineRule="exact"/>
        <w:ind w:left="0" w:firstLine="567"/>
        <w:rPr>
          <w:rFonts w:ascii="仿宋" w:eastAsia="仿宋"/>
          <w:sz w:val="32"/>
          <w:szCs w:val="32"/>
        </w:rPr>
      </w:pPr>
      <w:r>
        <w:rPr>
          <w:rFonts w:hint="eastAsia" w:ascii="仿宋" w:eastAsia="仿宋"/>
          <w:sz w:val="32"/>
          <w:szCs w:val="32"/>
        </w:rPr>
        <w:t>本办法适用于集团所有新设公司。</w:t>
      </w:r>
    </w:p>
    <w:p>
      <w:pPr>
        <w:pStyle w:val="2"/>
        <w:numPr>
          <w:ilvl w:val="0"/>
          <w:numId w:val="2"/>
        </w:numPr>
        <w:spacing w:before="240" w:after="10" w:line="576" w:lineRule="auto"/>
        <w:ind w:left="794" w:hanging="794"/>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过渡期管理</w:t>
      </w:r>
    </w:p>
    <w:p>
      <w:pPr>
        <w:numPr>
          <w:ilvl w:val="0"/>
          <w:numId w:val="3"/>
        </w:numPr>
        <w:spacing w:line="560" w:lineRule="exact"/>
        <w:ind w:left="0" w:firstLine="640" w:firstLineChars="200"/>
        <w:rPr>
          <w:rStyle w:val="50"/>
          <w:rFonts w:ascii="仿宋" w:hAnsi="仿宋" w:eastAsia="仿宋"/>
          <w:sz w:val="32"/>
          <w:szCs w:val="32"/>
        </w:rPr>
      </w:pPr>
      <w:r>
        <w:rPr>
          <w:rStyle w:val="50"/>
          <w:rFonts w:hint="eastAsia" w:ascii="仿宋" w:hAnsi="仿宋" w:eastAsia="仿宋"/>
          <w:sz w:val="32"/>
          <w:szCs w:val="32"/>
        </w:rPr>
        <w:t xml:space="preserve"> 新设公司过渡期内可选择由集团总部进行代管。新设公司应加快筹建相关工作，努力尽快具备独立运营能力和管理条件，结束代管。</w:t>
      </w:r>
    </w:p>
    <w:p>
      <w:pPr>
        <w:numPr>
          <w:ilvl w:val="0"/>
          <w:numId w:val="3"/>
        </w:numPr>
        <w:spacing w:line="560" w:lineRule="exact"/>
        <w:ind w:left="0" w:firstLine="709"/>
        <w:rPr>
          <w:rStyle w:val="50"/>
          <w:rFonts w:ascii="仿宋" w:hAnsi="仿宋" w:eastAsia="仿宋"/>
          <w:sz w:val="32"/>
          <w:szCs w:val="32"/>
        </w:rPr>
      </w:pPr>
      <w:r>
        <w:rPr>
          <w:rStyle w:val="50"/>
          <w:rFonts w:hint="eastAsia" w:ascii="仿宋_GB2312" w:hAnsi="仿宋" w:eastAsia="仿宋_GB2312"/>
          <w:sz w:val="32"/>
          <w:szCs w:val="32"/>
        </w:rPr>
        <w:t xml:space="preserve"> </w:t>
      </w:r>
      <w:r>
        <w:rPr>
          <w:rStyle w:val="50"/>
          <w:rFonts w:hint="eastAsia" w:ascii="仿宋" w:hAnsi="仿宋" w:eastAsia="仿宋"/>
          <w:sz w:val="32"/>
          <w:szCs w:val="32"/>
        </w:rPr>
        <w:t>本办法所称过渡期，是指新设公司尚不具有独立运营与管理条件的阶段，包括筹备期及成立后过渡期间。</w:t>
      </w:r>
    </w:p>
    <w:p>
      <w:pPr>
        <w:spacing w:line="560" w:lineRule="exact"/>
        <w:ind w:firstLine="640" w:firstLineChars="200"/>
        <w:rPr>
          <w:rStyle w:val="50"/>
          <w:rFonts w:ascii="仿宋" w:hAnsi="仿宋" w:eastAsia="仿宋"/>
          <w:sz w:val="32"/>
          <w:szCs w:val="32"/>
        </w:rPr>
      </w:pPr>
      <w:r>
        <w:rPr>
          <w:rStyle w:val="50"/>
          <w:rFonts w:hint="eastAsia" w:ascii="仿宋" w:hAnsi="仿宋" w:eastAsia="仿宋"/>
          <w:sz w:val="32"/>
          <w:szCs w:val="32"/>
        </w:rPr>
        <w:t>筹备期，是指自筹备组成立之日开始至新设公司登记注册成立。成立后过渡期间，是指新设公司成立后一段期间，原则上不超过三个月，个别新设公司由于特殊原因需要延长并向集团提出书面申请的，经履行集团审批程序（集团总经理审批）后可适当延长，但最长不超过六个月。</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 xml:space="preserve"> 新设公司成立后若选择由集团代管，应及时与集团签署代管协议。代管协议应符合国家法律、法规和集团的相关规定，约定代管范围、代管期限、代管费用等内容。</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 xml:space="preserve"> 新设公司或筹备组牵头负责推进战略、运营、行政、财务、人力资源等各项管理工作，集团相关部门在其职责范围内开展各项代管工作。</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过渡期届满后新设子公司提出延长或结束代管的申请，主管业务部门组织相关部门会签，履行集团审批程序（集团总经理审批）。</w:t>
      </w:r>
    </w:p>
    <w:p>
      <w:pPr>
        <w:spacing w:line="560" w:lineRule="exact"/>
        <w:ind w:left="567"/>
        <w:rPr>
          <w:rStyle w:val="50"/>
          <w:rFonts w:ascii="仿宋_GB2312" w:hAnsi="仿宋" w:eastAsia="仿宋_GB2312"/>
          <w:sz w:val="32"/>
          <w:szCs w:val="32"/>
        </w:rPr>
      </w:pPr>
      <w:r>
        <w:rPr>
          <w:rStyle w:val="50"/>
          <w:rFonts w:hint="eastAsia" w:ascii="仿宋_GB2312" w:hAnsi="仿宋" w:eastAsia="仿宋_GB2312"/>
          <w:sz w:val="32"/>
          <w:szCs w:val="32"/>
        </w:rPr>
        <w:t xml:space="preserve"> </w:t>
      </w:r>
    </w:p>
    <w:p>
      <w:pPr>
        <w:pStyle w:val="2"/>
        <w:numPr>
          <w:ilvl w:val="0"/>
          <w:numId w:val="2"/>
        </w:numPr>
        <w:spacing w:before="240" w:after="10" w:line="576" w:lineRule="auto"/>
        <w:ind w:left="794" w:hanging="794"/>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工商注册与“三会”经办</w:t>
      </w:r>
    </w:p>
    <w:p>
      <w:pPr>
        <w:numPr>
          <w:ilvl w:val="0"/>
          <w:numId w:val="3"/>
        </w:numPr>
        <w:spacing w:line="560" w:lineRule="exact"/>
        <w:ind w:left="0" w:firstLine="709"/>
        <w:rPr>
          <w:rStyle w:val="50"/>
          <w:rFonts w:ascii="仿宋" w:hAnsi="仿宋" w:eastAsia="仿宋"/>
          <w:sz w:val="32"/>
          <w:szCs w:val="32"/>
        </w:rPr>
      </w:pPr>
      <w:r>
        <w:rPr>
          <w:rStyle w:val="50"/>
          <w:rFonts w:hint="eastAsia" w:ascii="仿宋" w:hAnsi="仿宋" w:eastAsia="仿宋"/>
          <w:sz w:val="32"/>
          <w:szCs w:val="32"/>
        </w:rPr>
        <w:t>新设公司筹备期，筹备组在集团主管业务部门和资本运营部指导下准备新设公司的股东协议、公司章程，以及股东（大）会、董事会、监事会</w:t>
      </w:r>
      <w:r>
        <w:rPr>
          <w:rFonts w:hint="eastAsia" w:ascii="仿宋" w:hAnsi="仿宋" w:eastAsia="仿宋"/>
          <w:sz w:val="32"/>
          <w:szCs w:val="32"/>
        </w:rPr>
        <w:t>（以下简称“三会”）</w:t>
      </w:r>
      <w:r>
        <w:rPr>
          <w:rStyle w:val="50"/>
          <w:rFonts w:hint="eastAsia" w:ascii="仿宋" w:hAnsi="仿宋" w:eastAsia="仿宋"/>
          <w:sz w:val="32"/>
          <w:szCs w:val="32"/>
        </w:rPr>
        <w:t>等相关文件，召开“三会”会议。新设公司正式成立后，由主管业务部门和新设公司对应部门按照规定保管相关文档。</w:t>
      </w:r>
    </w:p>
    <w:p>
      <w:pPr>
        <w:numPr>
          <w:ilvl w:val="0"/>
          <w:numId w:val="3"/>
        </w:numPr>
        <w:spacing w:line="560" w:lineRule="exact"/>
        <w:ind w:left="0" w:firstLine="709"/>
        <w:rPr>
          <w:rStyle w:val="50"/>
          <w:rFonts w:ascii="仿宋" w:hAnsi="仿宋" w:eastAsia="仿宋"/>
          <w:sz w:val="32"/>
          <w:szCs w:val="32"/>
        </w:rPr>
      </w:pPr>
      <w:r>
        <w:rPr>
          <w:rStyle w:val="50"/>
          <w:rFonts w:hint="eastAsia" w:ascii="仿宋" w:hAnsi="仿宋" w:eastAsia="仿宋"/>
          <w:sz w:val="32"/>
          <w:szCs w:val="32"/>
        </w:rPr>
        <w:t>新设公司工商注册阶段，由集团资本运营部指导筹备组完成工商注册相关事项。筹备组负责与各股东联系，准备向工商管理部门申报的注册材料，牵头办理工商注册登记手续。</w:t>
      </w:r>
    </w:p>
    <w:p>
      <w:pPr>
        <w:numPr>
          <w:ilvl w:val="0"/>
          <w:numId w:val="3"/>
        </w:numPr>
        <w:spacing w:line="560" w:lineRule="exact"/>
        <w:ind w:left="0" w:firstLine="709"/>
        <w:rPr>
          <w:rStyle w:val="50"/>
          <w:rFonts w:ascii="仿宋_GB2312" w:hAnsi="仿宋" w:eastAsia="仿宋_GB2312"/>
          <w:sz w:val="32"/>
          <w:szCs w:val="32"/>
        </w:rPr>
      </w:pPr>
      <w:r>
        <w:rPr>
          <w:rStyle w:val="50"/>
          <w:rFonts w:hint="eastAsia" w:ascii="仿宋" w:hAnsi="仿宋" w:eastAsia="仿宋"/>
          <w:sz w:val="32"/>
          <w:szCs w:val="32"/>
        </w:rPr>
        <w:t>新设公司成立后的过渡期内，新设公司“</w:t>
      </w:r>
      <w:r>
        <w:rPr>
          <w:rStyle w:val="50"/>
          <w:rFonts w:hint="eastAsia" w:ascii="仿宋" w:hAnsi="仿宋" w:eastAsia="仿宋"/>
        </w:rPr>
        <w:t>三会”</w:t>
      </w:r>
      <w:r>
        <w:rPr>
          <w:rStyle w:val="50"/>
          <w:rFonts w:hint="eastAsia" w:ascii="仿宋" w:hAnsi="仿宋" w:eastAsia="仿宋"/>
          <w:sz w:val="32"/>
          <w:szCs w:val="32"/>
        </w:rPr>
        <w:t>的组织工作由新设公司牵头，集团主管业务部门负责流程办理</w:t>
      </w:r>
      <w:r>
        <w:rPr>
          <w:rStyle w:val="50"/>
          <w:rFonts w:hint="eastAsia" w:ascii="仿宋_GB2312" w:hAnsi="仿宋" w:eastAsia="仿宋_GB2312"/>
          <w:sz w:val="32"/>
          <w:szCs w:val="32"/>
        </w:rPr>
        <w:t>。</w:t>
      </w:r>
    </w:p>
    <w:p>
      <w:pPr>
        <w:pStyle w:val="2"/>
        <w:numPr>
          <w:ilvl w:val="0"/>
          <w:numId w:val="2"/>
        </w:numPr>
        <w:spacing w:before="240" w:after="10" w:line="576" w:lineRule="auto"/>
        <w:ind w:left="794" w:hanging="794"/>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印章管理</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新设公司成立后的过渡期内，所有印章均由集团办公室负责保管，印章的管理按照集团相关规定执行。</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代管期内新设公司的用印，由新设公司发起用印审批程序，新设公司负责人签批后，经集团主管业务部门审核后报请集团主管领导审批，执印人员凭批办单用印。</w:t>
      </w:r>
    </w:p>
    <w:p>
      <w:pPr>
        <w:pStyle w:val="2"/>
        <w:numPr>
          <w:ilvl w:val="0"/>
          <w:numId w:val="2"/>
        </w:numPr>
        <w:spacing w:before="240" w:after="10" w:line="576" w:lineRule="auto"/>
        <w:ind w:left="794" w:hanging="794"/>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合同管理</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新设公司筹备期，由筹备组或集团相关部门负责发起合同审核流程，履行集团合同审批流程后，由集团作为主体签署合同，待新设公司成立后，转由新设公司承继合同后续权利义务。</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新设公司成立后的过渡期内，合同签署工作由新设公司牵头，集团主管业务部门负责发起合同审核流程，履行集团合同审批流程后，由新设公司法定代表人或其授权代表签署合同。</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如新设公司章程对合同所涉事项决策流程有特别规定的，应履行相关流程后方可签署合同，或签署以履行并通过决策流程为生效条件的合同。</w:t>
      </w:r>
    </w:p>
    <w:p>
      <w:pPr>
        <w:pStyle w:val="2"/>
        <w:numPr>
          <w:ilvl w:val="0"/>
          <w:numId w:val="2"/>
        </w:numPr>
        <w:spacing w:before="240" w:after="10" w:line="576" w:lineRule="auto"/>
        <w:ind w:left="794" w:hanging="794"/>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财务管理</w:t>
      </w:r>
    </w:p>
    <w:p>
      <w:pPr>
        <w:numPr>
          <w:ilvl w:val="0"/>
          <w:numId w:val="3"/>
        </w:numPr>
        <w:spacing w:line="560" w:lineRule="exact"/>
        <w:ind w:left="0" w:firstLine="567"/>
        <w:rPr>
          <w:rStyle w:val="50"/>
          <w:rFonts w:ascii="仿宋" w:hAnsi="仿宋" w:eastAsia="仿宋"/>
          <w:sz w:val="32"/>
          <w:szCs w:val="32"/>
        </w:rPr>
      </w:pPr>
      <w:r>
        <w:rPr>
          <w:rStyle w:val="50"/>
          <w:rFonts w:hint="eastAsia" w:ascii="仿宋_GB2312" w:hAnsi="仿宋" w:eastAsia="仿宋_GB2312"/>
          <w:sz w:val="32"/>
          <w:szCs w:val="32"/>
        </w:rPr>
        <w:t>新</w:t>
      </w:r>
      <w:r>
        <w:rPr>
          <w:rStyle w:val="50"/>
          <w:rFonts w:hint="eastAsia" w:ascii="仿宋" w:hAnsi="仿宋" w:eastAsia="仿宋"/>
          <w:sz w:val="32"/>
          <w:szCs w:val="32"/>
        </w:rPr>
        <w:t>设公司过渡期的财务预算、核算、决算、资金管理等各项财务管理工作以及购买理财产品事宜均按照集团相关规定执行。</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新设公司过渡期根据业务开展需要，可以委托集团提供财务代管服务，根据实际工作量收取服务费用。</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新设公司筹备期，筹备组或相关部门按照集团相关规定履行财务支出流程后，由集团垫付相应款项，新设公司成立后尽快履行内部流程并予以偿还。</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新设公司成立后的过渡期内，由新设公司或集团业务主管部门按照集团相关规定履行财务支出流程，支付相应款项。</w:t>
      </w:r>
    </w:p>
    <w:p>
      <w:pPr>
        <w:pStyle w:val="2"/>
        <w:numPr>
          <w:ilvl w:val="0"/>
          <w:numId w:val="2"/>
        </w:numPr>
        <w:spacing w:before="240" w:after="10" w:line="576" w:lineRule="auto"/>
        <w:ind w:left="794" w:hanging="794"/>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人力资源管理</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新设公司或筹备组在过渡期内从集团总部抽调人员从事全职工作，须向集团组织部/人力资源部提出申请或需求，拟抽调人员所在部门、组织部/人力资源部提出意见，报集团领导审批。</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新设公司筹备期内，个别特殊岗位确因工作需要需进行社会招聘的，应由筹备组向集团组织部/人力资源部提出需求，履行集团总部审批程序。</w:t>
      </w:r>
    </w:p>
    <w:p>
      <w:pPr>
        <w:spacing w:line="560" w:lineRule="exact"/>
        <w:ind w:firstLine="640" w:firstLineChars="200"/>
        <w:rPr>
          <w:rStyle w:val="50"/>
          <w:rFonts w:ascii="仿宋" w:hAnsi="仿宋" w:eastAsia="仿宋"/>
          <w:sz w:val="32"/>
          <w:szCs w:val="32"/>
        </w:rPr>
      </w:pPr>
      <w:r>
        <w:rPr>
          <w:rStyle w:val="50"/>
          <w:rFonts w:hint="eastAsia" w:ascii="仿宋" w:hAnsi="仿宋" w:eastAsia="仿宋"/>
          <w:sz w:val="32"/>
          <w:szCs w:val="32"/>
        </w:rPr>
        <w:t>筹备期内聘用人员的劳动关系、工资及社保关系暂由集团总部管理，待新设公司成立后转入。</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新设公司成立前，从集团总部抽调的全职工作人员和社会招聘人员工作期间发生的工资、社保等人力成本由集团总部先行垫付，新设公司成立后尽快履行内部流程并予以偿还。</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新设公司成立后过渡期内，其管理权限内的人员招聘、劳动关系、薪酬福利等人力资源管理工作由新设公司负责，集团组织部/人力资源部参与并予以业务指导和协助；情况特殊确有必要的，经新设公司提出申请，集团组织部/人力资源部提出意见，履行集团审批程序（总经理签批）后可由集团代管，相关费用由新设公司承担。</w:t>
      </w:r>
    </w:p>
    <w:p>
      <w:pPr>
        <w:pStyle w:val="2"/>
        <w:numPr>
          <w:ilvl w:val="0"/>
          <w:numId w:val="2"/>
        </w:numPr>
        <w:spacing w:before="240" w:after="10" w:line="576" w:lineRule="auto"/>
        <w:ind w:left="794" w:hanging="794"/>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采购管理</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新设公司的采购应是其必需的物品或劳务。过渡期内，由筹备组、新设公司或集团办公室发起采购工作并按照集团相关规定执行。</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集团相关部门、筹备组或新设公司应单独保存采购各流程控制文件，新设公司成立后应及时做好实物交接、代垫款偿还等工作。</w:t>
      </w:r>
    </w:p>
    <w:p>
      <w:pPr>
        <w:pStyle w:val="2"/>
        <w:numPr>
          <w:ilvl w:val="0"/>
          <w:numId w:val="2"/>
        </w:numPr>
        <w:spacing w:before="240" w:after="10" w:line="576" w:lineRule="auto"/>
        <w:ind w:left="794" w:hanging="794"/>
        <w:jc w:val="center"/>
        <w:rPr>
          <w:rFonts w:ascii="方正小标宋简体" w:hAnsi="黑体" w:eastAsia="方正小标宋简体"/>
          <w:b w:val="0"/>
          <w:sz w:val="32"/>
          <w:szCs w:val="32"/>
        </w:rPr>
      </w:pPr>
      <w:r>
        <w:rPr>
          <w:rFonts w:hint="eastAsia" w:ascii="方正小标宋简体" w:hAnsi="黑体" w:eastAsia="方正小标宋简体"/>
          <w:b w:val="0"/>
          <w:sz w:val="32"/>
          <w:szCs w:val="32"/>
        </w:rPr>
        <w:t>附  则</w:t>
      </w:r>
    </w:p>
    <w:p>
      <w:pPr>
        <w:numPr>
          <w:ilvl w:val="0"/>
          <w:numId w:val="3"/>
        </w:numPr>
        <w:spacing w:line="560" w:lineRule="exact"/>
        <w:ind w:left="0" w:firstLine="567"/>
        <w:rPr>
          <w:rStyle w:val="50"/>
          <w:rFonts w:hint="eastAsia" w:ascii="仿宋" w:hAnsi="仿宋" w:eastAsia="仿宋"/>
          <w:sz w:val="32"/>
          <w:szCs w:val="32"/>
        </w:rPr>
      </w:pPr>
      <w:r>
        <w:rPr>
          <w:rStyle w:val="50"/>
          <w:rFonts w:hint="eastAsia" w:ascii="仿宋" w:hAnsi="仿宋" w:eastAsia="仿宋"/>
          <w:sz w:val="32"/>
          <w:szCs w:val="32"/>
        </w:rPr>
        <w:t>本办法由集团风险管理部负责解释。</w:t>
      </w:r>
    </w:p>
    <w:p>
      <w:pPr>
        <w:numPr>
          <w:ilvl w:val="0"/>
          <w:numId w:val="3"/>
        </w:numPr>
        <w:spacing w:line="560" w:lineRule="exact"/>
        <w:ind w:left="0" w:firstLine="567"/>
        <w:rPr>
          <w:rStyle w:val="50"/>
          <w:rFonts w:ascii="仿宋" w:hAnsi="仿宋" w:eastAsia="仿宋"/>
          <w:sz w:val="32"/>
          <w:szCs w:val="32"/>
        </w:rPr>
      </w:pPr>
      <w:r>
        <w:rPr>
          <w:rStyle w:val="50"/>
          <w:rFonts w:hint="eastAsia" w:ascii="仿宋" w:hAnsi="仿宋" w:eastAsia="仿宋"/>
          <w:sz w:val="32"/>
          <w:szCs w:val="32"/>
        </w:rPr>
        <w:t xml:space="preserve">  本办法自发布之日起施行。</w:t>
      </w:r>
    </w:p>
    <w:p>
      <w:pPr>
        <w:spacing w:line="600" w:lineRule="exact"/>
        <w:ind w:left="567"/>
        <w:rPr>
          <w:rStyle w:val="50"/>
          <w:rFonts w:hint="eastAsia" w:ascii="方正小标宋简体" w:hAnsi="Calibri" w:eastAsia="方正小标宋简体"/>
          <w:color w:val="000000"/>
          <w:sz w:val="44"/>
          <w:szCs w:val="44"/>
        </w:rPr>
      </w:pPr>
    </w:p>
    <w:p>
      <w:pPr>
        <w:spacing w:line="600" w:lineRule="exact"/>
        <w:rPr>
          <w:rFonts w:ascii="方正小标宋简体" w:hAnsi="Calibri" w:eastAsia="方正小标宋简体"/>
          <w:color w:val="000000"/>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hint="eastAsia"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580" w:lineRule="exact"/>
        <w:jc w:val="center"/>
        <w:rPr>
          <w:rFonts w:ascii="方正小标宋简体" w:eastAsia="方正小标宋简体"/>
          <w:sz w:val="44"/>
          <w:szCs w:val="44"/>
        </w:rPr>
      </w:pPr>
    </w:p>
    <w:p>
      <w:pPr>
        <w:spacing w:line="600" w:lineRule="exact"/>
        <w:ind w:firstLine="140" w:firstLineChars="50"/>
        <w:jc w:val="left"/>
        <w:rPr>
          <w:rFonts w:ascii="仿宋_GB2312" w:hAnsi="宋体" w:eastAsia="仿宋_GB2312" w:cs="宋体"/>
          <w:sz w:val="32"/>
          <w:szCs w:val="32"/>
        </w:rPr>
      </w:pPr>
      <w:r>
        <w:rPr>
          <w:rFonts w:ascii="仿宋_GB2312" w:hAnsi="仿宋" w:eastAsia="仿宋_GB2312"/>
          <w:sz w:val="28"/>
          <w:szCs w:val="28"/>
          <w:lang/>
        </w:rPr>
        <mc:AlternateContent>
          <mc:Choice Requires="wps">
            <w:drawing>
              <wp:anchor distT="0" distB="0" distL="114300" distR="114300" simplePos="0" relativeHeight="251661312"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4" name="自选图形 6"/>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6" o:spid="_x0000_s1026" o:spt="32" type="#_x0000_t32" style="position:absolute;left:0pt;margin-left:-6.25pt;margin-top:6.85pt;height:0pt;width:456.6pt;z-index:251661312;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oAiqtUAAAAJAQAADwAAAAAAAAAB&#10;ACAAAAAiAAAAZHJzL2Rvd25yZXYueG1sUEsBAhQAFAAAAAgAh07iQLRsy6XaAQAAlgMAAA4AAAAA&#10;AAAAAQAgAAAAJAEAAGRycy9lMm9Eb2MueG1sUEsFBgAAAAAGAAYAWQEAAHAFA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60288"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3" name="自选图形 5"/>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5" o:spid="_x0000_s1026" o:spt="32" type="#_x0000_t32" style="position:absolute;left:0pt;margin-left:-6.25pt;margin-top:32.5pt;height:0pt;width:457.35pt;z-index:251660288;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CYZiyn3AEAAJY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_GB2312" w:hAnsi="仿宋" w:eastAsia="仿宋_GB2312"/>
          <w:sz w:val="28"/>
          <w:szCs w:val="28"/>
        </w:rPr>
        <w:t xml:space="preserve">中关村发展集团办公室                      </w:t>
      </w:r>
      <w:r>
        <w:rPr>
          <w:rFonts w:hint="eastAsia" w:ascii="仿宋_GB2312" w:hAnsi="仿宋" w:eastAsia="仿宋_GB2312"/>
          <w:w w:val="95"/>
          <w:sz w:val="28"/>
          <w:szCs w:val="28"/>
        </w:rPr>
        <w:t>2018年5 月 25日印发</w:t>
      </w:r>
    </w:p>
    <w:p/>
    <w:sectPr>
      <w:pgSz w:w="11906" w:h="16838"/>
      <w:pgMar w:top="2098" w:right="1474" w:bottom="1474"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3000509000000000000"/>
    <w:charset w:val="86"/>
    <w:family w:val="script"/>
    <w:pitch w:val="default"/>
    <w:sig w:usb0="00000000" w:usb1="080E0000" w:usb2="00000010" w:usb3="00000000" w:csb0="00040000" w:csb1="00000000"/>
  </w:font>
  <w:font w:name="Arial">
    <w:panose1 w:val="020B0604020202020204"/>
    <w:charset w:val="00"/>
    <w:family w:val="swiss"/>
    <w:pitch w:val="default"/>
    <w:sig w:usb0="E0002EFF" w:usb1="C000785B" w:usb2="00000009" w:usb3="00000000" w:csb0="400001FF" w:csb1="FFFF0000"/>
  </w:font>
  <w:font w:name="汉仪仿宋简">
    <w:altName w:val="微软雅黑"/>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500"/>
      <w:jc w:val="right"/>
      <w:rPr>
        <w:rFonts w:ascii="宋体" w:hAnsi="宋体"/>
        <w:sz w:val="28"/>
        <w:szCs w:val="28"/>
      </w:rPr>
    </w:pP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rPr>
      <w:t>- 1 -</w:t>
    </w:r>
    <w:r>
      <w:rPr>
        <w:rFonts w:ascii="宋体" w:hAnsi="宋体"/>
        <w:sz w:val="28"/>
        <w:szCs w:val="28"/>
      </w:rP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宋体" w:hAnsi="宋体"/>
        <w:sz w:val="28"/>
        <w:szCs w:val="28"/>
      </w:rPr>
    </w:pP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lang/>
      </w:rPr>
      <w:t xml:space="preserve"> 28 -</w:t>
    </w:r>
    <w:r>
      <w:rPr>
        <w:rFonts w:ascii="宋体" w:hAnsi="宋体"/>
        <w:sz w:val="28"/>
        <w:szCs w:val="28"/>
      </w:rPr>
      <w:fldChar w:fldCharType="end"/>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35</w:t>
    </w:r>
    <w:r>
      <w:rPr>
        <w:sz w:val="28"/>
        <w:szCs w:val="28"/>
      </w:rPr>
      <w:fldChar w:fldCharType="end"/>
    </w:r>
    <w:r>
      <w:rPr>
        <w:sz w:val="28"/>
        <w:szCs w:val="28"/>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560" w:firstLineChars="200"/>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36</w:t>
    </w:r>
    <w:r>
      <w:rPr>
        <w:sz w:val="28"/>
        <w:szCs w:val="28"/>
      </w:rPr>
      <w:fldChar w:fldCharType="end"/>
    </w:r>
    <w:r>
      <w:rPr>
        <w:rFonts w:hint="eastAsia"/>
        <w:sz w:val="28"/>
        <w:szCs w:val="28"/>
      </w:rPr>
      <w:t xml:space="preserve"> </w:t>
    </w:r>
    <w:r>
      <w:rPr>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A76B6"/>
    <w:multiLevelType w:val="multilevel"/>
    <w:tmpl w:val="1B1A76B6"/>
    <w:lvl w:ilvl="0" w:tentative="0">
      <w:start w:val="1"/>
      <w:numFmt w:val="japaneseCounting"/>
      <w:lvlText w:val="第%1条"/>
      <w:lvlJc w:val="left"/>
      <w:pPr>
        <w:ind w:left="2405" w:hanging="420"/>
      </w:pPr>
      <w:rPr>
        <w:rFonts w:hint="eastAsia" w:ascii="黑体" w:hAnsi="黑体" w:eastAsia="黑体"/>
        <w:b w:val="0"/>
        <w:bCs w:val="0"/>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
    <w:nsid w:val="44541F4D"/>
    <w:multiLevelType w:val="multilevel"/>
    <w:tmpl w:val="44541F4D"/>
    <w:lvl w:ilvl="0" w:tentative="0">
      <w:start w:val="1"/>
      <w:numFmt w:val="japaneseCounting"/>
      <w:lvlText w:val="第%1条"/>
      <w:lvlJc w:val="left"/>
      <w:pPr>
        <w:tabs>
          <w:tab w:val="left" w:pos="1505"/>
        </w:tabs>
        <w:ind w:left="1505" w:hanging="795"/>
      </w:pPr>
      <w:rPr>
        <w:rFonts w:hint="eastAsia" w:ascii="黑体" w:hAnsi="黑体" w:eastAsia="黑体"/>
        <w:b w:val="0"/>
        <w:bCs w:val="0"/>
        <w:sz w:val="32"/>
        <w:szCs w:val="32"/>
      </w:rPr>
    </w:lvl>
    <w:lvl w:ilvl="1" w:tentative="0">
      <w:start w:val="1"/>
      <w:numFmt w:val="lowerLetter"/>
      <w:lvlText w:val="%2)"/>
      <w:lvlJc w:val="left"/>
      <w:pPr>
        <w:tabs>
          <w:tab w:val="left" w:pos="1550"/>
        </w:tabs>
        <w:ind w:left="1550" w:hanging="420"/>
      </w:pPr>
      <w:rPr>
        <w:rFonts w:hint="default" w:ascii="Times New Roman" w:hAnsi="Times New Roman" w:cs="Times New Roman"/>
      </w:rPr>
    </w:lvl>
    <w:lvl w:ilvl="2" w:tentative="0">
      <w:start w:val="1"/>
      <w:numFmt w:val="lowerRoman"/>
      <w:lvlText w:val="%3."/>
      <w:lvlJc w:val="right"/>
      <w:pPr>
        <w:tabs>
          <w:tab w:val="left" w:pos="1970"/>
        </w:tabs>
        <w:ind w:left="1970" w:hanging="420"/>
      </w:pPr>
      <w:rPr>
        <w:rFonts w:hint="default" w:ascii="Times New Roman" w:hAnsi="Times New Roman" w:cs="Times New Roman"/>
      </w:rPr>
    </w:lvl>
    <w:lvl w:ilvl="3" w:tentative="0">
      <w:start w:val="1"/>
      <w:numFmt w:val="decimal"/>
      <w:lvlText w:val="%4."/>
      <w:lvlJc w:val="left"/>
      <w:pPr>
        <w:tabs>
          <w:tab w:val="left" w:pos="2390"/>
        </w:tabs>
        <w:ind w:left="2390" w:hanging="420"/>
      </w:pPr>
      <w:rPr>
        <w:rFonts w:hint="default" w:ascii="Times New Roman" w:hAnsi="Times New Roman" w:cs="Times New Roman"/>
      </w:rPr>
    </w:lvl>
    <w:lvl w:ilvl="4" w:tentative="0">
      <w:start w:val="1"/>
      <w:numFmt w:val="lowerLetter"/>
      <w:lvlText w:val="%5)"/>
      <w:lvlJc w:val="left"/>
      <w:pPr>
        <w:tabs>
          <w:tab w:val="left" w:pos="2810"/>
        </w:tabs>
        <w:ind w:left="2810" w:hanging="420"/>
      </w:pPr>
      <w:rPr>
        <w:rFonts w:hint="default" w:ascii="Times New Roman" w:hAnsi="Times New Roman" w:cs="Times New Roman"/>
      </w:rPr>
    </w:lvl>
    <w:lvl w:ilvl="5" w:tentative="0">
      <w:start w:val="1"/>
      <w:numFmt w:val="lowerRoman"/>
      <w:lvlText w:val="%6."/>
      <w:lvlJc w:val="right"/>
      <w:pPr>
        <w:tabs>
          <w:tab w:val="left" w:pos="3230"/>
        </w:tabs>
        <w:ind w:left="3230" w:hanging="420"/>
      </w:pPr>
      <w:rPr>
        <w:rFonts w:hint="default" w:ascii="Times New Roman" w:hAnsi="Times New Roman" w:cs="Times New Roman"/>
      </w:rPr>
    </w:lvl>
    <w:lvl w:ilvl="6" w:tentative="0">
      <w:start w:val="1"/>
      <w:numFmt w:val="decimal"/>
      <w:lvlText w:val="%7."/>
      <w:lvlJc w:val="left"/>
      <w:pPr>
        <w:tabs>
          <w:tab w:val="left" w:pos="3650"/>
        </w:tabs>
        <w:ind w:left="3650" w:hanging="420"/>
      </w:pPr>
      <w:rPr>
        <w:rFonts w:hint="default" w:ascii="Times New Roman" w:hAnsi="Times New Roman" w:cs="Times New Roman"/>
      </w:rPr>
    </w:lvl>
    <w:lvl w:ilvl="7" w:tentative="0">
      <w:start w:val="1"/>
      <w:numFmt w:val="lowerLetter"/>
      <w:lvlText w:val="%8)"/>
      <w:lvlJc w:val="left"/>
      <w:pPr>
        <w:tabs>
          <w:tab w:val="left" w:pos="4070"/>
        </w:tabs>
        <w:ind w:left="4070" w:hanging="420"/>
      </w:pPr>
      <w:rPr>
        <w:rFonts w:hint="default" w:ascii="Times New Roman" w:hAnsi="Times New Roman" w:cs="Times New Roman"/>
      </w:rPr>
    </w:lvl>
    <w:lvl w:ilvl="8" w:tentative="0">
      <w:start w:val="1"/>
      <w:numFmt w:val="lowerRoman"/>
      <w:lvlText w:val="%9."/>
      <w:lvlJc w:val="right"/>
      <w:pPr>
        <w:tabs>
          <w:tab w:val="left" w:pos="4490"/>
        </w:tabs>
        <w:ind w:left="4490" w:hanging="420"/>
      </w:pPr>
      <w:rPr>
        <w:rFonts w:hint="default" w:ascii="Times New Roman" w:hAnsi="Times New Roman" w:cs="Times New Roman"/>
      </w:rPr>
    </w:lvl>
  </w:abstractNum>
  <w:abstractNum w:abstractNumId="2">
    <w:nsid w:val="5C904293"/>
    <w:multiLevelType w:val="multilevel"/>
    <w:tmpl w:val="5C904293"/>
    <w:lvl w:ilvl="0" w:tentative="0">
      <w:start w:val="1"/>
      <w:numFmt w:val="japaneseCounting"/>
      <w:lvlText w:val="第%1章"/>
      <w:lvlJc w:val="left"/>
      <w:pPr>
        <w:tabs>
          <w:tab w:val="left" w:pos="795"/>
        </w:tabs>
        <w:ind w:left="795" w:hanging="795"/>
      </w:pPr>
      <w:rPr>
        <w:rFonts w:hint="eastAsia" w:ascii="方正小标宋简体" w:hAnsi="黑体" w:eastAsia="方正小标宋简体"/>
        <w:b w:val="0"/>
        <w:bCs w:val="0"/>
        <w:sz w:val="32"/>
        <w:szCs w:val="32"/>
      </w:rPr>
    </w:lvl>
    <w:lvl w:ilvl="1" w:tentative="0">
      <w:start w:val="1"/>
      <w:numFmt w:val="lowerLetter"/>
      <w:lvlText w:val="%2)"/>
      <w:lvlJc w:val="left"/>
      <w:pPr>
        <w:tabs>
          <w:tab w:val="left" w:pos="840"/>
        </w:tabs>
        <w:ind w:left="840" w:hanging="420"/>
      </w:pPr>
      <w:rPr>
        <w:rFonts w:hint="default" w:ascii="Times New Roman" w:hAnsi="Times New Roman" w:cs="Times New Roman"/>
      </w:rPr>
    </w:lvl>
    <w:lvl w:ilvl="2" w:tentative="0">
      <w:start w:val="1"/>
      <w:numFmt w:val="lowerRoman"/>
      <w:lvlText w:val="%3."/>
      <w:lvlJc w:val="righ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Roman"/>
      <w:lvlText w:val="%6."/>
      <w:lvlJc w:val="right"/>
      <w:pPr>
        <w:tabs>
          <w:tab w:val="left" w:pos="2520"/>
        </w:tabs>
        <w:ind w:left="2520" w:hanging="420"/>
      </w:pPr>
      <w:rPr>
        <w:rFonts w:hint="default" w:ascii="Times New Roman" w:hAnsi="Times New Roman" w:cs="Times New Roman"/>
      </w:rPr>
    </w:lvl>
    <w:lvl w:ilvl="6" w:tentative="0">
      <w:start w:val="1"/>
      <w:numFmt w:val="decimal"/>
      <w:lvlText w:val="%7."/>
      <w:lvlJc w:val="left"/>
      <w:pPr>
        <w:tabs>
          <w:tab w:val="left" w:pos="2940"/>
        </w:tabs>
        <w:ind w:left="2940" w:hanging="420"/>
      </w:pPr>
      <w:rPr>
        <w:rFonts w:hint="default" w:ascii="Times New Roman" w:hAnsi="Times New Roman" w:cs="Times New Roman"/>
      </w:rPr>
    </w:lvl>
    <w:lvl w:ilvl="7" w:tentative="0">
      <w:start w:val="1"/>
      <w:numFmt w:val="lowerLetter"/>
      <w:lvlText w:val="%8)"/>
      <w:lvlJc w:val="left"/>
      <w:pPr>
        <w:tabs>
          <w:tab w:val="left" w:pos="3360"/>
        </w:tabs>
        <w:ind w:left="3360" w:hanging="420"/>
      </w:pPr>
      <w:rPr>
        <w:rFonts w:hint="default" w:ascii="Times New Roman" w:hAnsi="Times New Roman" w:cs="Times New Roman"/>
      </w:rPr>
    </w:lvl>
    <w:lvl w:ilvl="8" w:tentative="0">
      <w:start w:val="1"/>
      <w:numFmt w:val="lowerRoman"/>
      <w:lvlText w:val="%9."/>
      <w:lvlJc w:val="right"/>
      <w:pPr>
        <w:tabs>
          <w:tab w:val="left" w:pos="3780"/>
        </w:tabs>
        <w:ind w:left="3780" w:hanging="420"/>
      </w:pPr>
      <w:rPr>
        <w:rFonts w:hint="default" w:ascii="Times New Roman" w:hAnsi="Times New Roman"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dit="readOnly" w:formatting="1" w:enforcement="1" w:cryptProviderType="rsaFull" w:cryptAlgorithmClass="hash" w:cryptAlgorithmType="typeAny" w:cryptAlgorithmSid="4" w:cryptSpinCount="0" w:hash="DJTNBpAKj4LPv+YoAWeWTocFGKs=" w:salt="P9tbNnTRMxYwJEL0Inti2Q=="/>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FEB"/>
    <w:rsid w:val="002B2FEB"/>
    <w:rsid w:val="003E6D19"/>
    <w:rsid w:val="004C2060"/>
    <w:rsid w:val="0056274A"/>
    <w:rsid w:val="005F2FF6"/>
    <w:rsid w:val="00625F0D"/>
    <w:rsid w:val="00751F91"/>
    <w:rsid w:val="00803C54"/>
    <w:rsid w:val="0082149C"/>
    <w:rsid w:val="008324C3"/>
    <w:rsid w:val="008A18D4"/>
    <w:rsid w:val="008E2D72"/>
    <w:rsid w:val="00910477"/>
    <w:rsid w:val="00933C24"/>
    <w:rsid w:val="00A65ACA"/>
    <w:rsid w:val="00AB5445"/>
    <w:rsid w:val="00AB743C"/>
    <w:rsid w:val="00CB00C0"/>
    <w:rsid w:val="00D143EA"/>
    <w:rsid w:val="00D929DC"/>
    <w:rsid w:val="00F668EE"/>
    <w:rsid w:val="00FE212B"/>
    <w:rsid w:val="2EEE121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name="toc 1"/>
    <w:lsdException w:uiPriority="0" w:name="toc 2"/>
    <w:lsdException w:uiPriority="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paragraph" w:styleId="2">
    <w:name w:val="heading 1"/>
    <w:basedOn w:val="1"/>
    <w:next w:val="1"/>
    <w:link w:val="3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7"/>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link w:val="38"/>
    <w:qFormat/>
    <w:uiPriority w:val="0"/>
    <w:pPr>
      <w:keepNext/>
      <w:keepLines/>
      <w:spacing w:before="260" w:after="260" w:line="416" w:lineRule="auto"/>
      <w:jc w:val="left"/>
      <w:outlineLvl w:val="2"/>
    </w:pPr>
    <w:rPr>
      <w:b/>
      <w:bCs/>
      <w:sz w:val="24"/>
      <w:szCs w:val="32"/>
      <w:u w:val="double"/>
    </w:rPr>
  </w:style>
  <w:style w:type="character" w:default="1" w:styleId="15">
    <w:name w:val="Default Paragraph Font"/>
    <w:semiHidden/>
    <w:unhideWhenUsed/>
    <w:uiPriority w:val="1"/>
  </w:style>
  <w:style w:type="table" w:default="1" w:styleId="19">
    <w:name w:val="Normal Table"/>
    <w:semiHidden/>
    <w:unhideWhenUsed/>
    <w:qFormat/>
    <w:uiPriority w:val="99"/>
    <w:tblPr>
      <w:tblStyle w:val="19"/>
      <w:tblLayout w:type="fixed"/>
      <w:tblCellMar>
        <w:top w:w="0" w:type="dxa"/>
        <w:left w:w="108" w:type="dxa"/>
        <w:bottom w:w="0" w:type="dxa"/>
        <w:right w:w="108" w:type="dxa"/>
      </w:tblCellMar>
    </w:tblPr>
  </w:style>
  <w:style w:type="paragraph" w:styleId="5">
    <w:name w:val="caption"/>
    <w:next w:val="1"/>
    <w:link w:val="47"/>
    <w:qFormat/>
    <w:uiPriority w:val="0"/>
    <w:pPr>
      <w:jc w:val="center"/>
    </w:pPr>
    <w:rPr>
      <w:rFonts w:ascii="黑体" w:hAnsi="黑体" w:eastAsia="黑体"/>
      <w:kern w:val="2"/>
      <w:sz w:val="21"/>
      <w:szCs w:val="22"/>
      <w:lang w:val="en-US" w:eastAsia="zh-CN" w:bidi="ar-SA"/>
    </w:rPr>
  </w:style>
  <w:style w:type="paragraph" w:styleId="6">
    <w:name w:val="Body Text 3"/>
    <w:basedOn w:val="1"/>
    <w:link w:val="49"/>
    <w:uiPriority w:val="0"/>
    <w:pPr>
      <w:spacing w:line="360" w:lineRule="auto"/>
    </w:pPr>
    <w:rPr>
      <w:rFonts w:ascii="楷体_GB2312" w:eastAsia="楷体_GB2312"/>
      <w:sz w:val="28"/>
      <w:szCs w:val="20"/>
    </w:rPr>
  </w:style>
  <w:style w:type="paragraph" w:styleId="7">
    <w:name w:val="Date"/>
    <w:basedOn w:val="1"/>
    <w:next w:val="1"/>
    <w:link w:val="43"/>
    <w:uiPriority w:val="0"/>
    <w:pPr>
      <w:ind w:left="100" w:leftChars="2500"/>
    </w:pPr>
  </w:style>
  <w:style w:type="paragraph" w:styleId="8">
    <w:name w:val="Body Text Indent 2"/>
    <w:basedOn w:val="1"/>
    <w:link w:val="48"/>
    <w:uiPriority w:val="0"/>
    <w:pPr>
      <w:widowControl/>
      <w:spacing w:after="120" w:line="480" w:lineRule="auto"/>
      <w:ind w:left="420" w:leftChars="200"/>
      <w:jc w:val="left"/>
    </w:pPr>
    <w:rPr>
      <w:rFonts w:ascii="Arial" w:hAnsi="Arial"/>
      <w:kern w:val="20"/>
      <w:sz w:val="20"/>
      <w:szCs w:val="20"/>
      <w:lang w:val="en-GB" w:eastAsia="en-US"/>
    </w:rPr>
  </w:style>
  <w:style w:type="paragraph" w:styleId="9">
    <w:name w:val="Balloon Text"/>
    <w:basedOn w:val="1"/>
    <w:link w:val="42"/>
    <w:uiPriority w:val="0"/>
    <w:rPr>
      <w:sz w:val="18"/>
      <w:szCs w:val="18"/>
    </w:rPr>
  </w:style>
  <w:style w:type="paragraph" w:styleId="10">
    <w:name w:val="footer"/>
    <w:basedOn w:val="1"/>
    <w:link w:val="40"/>
    <w:uiPriority w:val="99"/>
    <w:pPr>
      <w:tabs>
        <w:tab w:val="center" w:pos="4153"/>
        <w:tab w:val="right" w:pos="8306"/>
      </w:tabs>
      <w:snapToGrid w:val="0"/>
      <w:jc w:val="left"/>
    </w:pPr>
    <w:rPr>
      <w:sz w:val="18"/>
      <w:szCs w:val="18"/>
    </w:rPr>
  </w:style>
  <w:style w:type="paragraph" w:styleId="11">
    <w:name w:val="header"/>
    <w:basedOn w:val="1"/>
    <w:link w:val="39"/>
    <w:uiPriority w:val="99"/>
    <w:pPr>
      <w:pBdr>
        <w:bottom w:val="single" w:color="auto" w:sz="6" w:space="1"/>
      </w:pBdr>
      <w:tabs>
        <w:tab w:val="center" w:pos="4153"/>
        <w:tab w:val="right" w:pos="8306"/>
      </w:tabs>
      <w:snapToGrid w:val="0"/>
      <w:jc w:val="center"/>
    </w:pPr>
    <w:rPr>
      <w:sz w:val="18"/>
      <w:szCs w:val="18"/>
    </w:rPr>
  </w:style>
  <w:style w:type="paragraph" w:styleId="12">
    <w:name w:val="footnote text"/>
    <w:basedOn w:val="1"/>
    <w:link w:val="45"/>
    <w:unhideWhenUsed/>
    <w:uiPriority w:val="99"/>
    <w:pPr>
      <w:widowControl/>
      <w:snapToGrid w:val="0"/>
      <w:jc w:val="left"/>
    </w:pPr>
    <w:rPr>
      <w:sz w:val="18"/>
      <w:szCs w:val="20"/>
    </w:rPr>
  </w:style>
  <w:style w:type="paragraph" w:styleId="13">
    <w:name w:val="Normal (Web)"/>
    <w:basedOn w:val="1"/>
    <w:uiPriority w:val="99"/>
    <w:pPr>
      <w:widowControl/>
      <w:jc w:val="left"/>
    </w:pPr>
    <w:rPr>
      <w:rFonts w:ascii="Arial Narrow" w:hAnsi="Arial Narrow" w:cs="宋体"/>
      <w:kern w:val="0"/>
      <w:sz w:val="18"/>
      <w:szCs w:val="18"/>
    </w:rPr>
  </w:style>
  <w:style w:type="paragraph" w:styleId="14">
    <w:name w:val="Title"/>
    <w:basedOn w:val="1"/>
    <w:next w:val="1"/>
    <w:link w:val="46"/>
    <w:qFormat/>
    <w:uiPriority w:val="10"/>
    <w:pPr>
      <w:spacing w:before="240" w:afterLines="50"/>
      <w:ind w:left="1418" w:hanging="1418"/>
      <w:jc w:val="left"/>
      <w:outlineLvl w:val="0"/>
    </w:pPr>
    <w:rPr>
      <w:rFonts w:ascii="Cambria" w:hAnsi="Cambria" w:eastAsia="仿宋_GB2312"/>
      <w:b/>
      <w:bCs/>
      <w:sz w:val="32"/>
      <w:szCs w:val="32"/>
    </w:rPr>
  </w:style>
  <w:style w:type="character" w:styleId="16">
    <w:name w:val="Strong"/>
    <w:qFormat/>
    <w:uiPriority w:val="22"/>
    <w:rPr>
      <w:b/>
      <w:bCs/>
    </w:rPr>
  </w:style>
  <w:style w:type="character" w:styleId="17">
    <w:name w:val="Hyperlink"/>
    <w:unhideWhenUsed/>
    <w:uiPriority w:val="99"/>
    <w:rPr>
      <w:color w:val="0000FF"/>
      <w:u w:val="single"/>
    </w:rPr>
  </w:style>
  <w:style w:type="character" w:styleId="18">
    <w:name w:val="footnote reference"/>
    <w:unhideWhenUsed/>
    <w:uiPriority w:val="99"/>
    <w:rPr>
      <w:vertAlign w:val="superscript"/>
    </w:rPr>
  </w:style>
  <w:style w:type="paragraph" w:customStyle="1" w:styleId="20">
    <w:name w:val="样式2"/>
    <w:basedOn w:val="3"/>
    <w:uiPriority w:val="0"/>
    <w:rPr>
      <w:b/>
      <w14:shadow w14:blurRad="50800" w14:dist="38100" w14:dir="2700000" w14:sx="100000" w14:sy="100000" w14:kx="0" w14:ky="0" w14:algn="tl">
        <w14:srgbClr w14:val="000000">
          <w14:alpha w14:val="60000"/>
        </w14:srgbClr>
      </w14:shadow>
    </w:rPr>
  </w:style>
  <w:style w:type="paragraph" w:customStyle="1" w:styleId="21">
    <w:name w:val="标头"/>
    <w:basedOn w:val="1"/>
    <w:uiPriority w:val="0"/>
    <w:rPr>
      <w:sz w:val="52"/>
      <w:u w:val="single"/>
    </w:rPr>
  </w:style>
  <w:style w:type="paragraph" w:styleId="22">
    <w:name w:val="No Spacing"/>
    <w:link w:val="41"/>
    <w:qFormat/>
    <w:uiPriority w:val="0"/>
    <w:rPr>
      <w:sz w:val="22"/>
      <w:szCs w:val="22"/>
      <w:lang w:val="en-US" w:eastAsia="zh-CN" w:bidi="ar-SA"/>
    </w:rPr>
  </w:style>
  <w:style w:type="paragraph" w:customStyle="1" w:styleId="23">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24">
    <w:name w:val="列出段落1"/>
    <w:basedOn w:val="1"/>
    <w:qFormat/>
    <w:uiPriority w:val="0"/>
    <w:pPr>
      <w:ind w:firstLine="420" w:firstLineChars="200"/>
    </w:pPr>
    <w:rPr>
      <w:rFonts w:ascii="Calibri" w:hAnsi="Calibri"/>
      <w:szCs w:val="22"/>
    </w:rPr>
  </w:style>
  <w:style w:type="paragraph" w:customStyle="1" w:styleId="25">
    <w:name w:val="报告正文"/>
    <w:basedOn w:val="1"/>
    <w:link w:val="44"/>
    <w:qFormat/>
    <w:uiPriority w:val="0"/>
    <w:pPr>
      <w:adjustRightInd w:val="0"/>
      <w:spacing w:line="360" w:lineRule="auto"/>
      <w:ind w:firstLine="200" w:firstLineChars="200"/>
    </w:pPr>
    <w:rPr>
      <w:kern w:val="0"/>
      <w:sz w:val="24"/>
      <w:szCs w:val="28"/>
    </w:rPr>
  </w:style>
  <w:style w:type="paragraph" w:customStyle="1" w:styleId="26">
    <w:name w:val="Default"/>
    <w:uiPriority w:val="0"/>
    <w:pPr>
      <w:widowControl w:val="0"/>
      <w:autoSpaceDE w:val="0"/>
      <w:autoSpaceDN w:val="0"/>
      <w:adjustRightInd w:val="0"/>
    </w:pPr>
    <w:rPr>
      <w:rFonts w:ascii="黑体" w:eastAsia="黑体" w:cs="黑体"/>
      <w:color w:val="000000"/>
      <w:sz w:val="24"/>
      <w:szCs w:val="24"/>
      <w:lang w:val="en-US" w:eastAsia="zh-CN" w:bidi="ar-SA"/>
    </w:rPr>
  </w:style>
  <w:style w:type="paragraph" w:customStyle="1" w:styleId="27">
    <w:name w:val="ParaAttribute1"/>
    <w:basedOn w:val="1"/>
    <w:uiPriority w:val="0"/>
    <w:pPr>
      <w:wordWrap w:val="0"/>
      <w:jc w:val="left"/>
    </w:pPr>
    <w:rPr>
      <w:rFonts w:eastAsia="Batang"/>
      <w:kern w:val="0"/>
      <w:sz w:val="24"/>
    </w:rPr>
  </w:style>
  <w:style w:type="paragraph" w:styleId="28">
    <w:name w:val="List Paragraph"/>
    <w:basedOn w:val="1"/>
    <w:qFormat/>
    <w:uiPriority w:val="34"/>
    <w:pPr>
      <w:ind w:firstLine="420" w:firstLineChars="200"/>
    </w:pPr>
    <w:rPr>
      <w:rFonts w:ascii="Calibri" w:hAnsi="Calibri"/>
      <w:szCs w:val="22"/>
    </w:rPr>
  </w:style>
  <w:style w:type="paragraph" w:customStyle="1" w:styleId="29">
    <w:name w:val="无间隔1"/>
    <w:uiPriority w:val="0"/>
    <w:rPr>
      <w:sz w:val="22"/>
      <w:szCs w:val="22"/>
      <w:lang w:val="en-US" w:eastAsia="zh-CN" w:bidi="ar-SA"/>
    </w:rPr>
  </w:style>
  <w:style w:type="paragraph" w:customStyle="1" w:styleId="30">
    <w:name w:val="列出段落2"/>
    <w:basedOn w:val="1"/>
    <w:qFormat/>
    <w:uiPriority w:val="34"/>
    <w:pPr>
      <w:ind w:firstLine="420" w:firstLineChars="200"/>
    </w:pPr>
    <w:rPr>
      <w:szCs w:val="20"/>
    </w:rPr>
  </w:style>
  <w:style w:type="paragraph" w:customStyle="1" w:styleId="31">
    <w:name w:val="无间隔2"/>
    <w:uiPriority w:val="0"/>
    <w:pPr>
      <w:widowControl w:val="0"/>
      <w:jc w:val="both"/>
    </w:pPr>
    <w:rPr>
      <w:kern w:val="2"/>
      <w:sz w:val="21"/>
      <w:szCs w:val="22"/>
      <w:lang w:val="en-US" w:eastAsia="zh-CN" w:bidi="ar-SA"/>
    </w:rPr>
  </w:style>
  <w:style w:type="paragraph" w:customStyle="1" w:styleId="32">
    <w:name w:val="无间隔3"/>
    <w:uiPriority w:val="0"/>
    <w:pPr>
      <w:widowControl w:val="0"/>
      <w:jc w:val="both"/>
    </w:pPr>
    <w:rPr>
      <w:kern w:val="2"/>
      <w:sz w:val="21"/>
      <w:szCs w:val="22"/>
      <w:lang w:val="en-US" w:eastAsia="zh-CN" w:bidi="ar-SA"/>
    </w:rPr>
  </w:style>
  <w:style w:type="paragraph" w:customStyle="1" w:styleId="33">
    <w:name w:val="text mix format"/>
    <w:uiPriority w:val="0"/>
    <w:pPr>
      <w:widowControl w:val="0"/>
      <w:adjustRightInd w:val="0"/>
      <w:spacing w:line="312" w:lineRule="atLeast"/>
      <w:jc w:val="both"/>
      <w:textAlignment w:val="baseline"/>
    </w:pPr>
    <w:rPr>
      <w:rFonts w:ascii="Times New Roman" w:hAnsi="Times New Roman"/>
      <w:sz w:val="21"/>
      <w:lang w:val="en-AU" w:eastAsia="zh-CN" w:bidi="ar-SA"/>
    </w:rPr>
  </w:style>
  <w:style w:type="paragraph" w:customStyle="1" w:styleId="34">
    <w:name w:val="text 4"/>
    <w:uiPriority w:val="0"/>
    <w:pPr>
      <w:widowControl w:val="0"/>
      <w:tabs>
        <w:tab w:val="left" w:pos="480"/>
      </w:tabs>
      <w:adjustRightInd w:val="0"/>
      <w:spacing w:line="560" w:lineRule="exact"/>
      <w:jc w:val="center"/>
      <w:textAlignment w:val="baseline"/>
    </w:pPr>
    <w:rPr>
      <w:rFonts w:ascii="方正小标宋简体" w:hAnsi="Times New Roman" w:eastAsia="方正小标宋简体"/>
      <w:sz w:val="36"/>
      <w:szCs w:val="36"/>
      <w:lang w:val="en-US" w:eastAsia="zh-CN" w:bidi="ar-SA"/>
    </w:rPr>
  </w:style>
  <w:style w:type="paragraph" w:customStyle="1" w:styleId="35">
    <w:name w:val="样式joey"/>
    <w:basedOn w:val="2"/>
    <w:uiPriority w:val="0"/>
    <w:pPr>
      <w:spacing w:before="100" w:beforeAutospacing="1" w:after="100" w:afterAutospacing="1" w:line="500" w:lineRule="exact"/>
      <w:jc w:val="center"/>
    </w:pPr>
    <w:rPr>
      <w:rFonts w:ascii="仿宋_GB2312" w:hAnsi="宋体" w:eastAsia="仿宋_GB2312"/>
      <w:b w:val="0"/>
      <w:bCs w:val="0"/>
      <w:sz w:val="28"/>
      <w:szCs w:val="28"/>
    </w:rPr>
  </w:style>
  <w:style w:type="character" w:customStyle="1" w:styleId="36">
    <w:name w:val="标题 1 Char"/>
    <w:link w:val="2"/>
    <w:uiPriority w:val="9"/>
    <w:rPr>
      <w:rFonts w:ascii="Times New Roman" w:hAnsi="Times New Roman" w:eastAsia="宋体" w:cs="Times New Roman"/>
      <w:b/>
      <w:bCs/>
      <w:kern w:val="44"/>
      <w:sz w:val="44"/>
      <w:szCs w:val="44"/>
    </w:rPr>
  </w:style>
  <w:style w:type="character" w:customStyle="1" w:styleId="37">
    <w:name w:val="标题 2 Char"/>
    <w:link w:val="3"/>
    <w:uiPriority w:val="0"/>
    <w:rPr>
      <w:rFonts w:ascii="Arial" w:hAnsi="Arial" w:eastAsia="汉仪仿宋简" w:cs="Times New Roman"/>
      <w:bCs/>
      <w:outline/>
      <w:sz w:val="30"/>
      <w:szCs w:val="32"/>
      <w14:textOutline w14:w="9525" w14:cap="flat" w14:cmpd="sng" w14:algn="ctr">
        <w14:solidFill>
          <w14:srgbClr w14:val="000000"/>
        </w14:solidFill>
        <w14:prstDash w14:val="solid"/>
        <w14:round/>
      </w14:textOutline>
      <w14:textFill>
        <w14:noFill/>
      </w14:textFill>
    </w:rPr>
  </w:style>
  <w:style w:type="character" w:customStyle="1" w:styleId="38">
    <w:name w:val="标题 3 Char"/>
    <w:link w:val="4"/>
    <w:uiPriority w:val="0"/>
    <w:rPr>
      <w:rFonts w:ascii="Times New Roman" w:hAnsi="Times New Roman" w:eastAsia="宋体" w:cs="Times New Roman"/>
      <w:b/>
      <w:bCs/>
      <w:sz w:val="24"/>
      <w:szCs w:val="32"/>
      <w:u w:val="double"/>
    </w:rPr>
  </w:style>
  <w:style w:type="character" w:customStyle="1" w:styleId="39">
    <w:name w:val="页眉 Char"/>
    <w:link w:val="11"/>
    <w:uiPriority w:val="99"/>
    <w:rPr>
      <w:rFonts w:ascii="Times New Roman" w:hAnsi="Times New Roman" w:eastAsia="宋体" w:cs="Times New Roman"/>
      <w:sz w:val="18"/>
      <w:szCs w:val="18"/>
    </w:rPr>
  </w:style>
  <w:style w:type="character" w:customStyle="1" w:styleId="40">
    <w:name w:val="页脚 Char"/>
    <w:link w:val="10"/>
    <w:uiPriority w:val="99"/>
    <w:rPr>
      <w:rFonts w:ascii="Times New Roman" w:hAnsi="Times New Roman" w:eastAsia="宋体" w:cs="Times New Roman"/>
      <w:sz w:val="18"/>
      <w:szCs w:val="18"/>
    </w:rPr>
  </w:style>
  <w:style w:type="character" w:customStyle="1" w:styleId="41">
    <w:name w:val="无间隔 Char"/>
    <w:link w:val="22"/>
    <w:uiPriority w:val="0"/>
    <w:rPr>
      <w:sz w:val="22"/>
      <w:szCs w:val="22"/>
      <w:lang w:val="en-US" w:eastAsia="zh-CN" w:bidi="ar-SA"/>
    </w:rPr>
  </w:style>
  <w:style w:type="character" w:customStyle="1" w:styleId="42">
    <w:name w:val="批注框文本 Char"/>
    <w:link w:val="9"/>
    <w:uiPriority w:val="0"/>
    <w:rPr>
      <w:rFonts w:ascii="Times New Roman" w:hAnsi="Times New Roman" w:eastAsia="宋体" w:cs="Times New Roman"/>
      <w:sz w:val="18"/>
      <w:szCs w:val="18"/>
    </w:rPr>
  </w:style>
  <w:style w:type="character" w:customStyle="1" w:styleId="43">
    <w:name w:val="日期 Char"/>
    <w:link w:val="7"/>
    <w:uiPriority w:val="0"/>
    <w:rPr>
      <w:rFonts w:ascii="Times New Roman" w:hAnsi="Times New Roman" w:eastAsia="宋体" w:cs="Times New Roman"/>
      <w:szCs w:val="24"/>
    </w:rPr>
  </w:style>
  <w:style w:type="character" w:customStyle="1" w:styleId="44">
    <w:name w:val="报告正文 Char"/>
    <w:link w:val="25"/>
    <w:uiPriority w:val="0"/>
    <w:rPr>
      <w:rFonts w:ascii="Times New Roman" w:hAnsi="Times New Roman" w:eastAsia="宋体" w:cs="Times New Roman"/>
      <w:kern w:val="0"/>
      <w:sz w:val="24"/>
      <w:szCs w:val="28"/>
    </w:rPr>
  </w:style>
  <w:style w:type="character" w:customStyle="1" w:styleId="45">
    <w:name w:val="脚注文本 Char"/>
    <w:link w:val="12"/>
    <w:uiPriority w:val="99"/>
    <w:rPr>
      <w:rFonts w:ascii="Times New Roman" w:hAnsi="Times New Roman" w:eastAsia="宋体" w:cs="Times New Roman"/>
      <w:sz w:val="18"/>
      <w:szCs w:val="20"/>
    </w:rPr>
  </w:style>
  <w:style w:type="character" w:customStyle="1" w:styleId="46">
    <w:name w:val="标题 Char"/>
    <w:link w:val="14"/>
    <w:uiPriority w:val="10"/>
    <w:rPr>
      <w:rFonts w:ascii="Cambria" w:hAnsi="Cambria" w:eastAsia="仿宋_GB2312" w:cs="Times New Roman"/>
      <w:b/>
      <w:bCs/>
      <w:sz w:val="32"/>
      <w:szCs w:val="32"/>
    </w:rPr>
  </w:style>
  <w:style w:type="character" w:customStyle="1" w:styleId="47">
    <w:name w:val="题注 Char"/>
    <w:aliases w:val="题注 Char Char Char Char Char Char Char1,题注 Char Char Char Char Char Char Char Char,题注 Char1 Char Char,题注 Char1 Char Char Char Char Char1,题注 Char Char Char Char Char Char1 Char Char,题注1 Char Char Char,题注1 Char Char Char Char Char Char"/>
    <w:link w:val="5"/>
    <w:locked/>
    <w:uiPriority w:val="0"/>
    <w:rPr>
      <w:rFonts w:ascii="黑体" w:hAnsi="黑体" w:eastAsia="黑体"/>
      <w:kern w:val="2"/>
      <w:sz w:val="21"/>
      <w:szCs w:val="22"/>
      <w:lang w:val="en-US" w:eastAsia="zh-CN" w:bidi="ar-SA"/>
    </w:rPr>
  </w:style>
  <w:style w:type="character" w:customStyle="1" w:styleId="48">
    <w:name w:val="正文文本缩进 2 Char"/>
    <w:link w:val="8"/>
    <w:uiPriority w:val="0"/>
    <w:rPr>
      <w:rFonts w:ascii="Arial" w:hAnsi="Arial" w:eastAsia="宋体" w:cs="Times New Roman"/>
      <w:kern w:val="20"/>
      <w:sz w:val="20"/>
      <w:szCs w:val="20"/>
      <w:lang w:val="en-GB" w:eastAsia="en-US"/>
    </w:rPr>
  </w:style>
  <w:style w:type="character" w:customStyle="1" w:styleId="49">
    <w:name w:val="正文文本 3 Char"/>
    <w:link w:val="6"/>
    <w:uiPriority w:val="0"/>
    <w:rPr>
      <w:rFonts w:ascii="楷体_GB2312" w:hAnsi="Times New Roman" w:eastAsia="楷体_GB2312" w:cs="Times New Roman"/>
      <w:sz w:val="28"/>
      <w:szCs w:val="20"/>
    </w:rPr>
  </w:style>
  <w:style w:type="character" w:customStyle="1" w:styleId="50">
    <w:name w:val="15"/>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2232</Words>
  <Characters>12729</Characters>
  <Lines>106</Lines>
  <Paragraphs>29</Paragraphs>
  <TotalTime>0</TotalTime>
  <ScaleCrop>false</ScaleCrop>
  <LinksUpToDate>false</LinksUpToDate>
  <CharactersWithSpaces>14932</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2018-05-22T06:52:00Z</dcterms:created>
  <dc:creator>杨静</dc:creator>
  <cp:lastModifiedBy>杨静</cp:lastModifiedBy>
  <cp:lastPrinted>2018-05-25T01:58:00Z</cp:lastPrinted>
  <dcterms:modified xsi:type="dcterms:W3CDTF">2018-11-15T11:06:58Z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