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中发展〔2018〕5号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hint="eastAsia" w:ascii="方正小标宋简体" w:eastAsia="方正小标宋简体" w:cs="楷体_GB2312"/>
          <w:w w:val="88"/>
          <w:sz w:val="44"/>
          <w:szCs w:val="44"/>
        </w:rPr>
      </w:pP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关于成立审计工作领导小组和</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工作协调小组的通知</w:t>
      </w:r>
    </w:p>
    <w:p>
      <w:pPr>
        <w:spacing w:line="600" w:lineRule="exact"/>
        <w:rPr>
          <w:rFonts w:ascii="仿宋_GB2312" w:eastAsia="仿宋_GB2312"/>
          <w:sz w:val="32"/>
          <w:szCs w:val="32"/>
        </w:rPr>
      </w:pPr>
    </w:p>
    <w:p>
      <w:pPr>
        <w:spacing w:line="600" w:lineRule="exact"/>
        <w:rPr>
          <w:rFonts w:ascii="仿宋" w:hAnsi="仿宋" w:eastAsia="仿宋"/>
          <w:sz w:val="32"/>
          <w:szCs w:val="32"/>
        </w:rPr>
      </w:pPr>
      <w:r>
        <w:rPr>
          <w:rFonts w:hint="eastAsia" w:ascii="仿宋" w:hAnsi="仿宋" w:eastAsia="仿宋"/>
          <w:sz w:val="32"/>
          <w:szCs w:val="32"/>
        </w:rPr>
        <w:t>各部室、各子公司：</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为了加强集团对审计工作的统筹领导，充分发挥内部审计对集团经济安全、健康运行的保护功能，落实党中央、国务院、北京市关于加强审计工作系列要求，落实集团党委关于不断规范和完善集团审计工作体制机制的要求，经集团党委会、总办会研究决定成立集团审计工作领导小组和审计工作协调小组。相关事宜通知如下。</w:t>
      </w:r>
    </w:p>
    <w:p>
      <w:pPr>
        <w:spacing w:line="600" w:lineRule="exact"/>
        <w:ind w:firstLine="640" w:firstLineChars="200"/>
        <w:rPr>
          <w:rFonts w:ascii="黑体" w:eastAsia="黑体"/>
          <w:sz w:val="32"/>
          <w:szCs w:val="32"/>
        </w:rPr>
      </w:pPr>
      <w:r>
        <w:rPr>
          <w:rFonts w:hint="eastAsia" w:ascii="黑体" w:eastAsia="黑体"/>
          <w:sz w:val="32"/>
          <w:szCs w:val="32"/>
        </w:rPr>
        <w:t>一、集团审计工作领导小组的构成与职责</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（一）领导小组职能定位</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集团审计工作领导小组是集团审计工作的统筹领导机构，是集团董事会设立审计与风险管理委员会的过渡组织形式。</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（二）领导小组人员构成</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组长：赵长山  党委书记、董事长</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成员：宣  鸿  党委副书记、总经理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r>
        <w:rPr>
          <w:rFonts w:hint="eastAsia" w:ascii="仿宋" w:hAnsi="仿宋" w:eastAsia="仿宋"/>
          <w:sz w:val="32"/>
          <w:szCs w:val="32"/>
        </w:rPr>
        <w:t>李  妍  副总经理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r>
        <w:rPr>
          <w:rFonts w:hint="eastAsia" w:ascii="仿宋" w:hAnsi="仿宋" w:eastAsia="仿宋"/>
          <w:sz w:val="32"/>
          <w:szCs w:val="32"/>
        </w:rPr>
        <w:t>周武光  副总经理</w:t>
      </w:r>
    </w:p>
    <w:p>
      <w:pPr>
        <w:spacing w:line="600" w:lineRule="exact"/>
        <w:ind w:firstLine="640" w:firstLineChars="200"/>
        <w:rPr>
          <w:rFonts w:ascii="仿宋" w:hAnsi="仿宋" w:eastAsia="仿宋"/>
          <w:sz w:val="32"/>
          <w:szCs w:val="32"/>
        </w:rPr>
      </w:pPr>
      <w:r>
        <w:rPr>
          <w:rFonts w:hint="eastAsia" w:ascii="仿宋_GB2312" w:eastAsia="仿宋_GB2312"/>
          <w:sz w:val="32"/>
          <w:szCs w:val="32"/>
        </w:rPr>
        <w:t xml:space="preserve">      </w:t>
      </w:r>
      <w:r>
        <w:rPr>
          <w:rFonts w:hint="eastAsia" w:ascii="仿宋" w:hAnsi="仿宋" w:eastAsia="仿宋"/>
          <w:sz w:val="32"/>
          <w:szCs w:val="32"/>
        </w:rPr>
        <w:t>杨彦茹  纪委书记</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（三）领导小组工作职责</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1.审议年度审计计划、年度预算和工作总结，部署专项审计任务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2.审议批准重要审计报告，对审计发现问题提出处理意见后报集团党委会和总办会研究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3.审议重大事项或重大风险的专项报告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4.审议年度风险管理报告和内控评价报告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5.研究集团财务报告、会计政策及其变动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6.审议集团风险管理与审计组织架构方案</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7.审核集团风险管理与审计相关制度</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8.听取、评价外部中介机构年报审计结果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9.审议集团聘请、解聘会计师事务所事宜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10.对内外部审计机构的工作情况进行考核评价</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（四）工作机制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由领导小组组长召集会议，集体研究审议相关事项。风险管理部负责会议组织、会议议程拟定、会议纪要撰写、会议决议事项的督促落实等支持工作。</w:t>
      </w:r>
    </w:p>
    <w:p>
      <w:pPr>
        <w:spacing w:line="600" w:lineRule="exact"/>
        <w:ind w:firstLine="640" w:firstLineChars="200"/>
        <w:rPr>
          <w:rFonts w:ascii="黑体" w:eastAsia="黑体"/>
          <w:sz w:val="32"/>
          <w:szCs w:val="32"/>
        </w:rPr>
      </w:pPr>
      <w:r>
        <w:rPr>
          <w:rFonts w:hint="eastAsia" w:ascii="黑体" w:eastAsia="黑体"/>
          <w:sz w:val="32"/>
          <w:szCs w:val="32"/>
        </w:rPr>
        <w:t>二、集团审计工作协调小组的构成与职责</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（一）协调小组的职能定位</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负责统筹推进审计实施和审计整改的相关工作，通过审前、审中、审后的协同工作，形成部门联动，强化监督监管效果。</w:t>
      </w:r>
    </w:p>
    <w:p>
      <w:pPr>
        <w:spacing w:line="600" w:lineRule="exact"/>
        <w:ind w:firstLine="640" w:firstLineChars="200"/>
        <w:rPr>
          <w:rFonts w:ascii="楷体_GB2312" w:hAnsi="楷体" w:eastAsia="楷体_GB2312"/>
          <w:sz w:val="32"/>
          <w:szCs w:val="32"/>
        </w:rPr>
      </w:pPr>
      <w:r>
        <w:rPr>
          <w:rFonts w:hint="eastAsia" w:ascii="楷体" w:hAnsi="楷体" w:eastAsia="楷体"/>
          <w:sz w:val="32"/>
          <w:szCs w:val="32"/>
        </w:rPr>
        <w:t>（二）协调小组人员构成</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组  长：李妍  副总经理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副组长：张建  风险管理部部长</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成  员：组织部/人力资源部、资金财务部、纪检监察部、科技园区事业部、科技金融事业部、产业投资部、区域合作部、海外业务部等部门负责人。</w:t>
      </w:r>
    </w:p>
    <w:p>
      <w:pPr>
        <w:spacing w:line="600" w:lineRule="exact"/>
        <w:ind w:firstLine="640" w:firstLineChars="200"/>
        <w:rPr>
          <w:rFonts w:ascii="楷体_GB2312" w:hAnsi="楷体" w:eastAsia="楷体_GB2312"/>
          <w:sz w:val="32"/>
          <w:szCs w:val="32"/>
        </w:rPr>
      </w:pPr>
      <w:r>
        <w:rPr>
          <w:rFonts w:hint="eastAsia" w:ascii="楷体" w:hAnsi="楷体" w:eastAsia="楷体"/>
          <w:sz w:val="32"/>
          <w:szCs w:val="32"/>
        </w:rPr>
        <w:t>（三）协调小组职责</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1.及时沟通子公司主要负责人调整意向，研究对相关业务板块子公司审计监督重点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2.审计项目实施前，沟通确认对被审单位监督检查关注的重点、可能存在的问题、被审对象的相关信息等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3.协调解决审计过程中遇到的突发事项或严重影响审计项目正常推进的重大问题</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4.在各监督管理主体之间及时沟通重要审计发现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5.研究落实审计整改，协同推进审计整改工作：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（1）风险管理部负责督促直接责任单位制定审计整改计划并监督落实</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（2）财务部负责指导纠正被审单位财务管理中存在问题</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（3）组织部/人力资源部负责涉及干部人事管理事项处理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（4）业务管理部门负责针对共性问题研究提出完善管控的方案</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（5）纪检监察部负责涉嫌违法违纪行为的调查处理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6.审计工作领导小组交办的其他工作</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（四）工作机制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根据具体事项涉及范围，由协调小组组长/副组长组织召开部分或全部成员参加的工作组会议。</w:t>
      </w:r>
    </w:p>
    <w:p>
      <w:pPr>
        <w:spacing w:line="600" w:lineRule="exact"/>
        <w:ind w:firstLine="640" w:firstLineChars="200"/>
        <w:jc w:val="right"/>
        <w:rPr>
          <w:rFonts w:hint="eastAsia" w:ascii="仿宋_GB2312" w:eastAsia="仿宋_GB2312"/>
          <w:sz w:val="32"/>
          <w:szCs w:val="32"/>
        </w:rPr>
      </w:pPr>
    </w:p>
    <w:p>
      <w:pPr>
        <w:spacing w:line="600" w:lineRule="exact"/>
        <w:ind w:firstLine="640" w:firstLineChars="200"/>
        <w:jc w:val="right"/>
        <w:rPr>
          <w:rFonts w:hint="eastAsia" w:ascii="仿宋_GB2312" w:eastAsia="仿宋_GB2312"/>
          <w:sz w:val="32"/>
          <w:szCs w:val="32"/>
        </w:rPr>
      </w:pPr>
    </w:p>
    <w:p>
      <w:pPr>
        <w:spacing w:line="600" w:lineRule="exact"/>
        <w:ind w:firstLine="640" w:firstLineChars="200"/>
        <w:jc w:val="right"/>
        <w:rPr>
          <w:rFonts w:ascii="仿宋_GB2312" w:eastAsia="仿宋_GB2312"/>
          <w:sz w:val="32"/>
          <w:szCs w:val="32"/>
        </w:rPr>
      </w:pPr>
    </w:p>
    <w:p>
      <w:pPr>
        <w:spacing w:line="600" w:lineRule="exact"/>
        <w:ind w:firstLine="5280" w:firstLineChars="1650"/>
        <w:rPr>
          <w:rFonts w:hint="eastAsia" w:ascii="仿宋" w:hAnsi="仿宋" w:eastAsia="仿宋"/>
          <w:sz w:val="32"/>
          <w:szCs w:val="32"/>
        </w:rPr>
      </w:pPr>
      <w:r>
        <w:rPr>
          <w:rFonts w:hint="eastAsia" w:ascii="仿宋" w:hAnsi="仿宋" w:eastAsia="仿宋"/>
          <w:sz w:val="32"/>
          <w:szCs w:val="32"/>
        </w:rPr>
        <w:t>中关村发展集团</w:t>
      </w:r>
    </w:p>
    <w:p>
      <w:pPr>
        <w:spacing w:line="600" w:lineRule="exact"/>
        <w:ind w:firstLine="5120" w:firstLineChars="1600"/>
        <w:rPr>
          <w:rFonts w:ascii="仿宋" w:hAnsi="仿宋" w:eastAsia="仿宋"/>
          <w:sz w:val="32"/>
          <w:szCs w:val="32"/>
        </w:rPr>
      </w:pPr>
      <w:r>
        <w:rPr>
          <w:rFonts w:hint="eastAsia" w:ascii="仿宋" w:hAnsi="仿宋" w:eastAsia="仿宋"/>
          <w:sz w:val="32"/>
          <w:szCs w:val="32"/>
        </w:rPr>
        <w:t>2018年1月22日</w:t>
      </w:r>
    </w:p>
    <w:p>
      <w:pPr>
        <w:spacing w:line="600" w:lineRule="exact"/>
        <w:ind w:firstLine="640" w:firstLineChars="200"/>
        <w:rPr>
          <w:rFonts w:ascii="仿宋_GB2312" w:eastAsia="仿宋_GB2312"/>
          <w:sz w:val="32"/>
          <w:szCs w:val="32"/>
        </w:rPr>
      </w:pPr>
    </w:p>
    <w:p/>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2018年1月22日印发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2010604000101010101"/>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Im+4fyDVOPskRQHrpgp20PB9+ts=" w:salt="TYZJ8yI41OOrlIg6rEtIr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6B05"/>
    <w:rsid w:val="00056CCE"/>
    <w:rsid w:val="00063467"/>
    <w:rsid w:val="00071A06"/>
    <w:rsid w:val="00072B9E"/>
    <w:rsid w:val="000755B1"/>
    <w:rsid w:val="00075622"/>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63AE"/>
    <w:rsid w:val="000F65FB"/>
    <w:rsid w:val="000F6B88"/>
    <w:rsid w:val="0010096A"/>
    <w:rsid w:val="00106E10"/>
    <w:rsid w:val="00115E4D"/>
    <w:rsid w:val="0012608E"/>
    <w:rsid w:val="00142DDF"/>
    <w:rsid w:val="0014643D"/>
    <w:rsid w:val="001527B4"/>
    <w:rsid w:val="00153F1D"/>
    <w:rsid w:val="00160884"/>
    <w:rsid w:val="00163F7C"/>
    <w:rsid w:val="001654F2"/>
    <w:rsid w:val="0017120D"/>
    <w:rsid w:val="001763B5"/>
    <w:rsid w:val="00182043"/>
    <w:rsid w:val="00182614"/>
    <w:rsid w:val="0018448D"/>
    <w:rsid w:val="00185A2E"/>
    <w:rsid w:val="001908D0"/>
    <w:rsid w:val="00194DE6"/>
    <w:rsid w:val="001A57B8"/>
    <w:rsid w:val="001B7C3D"/>
    <w:rsid w:val="001C5DA8"/>
    <w:rsid w:val="001E1756"/>
    <w:rsid w:val="001E20F2"/>
    <w:rsid w:val="001E24C0"/>
    <w:rsid w:val="001F353F"/>
    <w:rsid w:val="001F780D"/>
    <w:rsid w:val="001F79A2"/>
    <w:rsid w:val="002138DA"/>
    <w:rsid w:val="002151C8"/>
    <w:rsid w:val="0021553C"/>
    <w:rsid w:val="00215B03"/>
    <w:rsid w:val="002229A5"/>
    <w:rsid w:val="00223B85"/>
    <w:rsid w:val="00232519"/>
    <w:rsid w:val="00251461"/>
    <w:rsid w:val="002551B1"/>
    <w:rsid w:val="002578D0"/>
    <w:rsid w:val="002726F4"/>
    <w:rsid w:val="00290E91"/>
    <w:rsid w:val="002922C7"/>
    <w:rsid w:val="002941A5"/>
    <w:rsid w:val="00294710"/>
    <w:rsid w:val="00295E51"/>
    <w:rsid w:val="002A03EE"/>
    <w:rsid w:val="002B54E0"/>
    <w:rsid w:val="002B66B2"/>
    <w:rsid w:val="002C66CB"/>
    <w:rsid w:val="002E4619"/>
    <w:rsid w:val="002E7561"/>
    <w:rsid w:val="002F3D08"/>
    <w:rsid w:val="002F64D8"/>
    <w:rsid w:val="002F76DA"/>
    <w:rsid w:val="00302888"/>
    <w:rsid w:val="003111D0"/>
    <w:rsid w:val="00311439"/>
    <w:rsid w:val="003133A7"/>
    <w:rsid w:val="00321288"/>
    <w:rsid w:val="00321BB3"/>
    <w:rsid w:val="0032207C"/>
    <w:rsid w:val="00324934"/>
    <w:rsid w:val="003327D8"/>
    <w:rsid w:val="003349EB"/>
    <w:rsid w:val="00342BA8"/>
    <w:rsid w:val="00342D17"/>
    <w:rsid w:val="003450B2"/>
    <w:rsid w:val="003543EA"/>
    <w:rsid w:val="00365D98"/>
    <w:rsid w:val="00373224"/>
    <w:rsid w:val="003756A8"/>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427E9"/>
    <w:rsid w:val="004450BB"/>
    <w:rsid w:val="004554CA"/>
    <w:rsid w:val="0045595A"/>
    <w:rsid w:val="00456C8F"/>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6F4"/>
    <w:rsid w:val="004F48F4"/>
    <w:rsid w:val="00516973"/>
    <w:rsid w:val="00524D2D"/>
    <w:rsid w:val="00525655"/>
    <w:rsid w:val="00532371"/>
    <w:rsid w:val="00532D4A"/>
    <w:rsid w:val="00537654"/>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B0CE6"/>
    <w:rsid w:val="005C1F1B"/>
    <w:rsid w:val="005C2A95"/>
    <w:rsid w:val="005C4C15"/>
    <w:rsid w:val="005D0D5F"/>
    <w:rsid w:val="005F27B6"/>
    <w:rsid w:val="0060045B"/>
    <w:rsid w:val="00605BAE"/>
    <w:rsid w:val="00606268"/>
    <w:rsid w:val="00612A1D"/>
    <w:rsid w:val="006151AF"/>
    <w:rsid w:val="0061670E"/>
    <w:rsid w:val="0061761C"/>
    <w:rsid w:val="006253F5"/>
    <w:rsid w:val="0063383A"/>
    <w:rsid w:val="006363C2"/>
    <w:rsid w:val="00640838"/>
    <w:rsid w:val="00642EA8"/>
    <w:rsid w:val="00646829"/>
    <w:rsid w:val="0064716B"/>
    <w:rsid w:val="006613F6"/>
    <w:rsid w:val="00661E50"/>
    <w:rsid w:val="0066243E"/>
    <w:rsid w:val="006633F0"/>
    <w:rsid w:val="00663AAD"/>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3467"/>
    <w:rsid w:val="007656C3"/>
    <w:rsid w:val="00767BA3"/>
    <w:rsid w:val="0077273B"/>
    <w:rsid w:val="00773087"/>
    <w:rsid w:val="00776A62"/>
    <w:rsid w:val="00782CF2"/>
    <w:rsid w:val="00793723"/>
    <w:rsid w:val="007A6C4C"/>
    <w:rsid w:val="007B6092"/>
    <w:rsid w:val="007C03B0"/>
    <w:rsid w:val="007C3501"/>
    <w:rsid w:val="007D069C"/>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A568C"/>
    <w:rsid w:val="008C77BA"/>
    <w:rsid w:val="008D4FAF"/>
    <w:rsid w:val="008E48FD"/>
    <w:rsid w:val="008E6010"/>
    <w:rsid w:val="008E7183"/>
    <w:rsid w:val="008F7809"/>
    <w:rsid w:val="00902172"/>
    <w:rsid w:val="0090494D"/>
    <w:rsid w:val="00911091"/>
    <w:rsid w:val="0091606E"/>
    <w:rsid w:val="00923DAC"/>
    <w:rsid w:val="00925F14"/>
    <w:rsid w:val="00927816"/>
    <w:rsid w:val="00930B65"/>
    <w:rsid w:val="009512E6"/>
    <w:rsid w:val="0095474F"/>
    <w:rsid w:val="009572E4"/>
    <w:rsid w:val="00962250"/>
    <w:rsid w:val="0096314F"/>
    <w:rsid w:val="00983EAC"/>
    <w:rsid w:val="00984483"/>
    <w:rsid w:val="00987D4E"/>
    <w:rsid w:val="00992204"/>
    <w:rsid w:val="00993066"/>
    <w:rsid w:val="00997F87"/>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F88"/>
    <w:rsid w:val="00B032DF"/>
    <w:rsid w:val="00B06DC3"/>
    <w:rsid w:val="00B13502"/>
    <w:rsid w:val="00B17AC0"/>
    <w:rsid w:val="00B2548E"/>
    <w:rsid w:val="00B3017D"/>
    <w:rsid w:val="00B322A8"/>
    <w:rsid w:val="00B46716"/>
    <w:rsid w:val="00B501F2"/>
    <w:rsid w:val="00B5035A"/>
    <w:rsid w:val="00B57FDC"/>
    <w:rsid w:val="00B61393"/>
    <w:rsid w:val="00B622E2"/>
    <w:rsid w:val="00B6797C"/>
    <w:rsid w:val="00B67AB6"/>
    <w:rsid w:val="00B73978"/>
    <w:rsid w:val="00B777E8"/>
    <w:rsid w:val="00B80826"/>
    <w:rsid w:val="00B93319"/>
    <w:rsid w:val="00B94E28"/>
    <w:rsid w:val="00BA41D2"/>
    <w:rsid w:val="00BA428C"/>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1CC6"/>
    <w:rsid w:val="00CA5CB0"/>
    <w:rsid w:val="00CB057A"/>
    <w:rsid w:val="00CB47A9"/>
    <w:rsid w:val="00CB6B7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47339"/>
    <w:rsid w:val="00F568D1"/>
    <w:rsid w:val="00F61FD3"/>
    <w:rsid w:val="00F6559A"/>
    <w:rsid w:val="00F7674C"/>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2AD373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uiPriority w:val="0"/>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0"/>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uiPriority w:val="99"/>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203</Words>
  <Characters>1161</Characters>
  <Lines>9</Lines>
  <Paragraphs>2</Paragraphs>
  <TotalTime>0</TotalTime>
  <ScaleCrop>false</ScaleCrop>
  <LinksUpToDate>false</LinksUpToDate>
  <CharactersWithSpaces>1362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2018-01-22T03:30:00Z</cp:lastPrinted>
  <dcterms:modified xsi:type="dcterms:W3CDTF">2018-11-15T11:06:28Z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