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color w:val="FF0000"/>
          <w:sz w:val="72"/>
          <w:szCs w:val="72"/>
        </w:rPr>
      </w:pPr>
      <w:bookmarkStart w:id="0" w:name="_GoBack"/>
      <w:bookmarkEnd w:id="0"/>
      <w:r>
        <w:rPr>
          <w:rFonts w:hint="eastAsia" w:ascii="华文中宋" w:hAnsi="华文中宋" w:eastAsia="华文中宋"/>
          <w:b/>
          <w:color w:val="FF0000"/>
          <w:sz w:val="72"/>
          <w:szCs w:val="72"/>
        </w:rPr>
        <w:t>中 关 村 发 展 集 团</w: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jc w:val="center"/>
        <w:rPr>
          <w:rFonts w:ascii="宋体" w:hAnsi="宋体"/>
          <w:b/>
          <w:sz w:val="28"/>
          <w:szCs w:val="28"/>
        </w:rPr>
      </w:pPr>
      <w:r>
        <w:rPr>
          <w:rFonts w:hint="eastAsia" w:ascii="宋体" w:hAnsi="宋体"/>
          <w:b/>
          <w:sz w:val="28"/>
          <w:szCs w:val="28"/>
        </w:rPr>
        <w:t>（2018年第</w:t>
      </w:r>
      <w:r>
        <w:rPr>
          <w:rFonts w:ascii="宋体" w:hAnsi="宋体"/>
          <w:b/>
          <w:sz w:val="28"/>
          <w:szCs w:val="28"/>
        </w:rPr>
        <w:t>10</w:t>
      </w:r>
      <w:r>
        <w:rPr>
          <w:rFonts w:hint="eastAsia" w:ascii="宋体" w:hAnsi="宋体"/>
          <w:b/>
          <w:sz w:val="28"/>
          <w:szCs w:val="28"/>
        </w:rPr>
        <w:t>期）</w:t>
      </w:r>
    </w:p>
    <w:p>
      <w:pPr>
        <w:rPr>
          <w:rFonts w:ascii="宋体" w:hAnsi="宋体"/>
          <w:b/>
          <w:sz w:val="28"/>
          <w:szCs w:val="28"/>
        </w:rPr>
      </w:pPr>
      <w:r>
        <w:rPr>
          <w:rFonts w:hint="eastAsia" w:ascii="宋体" w:hAnsi="宋体"/>
          <w:b/>
          <w:sz w:val="28"/>
          <w:szCs w:val="28"/>
        </w:rPr>
        <w:t>中关村发展集团宣传部编                     2018</w:t>
      </w:r>
      <w:r>
        <w:rPr>
          <w:rFonts w:hint="eastAsia" w:ascii="宋体" w:hAnsi="宋体"/>
          <w:b/>
          <w:color w:val="000000"/>
          <w:sz w:val="28"/>
          <w:szCs w:val="28"/>
        </w:rPr>
        <w:t>年</w:t>
      </w:r>
      <w:r>
        <w:rPr>
          <w:rFonts w:ascii="宋体" w:hAnsi="宋体"/>
          <w:b/>
          <w:color w:val="000000"/>
          <w:sz w:val="28"/>
          <w:szCs w:val="28"/>
        </w:rPr>
        <w:t>11</w:t>
      </w:r>
      <w:r>
        <w:rPr>
          <w:rFonts w:hint="eastAsia" w:ascii="宋体" w:hAnsi="宋体"/>
          <w:b/>
          <w:color w:val="000000"/>
          <w:sz w:val="28"/>
          <w:szCs w:val="28"/>
        </w:rPr>
        <w:t>月</w:t>
      </w:r>
      <w:r>
        <w:rPr>
          <w:rFonts w:ascii="宋体" w:hAnsi="宋体"/>
          <w:b/>
          <w:color w:val="000000"/>
          <w:sz w:val="28"/>
          <w:szCs w:val="28"/>
        </w:rPr>
        <w:t>6</w:t>
      </w:r>
      <w:r>
        <w:rPr>
          <w:rFonts w:hint="eastAsia" w:ascii="宋体" w:hAnsi="宋体"/>
          <w:b/>
          <w:color w:val="000000"/>
          <w:sz w:val="28"/>
          <w:szCs w:val="28"/>
        </w:rPr>
        <w:t>日</w:t>
      </w:r>
    </w:p>
    <w:p>
      <w:pPr>
        <w:spacing w:line="600" w:lineRule="exact"/>
        <w:jc w:val="center"/>
        <w:rPr>
          <w:rFonts w:ascii="华文中宋" w:hAnsi="华文中宋" w:eastAsia="华文中宋"/>
          <w:sz w:val="44"/>
          <w:szCs w:val="44"/>
        </w:rPr>
      </w:pPr>
      <w:r>
        <w:rPr>
          <w:rFonts w:ascii="黑体" w:hAnsi="黑体" w:eastAsia="黑体" w:cs="仿宋_GB2312"/>
          <w:sz w:val="32"/>
          <w:szCs w:val="32"/>
        </w:rPr>
        <mc:AlternateContent>
          <mc:Choice Requires="wpg">
            <w:drawing>
              <wp:anchor distT="0" distB="0" distL="114300" distR="114300" simplePos="0" relativeHeight="251658240" behindDoc="0" locked="0" layoutInCell="1" allowOverlap="1">
                <wp:simplePos x="0" y="0"/>
                <wp:positionH relativeFrom="column">
                  <wp:posOffset>-27940</wp:posOffset>
                </wp:positionH>
                <wp:positionV relativeFrom="paragraph">
                  <wp:posOffset>127635</wp:posOffset>
                </wp:positionV>
                <wp:extent cx="5798820" cy="6259830"/>
                <wp:effectExtent l="0" t="0" r="11430" b="13970"/>
                <wp:wrapNone/>
                <wp:docPr id="4" name="组合 20"/>
                <wp:cNvGraphicFramePr/>
                <a:graphic xmlns:a="http://schemas.openxmlformats.org/drawingml/2006/main">
                  <a:graphicData uri="http://schemas.microsoft.com/office/word/2010/wordprocessingGroup">
                    <wpg:wgp>
                      <wpg:cNvGrpSpPr/>
                      <wpg:grpSpPr>
                        <a:xfrm>
                          <a:off x="0" y="0"/>
                          <a:ext cx="5798820" cy="6259830"/>
                          <a:chOff x="4173" y="5747"/>
                          <a:chExt cx="9132" cy="9858"/>
                        </a:xfrm>
                        <a:effectLst/>
                      </wpg:grpSpPr>
                      <wps:wsp>
                        <wps:cNvPr id="1" name="AutoShape 11"/>
                        <wps:cNvCnPr/>
                        <wps:spPr>
                          <a:xfrm>
                            <a:off x="4173" y="5747"/>
                            <a:ext cx="9132" cy="0"/>
                          </a:xfrm>
                          <a:prstGeom prst="straightConnector1">
                            <a:avLst/>
                          </a:prstGeom>
                          <a:ln w="25400" cap="flat" cmpd="sng">
                            <a:solidFill>
                              <a:srgbClr val="FF0000"/>
                            </a:solidFill>
                            <a:prstDash val="solid"/>
                            <a:headEnd type="none" w="med" len="med"/>
                            <a:tailEnd type="none" w="med" len="med"/>
                          </a:ln>
                          <a:effectLst/>
                        </wps:spPr>
                        <wps:bodyPr/>
                      </wps:wsp>
                      <wps:wsp>
                        <wps:cNvPr id="2" name="AutoShape 12"/>
                        <wps:cNvCnPr/>
                        <wps:spPr>
                          <a:xfrm flipV="1">
                            <a:off x="9990" y="5747"/>
                            <a:ext cx="11" cy="9858"/>
                          </a:xfrm>
                          <a:prstGeom prst="straightConnector1">
                            <a:avLst/>
                          </a:prstGeom>
                          <a:ln w="25400" cap="flat" cmpd="sng">
                            <a:solidFill>
                              <a:srgbClr val="FF0000"/>
                            </a:solidFill>
                            <a:prstDash val="solid"/>
                            <a:headEnd type="none" w="med" len="med"/>
                            <a:tailEnd type="none" w="med" len="med"/>
                          </a:ln>
                          <a:effectLst/>
                        </wps:spPr>
                        <wps:bodyPr/>
                      </wps:wsp>
                    </wpg:wgp>
                  </a:graphicData>
                </a:graphic>
              </wp:anchor>
            </w:drawing>
          </mc:Choice>
          <mc:Fallback>
            <w:pict>
              <v:group id="组合 20" o:spid="_x0000_s1026" o:spt="203" style="position:absolute;left:0pt;margin-left:-2.2pt;margin-top:10.05pt;height:492.9pt;width:456.6pt;z-index:251658240;mso-width-relative:page;mso-height-relative:page;" coordorigin="4173,5747" coordsize="9132,9858" o:gfxdata="UEsDBAoAAAAAAIdO4kAAAAAAAAAAAAAAAAAEAAAAZHJzL1BLAwQUAAAACACHTuJAF7RtDdkAAAAK&#10;AQAADwAAAGRycy9kb3ducmV2LnhtbE2PQUvDQBCF74L/YRnBW7u7tZU2ZlOkqKci2AribZudJqHZ&#10;2ZDdJu2/dzzpcXgfb76Xry++FQP2sQlkQE8VCKQyuIYqA5/718kSREyWnG0DoYErRlgXtze5zVwY&#10;6QOHXaoEl1DMrIE6pS6TMpY1ehunoUPi7Bh6bxOffSVdb0cu962cKfUovW2IP9S2w02N5Wl39gbe&#10;Rjs+P+iXYXs6bq7f+8X711ajMfd3Wj2BSHhJfzD86rM6FOx0CGdyUbQGJvM5kwZmSoPgfKWWPOXA&#10;oFKLFcgil/8nFD9QSwMEFAAAAAgAh07iQBsKKCp+AgAABQcAAA4AAABkcnMvZTJvRG9jLnhtbO1V&#10;zY7TMBC+I/EOlu9smrTdNlHTFepu94JgpQXuruMklhzbsr1Ne+fAkffheRCvwdhJf6kELOJGD67t&#10;+fHMN99MZjebRqA1M5YrmeP4aoARk1QVXFY5/vB++WqKkXVEFkQoyXK8ZRbfzF++mLU6Y4mqlSiY&#10;QeBE2qzVOa6d01kUWVqzhtgrpZkEYalMQxwcTRUVhrTgvRFRMhhcR60yhTaKMmvh9rYT4nnwX5aM&#10;undlaZlDIscQmwurCevKr9F8RrLKEF1z2odBnhFFQ7iER/eubokj6Mnwn1w1nBplVemuqGoiVZac&#10;spADZBMPzrK5N+pJh1yqrK30HiaA9gynZ7ulb9cPBvEixyOMJGmgRN+/fvr25TNKAjitrjLQuTf6&#10;UT8YQMtfVN3J57spTeP/IRO0CbBu97CyjUMULseTdDoFd4iC7DoZp9NhDzytoTrebhRPhhiBeDwZ&#10;Tbqi0Pqut0/jYdIZp9Px1Eujw8MsFPmNdf76JLhWA6XsATX7d6g91kSzUAzrEelRi3eovX5yKqig&#10;OPYh+tdBbSF71GxmAcALkF1IfQfcIfGA11HW2lh3z1SD/CbH1hnCq9otlJRAeWXiQEay7nEh2c7A&#10;ByAkanOcjEcDXxMCXVcK4mDbaOCBlVUwtkrwYsmF8CbWVKuFMGhNoI+WywH8+jqcqPlXbomtO70g&#10;6opZM1LcyQK5rQaGSRgF2MfQsAIjwWBy+B2gRjJHuPgdTQBDSG9wRoAdzh7/lSq2AX4gRuBCV5Z/&#10;Tgpga9dKR6RIfk0KVAquP8IUDfj3HZWmKVTppDN29ACihZa60BW7cv/nxx/yI4wQmLVhxvTfBT/M&#10;j89h0By+XvM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7RtDdkAAAAKAQAADwAAAAAAAAABACAA&#10;AAAiAAAAZHJzL2Rvd25yZXYueG1sUEsBAhQAFAAAAAgAh07iQBsKKCp+AgAABQcAAA4AAAAAAAAA&#10;AQAgAAAAKAEAAGRycy9lMm9Eb2MueG1sUEsFBgAAAAAGAAYAWQEAABgGAAAAAA==&#10;">
                <o:lock v:ext="edit" aspectratio="f"/>
                <v:shape id="AutoShape 11" o:spid="_x0000_s1026" o:spt="32" type="#_x0000_t32" style="position:absolute;left:4173;top:5747;height:0;width:9132;" filled="f" stroked="t" coordsize="21600,2160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v:fill on="f" focussize="0,0"/>
                  <v:stroke weight="2pt" color="#FF0000" joinstyle="round"/>
                  <v:imagedata o:title=""/>
                  <o:lock v:ext="edit" aspectratio="f"/>
                </v:shape>
                <v:shape id="AutoShape 12" o:spid="_x0000_s1026" o:spt="32" type="#_x0000_t32" style="position:absolute;left:9990;top:5747;flip:y;height:9858;width:11;" filled="f" stroked="t" coordsize="21600,21600"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v:fill on="f" focussize="0,0"/>
                  <v:stroke weight="2pt" color="#FF0000" joinstyle="round"/>
                  <v:imagedata o:title=""/>
                  <o:lock v:ext="edit" aspectratio="f"/>
                </v:shape>
              </v:group>
            </w:pict>
          </mc:Fallback>
        </mc:AlternateContent>
      </w:r>
    </w:p>
    <w:p>
      <w:pPr>
        <w:spacing w:line="600" w:lineRule="exact"/>
        <w:ind w:firstLine="1540" w:firstLineChars="350"/>
        <w:rPr>
          <w:rFonts w:ascii="黑体" w:hAnsi="黑体" w:eastAsia="黑体" w:cs="黑体"/>
          <w:sz w:val="32"/>
          <w:szCs w:val="32"/>
        </w:rPr>
      </w:pPr>
      <w:r>
        <w:rPr>
          <w:rFonts w:hint="eastAsia" w:ascii="宋体" w:hAnsi="宋体"/>
          <w:color w:val="000000"/>
          <w:sz w:val="44"/>
          <w:szCs w:val="44"/>
        </w:rPr>
        <w:t>【</w:t>
      </w:r>
      <w:r>
        <w:rPr>
          <w:rFonts w:hint="eastAsia" w:ascii="华文隶书" w:hAnsi="宋体" w:eastAsia="华文隶书"/>
          <w:color w:val="000000"/>
          <w:sz w:val="44"/>
          <w:szCs w:val="44"/>
        </w:rPr>
        <w:t>要闻纵览</w:t>
      </w:r>
      <w:r>
        <w:rPr>
          <w:rFonts w:hint="eastAsia" w:ascii="宋体" w:hAnsi="宋体"/>
          <w:color w:val="000000"/>
          <w:sz w:val="44"/>
          <w:szCs w:val="44"/>
        </w:rPr>
        <w:t xml:space="preserve">】          </w:t>
      </w:r>
      <w:r>
        <w:rPr>
          <w:rFonts w:hint="eastAsia" w:ascii="黑体" w:hAnsi="宋体" w:eastAsia="黑体"/>
          <w:color w:val="FF0000"/>
          <w:spacing w:val="-1"/>
          <w:sz w:val="32"/>
          <w:szCs w:val="32"/>
        </w:rPr>
        <w:t>领导批示：</w:t>
      </w:r>
      <w:r>
        <w:rPr>
          <w:rFonts w:hint="eastAsia" w:ascii="宋体" w:hAnsi="宋体"/>
          <w:color w:val="000000"/>
          <w:sz w:val="44"/>
          <w:szCs w:val="44"/>
        </w:rPr>
        <w:t xml:space="preserve">          </w:t>
      </w:r>
    </w:p>
    <w:p>
      <w:pPr>
        <w:widowControl/>
        <w:shd w:val="clear" w:color="auto" w:fill="FFFFFF"/>
        <w:spacing w:line="600" w:lineRule="exact"/>
        <w:ind w:right="2776" w:rightChars="1322" w:firstLine="640"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陈吉宁到中关村生命科学园调研北京脑科学与类脑研究中心建设情况。</w:t>
      </w:r>
      <w:r>
        <w:rPr>
          <w:rFonts w:hint="eastAsia" w:ascii="仿宋_GB2312" w:hAnsi="仿宋_GB2312" w:eastAsia="仿宋_GB2312" w:cs="仿宋_GB2312"/>
          <w:sz w:val="32"/>
          <w:szCs w:val="32"/>
        </w:rPr>
        <w:t>10月31日，北京市市委副书记、市长陈吉宁到中关村生命科学园调研北京脑科学与类脑研究中心建设情况时强调，要加强体制机制创新，探索新型科研组织形式和尖端人才引进培养模式，打造国际一流学术科研机构，推动实现国际脑科学前沿领域重大突破。</w:t>
      </w:r>
    </w:p>
    <w:p>
      <w:pPr>
        <w:widowControl/>
        <w:shd w:val="clear" w:color="auto" w:fill="FFFFFF"/>
        <w:spacing w:line="600" w:lineRule="exact"/>
        <w:ind w:right="2776" w:rightChars="1322"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陈吉宁强调，要在体制机制上赋予中心更大的自主权，大胆突破创新，先行先试，打造国际顶尖的科研机构，为国家重大科技项目建设探索经验。要高度重视人才引进和培养，把握顶尖学术人才成长规律，破除数量指标，确立科</w:t>
      </w:r>
    </w:p>
    <w:p>
      <w:pPr>
        <w:widowControl/>
        <w:shd w:val="clear" w:color="auto" w:fill="FFFFFF"/>
        <w:spacing w:line="640" w:lineRule="exact"/>
        <w:ind w:right="-92" w:rightChars="-44"/>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学合理的选拔标准和选才机制，探索打破常规、提早考察、长期跟踪，加快聚集一批脑科学与类脑研究领域的顶尖人才。不断提升学术环境，搭建好的学术平台，密切学术交流交往，营造浓郁学术氛围，吸引汇聚各方面优秀人才。要探索更加灵活自主的运作机制，提高建设、管理、运行效率，推动研究中心轻装上阵、“跑得更快”。充分发挥新型研发机构制度优势和北京的各类资源优势，加速从原始创新到产业转化的过程，破解科研与产业“两张皮”的问题。要认真落实各项配套服务保障政策，为科学家营造良好舒心的外部环境。要注重培养机构荣誉感，提高研究中心影响力，加速建成国际一流的脑科学与类脑研究研发机构。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（综合整理）</w:t>
      </w:r>
    </w:p>
    <w:p>
      <w:pPr>
        <w:widowControl/>
        <w:shd w:val="clear" w:color="auto" w:fill="FFFFFF"/>
        <w:spacing w:line="600" w:lineRule="exact"/>
        <w:ind w:right="-92" w:rightChars="-44" w:firstLine="640" w:firstLineChars="200"/>
        <w:jc w:val="left"/>
        <w:rPr>
          <w:rFonts w:ascii="黑体" w:hAnsi="黑体" w:eastAsia="黑体" w:cs="黑体"/>
          <w:sz w:val="32"/>
          <w:szCs w:val="32"/>
        </w:rPr>
      </w:pP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r>
        <w:rPr>
          <w:rFonts w:hint="eastAsia" w:ascii="黑体" w:hAnsi="黑体" w:eastAsia="黑体" w:cs="黑体"/>
          <w:sz w:val="32"/>
          <w:szCs w:val="32"/>
        </w:rPr>
        <w:t>2018中关村论坛举行。</w:t>
      </w:r>
      <w:r>
        <w:rPr>
          <w:rFonts w:hint="eastAsia" w:ascii="仿宋_GB2312" w:hAnsi="黑体" w:eastAsia="仿宋_GB2312" w:cs="黑体"/>
          <w:sz w:val="32"/>
          <w:szCs w:val="32"/>
        </w:rPr>
        <w:t>11月2日至3日，2018中关村论坛在北京举行。论坛以“全球化创新与高质量发展”为主题，包括1个主论坛、1个闭幕论坛和5个平行分论坛，邀请了10多个国家和地区的著名科学家、企业家、投资人共同分享全球科技创新的经验及展望，共同探讨创新重塑经济结构、引领高质量发展的实施路径。</w:t>
      </w: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r>
        <w:rPr>
          <w:rFonts w:hint="eastAsia" w:ascii="仿宋_GB2312" w:hAnsi="黑体" w:eastAsia="仿宋_GB2312" w:cs="黑体"/>
          <w:sz w:val="32"/>
          <w:szCs w:val="32"/>
        </w:rPr>
        <w:t>论坛嘉宾阵容强大，国际化色彩浓厚，与会专家学者在各主题下碰撞出创新的火花。现场重磅发布了“中关村指数2018”和中关村发展集团创新生态集成服务转型发展战略。</w:t>
      </w:r>
    </w:p>
    <w:p>
      <w:pPr>
        <w:widowControl/>
        <w:shd w:val="clear" w:color="auto" w:fill="FFFFFF"/>
        <w:spacing w:line="600" w:lineRule="exact"/>
        <w:ind w:right="-92" w:rightChars="-44" w:firstLine="640" w:firstLineChars="200"/>
        <w:jc w:val="left"/>
        <w:rPr>
          <w:rFonts w:ascii="仿宋_GB2312" w:hAnsi="仿宋_GB2312" w:eastAsia="仿宋_GB2312" w:cs="仿宋_GB2312"/>
          <w:sz w:val="32"/>
          <w:szCs w:val="32"/>
        </w:rPr>
      </w:pPr>
      <w:r>
        <w:rPr>
          <w:rFonts w:hint="eastAsia" w:ascii="仿宋_GB2312" w:hAnsi="黑体" w:eastAsia="仿宋_GB2312" w:cs="黑体"/>
          <w:sz w:val="32"/>
          <w:szCs w:val="32"/>
        </w:rPr>
        <w:t xml:space="preserve">中关村论坛创办于2007年，以“创新与发展”为永久主题，定位为科技领域具有影响力的高层次国际性论坛，旨在通过密切关注全球高科技产业发展领域、创新创业领域热点，引导国际高端要素，搭建国际交流合作平台，为加快推进科技创新中心建设提供支持，为加快推进中关村国家自主创新示范区建设提供支撑。 </w:t>
      </w:r>
      <w:r>
        <w:rPr>
          <w:rFonts w:ascii="仿宋_GB2312" w:hAnsi="黑体" w:eastAsia="仿宋_GB2312" w:cs="黑体"/>
          <w:sz w:val="32"/>
          <w:szCs w:val="32"/>
        </w:rPr>
        <w:t xml:space="preserve">          </w:t>
      </w:r>
      <w:r>
        <w:rPr>
          <w:rFonts w:hint="eastAsia" w:ascii="仿宋_GB2312" w:hAnsi="黑体" w:eastAsia="仿宋_GB2312" w:cs="黑体"/>
          <w:sz w:val="32"/>
          <w:szCs w:val="32"/>
        </w:rPr>
        <w:t>（宣传部/品牌管理部）</w:t>
      </w:r>
    </w:p>
    <w:p>
      <w:pPr>
        <w:widowControl/>
        <w:shd w:val="clear" w:color="auto" w:fill="FFFFFF"/>
        <w:spacing w:line="640" w:lineRule="exact"/>
        <w:ind w:right="-92" w:rightChars="-44"/>
        <w:jc w:val="left"/>
        <w:rPr>
          <w:rFonts w:hint="eastAsia" w:ascii="仿宋_GB2312" w:hAnsi="仿宋_GB2312" w:eastAsia="仿宋_GB2312" w:cs="仿宋_GB2312"/>
          <w:sz w:val="32"/>
          <w:szCs w:val="32"/>
        </w:rPr>
      </w:pPr>
    </w:p>
    <w:p>
      <w:pPr>
        <w:widowControl/>
        <w:shd w:val="clear" w:color="auto" w:fill="FFFFFF"/>
        <w:spacing w:line="600" w:lineRule="exact"/>
        <w:jc w:val="center"/>
        <w:rPr>
          <w:rFonts w:hint="eastAsia" w:ascii="仿宋_GB2312" w:hAnsi="仿宋_GB2312" w:eastAsia="仿宋_GB2312" w:cs="仿宋_GB2312"/>
          <w:sz w:val="32"/>
          <w:szCs w:val="32"/>
        </w:rPr>
      </w:pPr>
      <w:r>
        <w:rPr>
          <w:rFonts w:hint="eastAsia" w:ascii="宋体" w:hAnsi="宋体"/>
          <w:sz w:val="44"/>
          <w:szCs w:val="44"/>
        </w:rPr>
        <w:t>【</w:t>
      </w:r>
      <w:r>
        <w:rPr>
          <w:rFonts w:hint="eastAsia" w:ascii="华文隶书" w:hAnsi="宋体" w:eastAsia="华文隶书"/>
          <w:sz w:val="44"/>
          <w:szCs w:val="44"/>
        </w:rPr>
        <w:t>业务资讯</w:t>
      </w:r>
      <w:r>
        <w:rPr>
          <w:rFonts w:hint="eastAsia" w:ascii="宋体" w:hAnsi="宋体"/>
          <w:sz w:val="44"/>
          <w:szCs w:val="44"/>
        </w:rPr>
        <w:t>】</w:t>
      </w: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集团与北京人寿保险签订战略合作协议。</w:t>
      </w:r>
      <w:r>
        <w:rPr>
          <w:rFonts w:hint="eastAsia" w:ascii="仿宋_GB2312" w:hAnsi="黑体" w:eastAsia="仿宋_GB2312" w:cs="黑体"/>
          <w:sz w:val="32"/>
          <w:szCs w:val="32"/>
        </w:rPr>
        <w:t xml:space="preserve">10月12日，集团与北京人寿保险签订战略合作协议，双方将携手围绕园区建设发展、投资融资、金融科技创新、养老健康等开展战略合作。 </w:t>
      </w:r>
      <w:r>
        <w:rPr>
          <w:rFonts w:ascii="仿宋_GB2312" w:hAnsi="黑体" w:eastAsia="仿宋_GB2312" w:cs="黑体"/>
          <w:sz w:val="32"/>
          <w:szCs w:val="32"/>
        </w:rPr>
        <w:t xml:space="preserve">                         </w:t>
      </w:r>
      <w:r>
        <w:rPr>
          <w:rFonts w:hint="eastAsia" w:ascii="仿宋_GB2312" w:hAnsi="黑体" w:eastAsia="仿宋_GB2312" w:cs="黑体"/>
          <w:sz w:val="32"/>
          <w:szCs w:val="32"/>
        </w:rPr>
        <w:t>（科技金融事业部）</w:t>
      </w: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中关村科技租赁成功发行6.81亿元ABS。</w:t>
      </w:r>
      <w:r>
        <w:rPr>
          <w:rFonts w:hint="eastAsia" w:ascii="仿宋_GB2312" w:hAnsi="黑体" w:eastAsia="仿宋_GB2312" w:cs="黑体"/>
          <w:sz w:val="32"/>
          <w:szCs w:val="32"/>
        </w:rPr>
        <w:t xml:space="preserve">10月26日，科技租赁成功发行第3期资产支持专项计划，共募集资金6.81亿元。本次ABS参与认购机构较多，发行价格与资本市场上同期发行的租赁ABS相比，具有明显优势，体现了投资者对原始权益人及基础资产的认可，市场对中关村科技租赁品牌及服务科技中小企业的认可。 </w:t>
      </w:r>
      <w:r>
        <w:rPr>
          <w:rFonts w:ascii="仿宋_GB2312" w:hAnsi="黑体" w:eastAsia="仿宋_GB2312" w:cs="黑体"/>
          <w:sz w:val="32"/>
          <w:szCs w:val="32"/>
        </w:rPr>
        <w:t xml:space="preserve">         </w:t>
      </w:r>
      <w:r>
        <w:rPr>
          <w:rFonts w:hint="eastAsia" w:ascii="仿宋_GB2312" w:hAnsi="黑体" w:eastAsia="仿宋_GB2312" w:cs="黑体"/>
          <w:sz w:val="32"/>
          <w:szCs w:val="32"/>
        </w:rPr>
        <w:t>（科技租赁）</w:t>
      </w:r>
    </w:p>
    <w:p>
      <w:pPr>
        <w:widowControl/>
        <w:shd w:val="clear" w:color="auto" w:fill="FFFFFF"/>
        <w:spacing w:line="600" w:lineRule="exact"/>
        <w:ind w:right="-92" w:rightChars="-44" w:firstLine="640" w:firstLineChars="200"/>
        <w:jc w:val="left"/>
        <w:rPr>
          <w:rFonts w:hint="eastAsia" w:ascii="仿宋_GB2312" w:hAnsi="黑体" w:eastAsia="仿宋_GB2312" w:cs="黑体"/>
          <w:sz w:val="32"/>
          <w:szCs w:val="32"/>
        </w:rPr>
      </w:pP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中关村前沿技术研究院二期主体结构封顶。</w:t>
      </w:r>
      <w:r>
        <w:rPr>
          <w:rFonts w:hint="eastAsia" w:ascii="仿宋_GB2312" w:hAnsi="黑体" w:eastAsia="仿宋_GB2312" w:cs="黑体"/>
          <w:sz w:val="32"/>
          <w:szCs w:val="32"/>
        </w:rPr>
        <w:t>10月30日，中关村新兴产业前沿技术研究院二期项目实现主体结构封顶。研究院二期延续一期智能制造、新能源、新材料产业定位，与一期形成产业衔接和联动发展，打造“一期孵化、二期加速、基地内循环”的良性产业生态，力争通过三到五年，把园区打造成国内有影响力的智能制造科技创新产业园区。</w:t>
      </w:r>
    </w:p>
    <w:p>
      <w:pPr>
        <w:widowControl/>
        <w:shd w:val="clear" w:color="auto" w:fill="FFFFFF"/>
        <w:spacing w:line="600" w:lineRule="exact"/>
        <w:ind w:right="-92" w:rightChars="-44" w:firstLine="640" w:firstLineChars="200"/>
        <w:jc w:val="right"/>
        <w:rPr>
          <w:rFonts w:ascii="仿宋_GB2312" w:hAnsi="黑体" w:eastAsia="仿宋_GB2312" w:cs="黑体"/>
          <w:sz w:val="32"/>
          <w:szCs w:val="32"/>
        </w:rPr>
      </w:pPr>
      <w:r>
        <w:rPr>
          <w:rFonts w:hint="eastAsia" w:ascii="仿宋_GB2312" w:hAnsi="黑体" w:eastAsia="仿宋_GB2312" w:cs="黑体"/>
          <w:sz w:val="32"/>
          <w:szCs w:val="32"/>
        </w:rPr>
        <w:t>（前沿技术）</w:t>
      </w:r>
    </w:p>
    <w:p>
      <w:pPr>
        <w:widowControl/>
        <w:shd w:val="clear" w:color="auto" w:fill="FFFFFF"/>
        <w:spacing w:line="600" w:lineRule="exact"/>
        <w:ind w:right="-92" w:rightChars="-44" w:firstLine="640" w:firstLineChars="200"/>
        <w:jc w:val="right"/>
        <w:rPr>
          <w:rFonts w:hint="eastAsia" w:ascii="仿宋_GB2312" w:hAnsi="黑体" w:eastAsia="仿宋_GB2312" w:cs="黑体"/>
          <w:sz w:val="32"/>
          <w:szCs w:val="32"/>
        </w:rPr>
      </w:pPr>
    </w:p>
    <w:p>
      <w:pPr>
        <w:widowControl/>
        <w:shd w:val="clear" w:color="auto" w:fill="FFFFFF"/>
        <w:spacing w:line="600" w:lineRule="exact"/>
        <w:ind w:right="-92" w:rightChars="-44" w:firstLine="640" w:firstLineChars="200"/>
        <w:jc w:val="left"/>
        <w:rPr>
          <w:rFonts w:ascii="仿宋_GB2312" w:hAnsi="黑体" w:eastAsia="仿宋_GB2312" w:cs="黑体"/>
          <w:sz w:val="32"/>
          <w:szCs w:val="32"/>
        </w:rPr>
      </w:pPr>
      <w:r>
        <w:rPr>
          <w:rFonts w:hint="eastAsia" w:ascii="黑体" w:hAnsi="黑体" w:eastAsia="黑体" w:cs="黑体"/>
          <w:sz w:val="32"/>
          <w:szCs w:val="32"/>
        </w:rPr>
        <w:t>京津中关村科技城举行招商项目集中签约暨入驻项目联合动工仪式。</w:t>
      </w:r>
      <w:r>
        <w:rPr>
          <w:rFonts w:hint="eastAsia" w:ascii="仿宋_GB2312" w:hAnsi="黑体" w:eastAsia="仿宋_GB2312" w:cs="黑体"/>
          <w:sz w:val="32"/>
          <w:szCs w:val="32"/>
        </w:rPr>
        <w:t>10月31日上午，京津中关村科技城隆重举行招商项目集中签约暨入驻项目联合动工仪式。京津中关村科技城已经签署项目投资协议的产业项目共计12个，其中5个项目已经获取建设用地，本次京津中关村科技城集中签约项目涉及科技服务、高端装备制造、医疗器械、新材料等产业领域，将为区域经济优化提供强有力的科技引领及产业支撑。</w:t>
      </w:r>
    </w:p>
    <w:p>
      <w:pPr>
        <w:widowControl/>
        <w:shd w:val="clear" w:color="auto" w:fill="FFFFFF"/>
        <w:spacing w:line="600" w:lineRule="exact"/>
        <w:ind w:right="-92" w:rightChars="-44" w:firstLine="640" w:firstLineChars="200"/>
        <w:jc w:val="right"/>
        <w:rPr>
          <w:rFonts w:ascii="仿宋_GB2312" w:hAnsi="黑体" w:eastAsia="仿宋_GB2312" w:cs="黑体"/>
          <w:sz w:val="32"/>
          <w:szCs w:val="32"/>
        </w:rPr>
      </w:pPr>
      <w:r>
        <w:rPr>
          <w:rFonts w:hint="eastAsia" w:ascii="仿宋_GB2312" w:hAnsi="黑体" w:eastAsia="仿宋_GB2312" w:cs="黑体"/>
          <w:sz w:val="32"/>
          <w:szCs w:val="32"/>
        </w:rPr>
        <w:t>（协同发展）</w:t>
      </w:r>
    </w:p>
    <w:p>
      <w:pPr>
        <w:widowControl/>
        <w:shd w:val="clear" w:color="auto" w:fill="FFFFFF"/>
        <w:spacing w:line="600" w:lineRule="exact"/>
        <w:jc w:val="left"/>
        <w:rPr>
          <w:rFonts w:hint="eastAsia" w:ascii="仿宋_GB2312" w:hAnsi="仿宋_GB2312" w:eastAsia="仿宋_GB2312" w:cs="仿宋_GB2312"/>
          <w:sz w:val="32"/>
          <w:szCs w:val="32"/>
        </w:rPr>
      </w:pPr>
    </w:p>
    <w:p>
      <w:pPr>
        <w:widowControl/>
        <w:shd w:val="clear" w:color="auto" w:fill="FFFFFF"/>
        <w:spacing w:line="600" w:lineRule="exact"/>
        <w:jc w:val="center"/>
        <w:rPr>
          <w:rFonts w:ascii="宋体" w:hAnsi="宋体"/>
          <w:sz w:val="44"/>
          <w:szCs w:val="44"/>
        </w:rPr>
      </w:pPr>
      <w:r>
        <w:rPr>
          <w:rFonts w:hint="eastAsia" w:ascii="宋体" w:hAnsi="宋体"/>
          <w:sz w:val="44"/>
          <w:szCs w:val="44"/>
        </w:rPr>
        <w:t>【</w:t>
      </w:r>
      <w:r>
        <w:rPr>
          <w:rFonts w:hint="eastAsia" w:ascii="华文隶书" w:hAnsi="宋体" w:eastAsia="华文隶书"/>
          <w:sz w:val="44"/>
          <w:szCs w:val="44"/>
        </w:rPr>
        <w:t>一句话新闻</w:t>
      </w:r>
      <w:r>
        <w:rPr>
          <w:rFonts w:hint="eastAsia" w:ascii="宋体" w:hAnsi="宋体"/>
          <w:sz w:val="44"/>
          <w:szCs w:val="44"/>
        </w:rPr>
        <w:t>】</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10月9日，2018年京西创新论坛举行，论坛聚焦人工智能，设有人工智能院士专家主题演讲、AI重点项目签约等环节。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（京西发展）</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10月10日，北航医工交叉研究院举办首个高精尖中心暨北京市生物医学工程高精尖创新中心入驻启动仪式。</w:t>
      </w:r>
    </w:p>
    <w:p>
      <w:pPr>
        <w:spacing w:line="600" w:lineRule="exact"/>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（前沿技术）</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10月11日，开封·中关村智酷人才与产业创新基地创新合作交流会在软件园举行。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（软件园）</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10月12日，国际孵化器举办“创翼+创学·微课堂之薪酬社保一体化——国家税务变革的趋势与挑战”专题讲座。</w:t>
      </w:r>
    </w:p>
    <w:p>
      <w:pPr>
        <w:spacing w:line="600" w:lineRule="exact"/>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（国际孵化器）</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10月15日，丰科建公司联合维创中心运营公司共同举办“融合·创新—2018增材制造全球创新大赛@北京双创周”活动。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（丰科建公司）</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10月18日，生命园大讲堂举办个税新政解读及优化方案，帮助企业及时掌握政策动向与趋势。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（生命园）</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10月18日，第二届国际综合性科学中心研讨会举行，北京怀柔综合性国家科学中心理事会专家委员会成立。</w:t>
      </w:r>
    </w:p>
    <w:p>
      <w:pPr>
        <w:spacing w:line="600" w:lineRule="exact"/>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（怀柔科学城）</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10月22日，集成电路设计园携手芯片设计企业兆芯电子、硅谷数模、比特大陆等受邀参加IC WORLD展会，受到了社会各界的广泛关注。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（集成电路设计园）</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10月23日至25日，协同基金举办第四期协同创新大讲堂系列活动，向科技企业宣讲产业服务研究成果，介绍科技租赁业务操作实务。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（协同基金）</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10月24日，环促中心到天津京津中关村科技城对接，就节能环保领域开展合作进行交流和探讨。 （环促中心）</w:t>
      </w:r>
    </w:p>
    <w:p>
      <w:pPr>
        <w:spacing w:line="600"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10月30日，中关村国际孵化园联手千峰教育举行“创翼+创融”聚合力 IT互联网高端人才招聘会。（国际孵化器）</w:t>
      </w:r>
    </w:p>
    <w:p>
      <w:pPr>
        <w:spacing w:line="600" w:lineRule="exact"/>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10月31日，2018环保创新年度峰会暨环保创新创业大赛总决赛落幕，苏州清控环保科技有限公司荣获冠军，获得中关村科技租赁授予的1000万元授信额度。（科技租赁）</w:t>
      </w:r>
    </w:p>
    <w:p>
      <w:pPr>
        <w:widowControl/>
        <w:shd w:val="clear" w:color="auto" w:fill="FFFFFF"/>
        <w:spacing w:line="600" w:lineRule="exact"/>
        <w:jc w:val="center"/>
        <w:rPr>
          <w:rFonts w:ascii="宋体" w:hAnsi="宋体"/>
          <w:sz w:val="44"/>
          <w:szCs w:val="44"/>
        </w:rPr>
      </w:pPr>
    </w:p>
    <w:p>
      <w:pPr>
        <w:widowControl/>
        <w:shd w:val="clear" w:color="auto" w:fill="FFFFFF"/>
        <w:spacing w:line="600" w:lineRule="exact"/>
        <w:jc w:val="center"/>
        <w:rPr>
          <w:rFonts w:hint="eastAsia" w:ascii="仿宋_GB2312" w:hAnsi="仿宋_GB2312" w:eastAsia="仿宋_GB2312" w:cs="仿宋_GB2312"/>
          <w:sz w:val="32"/>
          <w:szCs w:val="32"/>
        </w:rPr>
      </w:pPr>
      <w:r>
        <w:rPr>
          <w:rFonts w:hint="eastAsia" w:ascii="宋体" w:hAnsi="宋体"/>
          <w:sz w:val="44"/>
          <w:szCs w:val="44"/>
        </w:rPr>
        <w:t>【</w:t>
      </w:r>
      <w:r>
        <w:rPr>
          <w:rFonts w:hint="eastAsia" w:ascii="华文隶书" w:hAnsi="宋体" w:eastAsia="华文隶书"/>
          <w:sz w:val="44"/>
          <w:szCs w:val="44"/>
        </w:rPr>
        <w:t>获奖情况</w:t>
      </w:r>
      <w:r>
        <w:rPr>
          <w:rFonts w:hint="eastAsia" w:ascii="宋体" w:hAnsi="宋体"/>
          <w:sz w:val="44"/>
          <w:szCs w:val="44"/>
        </w:rPr>
        <w:t>】</w:t>
      </w:r>
    </w:p>
    <w:p>
      <w:pPr>
        <w:ind w:firstLine="640" w:firstLineChars="20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10月11日，集团打造的“生物医药精准技术服务平台 ”、“中关村集成电路设计园硬科技孵化平台”、“纳米成果孵化平台”三大平台获得中关村硬科技孵化平台授牌。</w:t>
      </w:r>
    </w:p>
    <w:p>
      <w:pPr>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（产业投资部）</w:t>
      </w:r>
    </w:p>
    <w:p>
      <w:pPr>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10月，中关村国际孵化园正式成为第三批“北京市创业孵化示范基地”。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（国际孵化器）</w:t>
      </w:r>
    </w:p>
    <w:p>
      <w:pPr>
        <w:ind w:firstLine="632" w:firstLineChars="200"/>
        <w:jc w:val="left"/>
        <w:rPr>
          <w:rFonts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近日，京津中关村科技城一期市政基础设施项目荣获2</w:t>
      </w:r>
      <w:r>
        <w:rPr>
          <w:rFonts w:ascii="仿宋_GB2312" w:hAnsi="仿宋_GB2312" w:eastAsia="仿宋_GB2312" w:cs="仿宋_GB2312"/>
          <w:spacing w:val="-2"/>
          <w:sz w:val="32"/>
          <w:szCs w:val="32"/>
        </w:rPr>
        <w:t>018</w:t>
      </w:r>
      <w:r>
        <w:rPr>
          <w:rFonts w:hint="eastAsia" w:ascii="仿宋_GB2312" w:hAnsi="仿宋_GB2312" w:eastAsia="仿宋_GB2312" w:cs="仿宋_GB2312"/>
          <w:spacing w:val="-2"/>
          <w:sz w:val="32"/>
          <w:szCs w:val="32"/>
        </w:rPr>
        <w:t>年Bentley光辉大奖赛最高奖——特殊荣誉奖。Bentley光辉奖被称作“工程界的奥斯卡”，旨在展示全球基础设施项目在设计、施工与运营方面的卓越贡献与创新能力，是业内全球唯一能够涵盖所有类型基础设施项目的大赛。</w:t>
      </w:r>
      <w:r>
        <w:rPr>
          <w:rFonts w:ascii="仿宋_GB2312" w:hAnsi="仿宋_GB2312" w:eastAsia="仿宋_GB2312" w:cs="仿宋_GB2312"/>
          <w:spacing w:val="-2"/>
          <w:sz w:val="32"/>
          <w:szCs w:val="32"/>
        </w:rPr>
        <w:t xml:space="preserve"> </w:t>
      </w:r>
    </w:p>
    <w:p>
      <w:pPr>
        <w:ind w:firstLine="640" w:firstLineChars="200"/>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（协同发展）</w:t>
      </w:r>
    </w:p>
    <w:p>
      <w:pPr>
        <w:jc w:val="left"/>
        <w:rPr>
          <w:rFonts w:ascii="仿宋_GB2312" w:hAnsi="仿宋_GB2312" w:eastAsia="仿宋_GB2312" w:cs="仿宋_GB2312"/>
          <w:sz w:val="32"/>
          <w:szCs w:val="32"/>
        </w:rPr>
      </w:pPr>
    </w:p>
    <w:p>
      <w:pPr>
        <w:spacing w:line="480" w:lineRule="exact"/>
        <w:jc w:val="left"/>
        <w:rPr>
          <w:rFonts w:ascii="宋体" w:hAnsi="宋体"/>
          <w:sz w:val="24"/>
          <w:szCs w:val="24"/>
        </w:rPr>
      </w:pPr>
    </w:p>
    <w:p>
      <w:pPr>
        <w:spacing w:line="480" w:lineRule="exact"/>
        <w:jc w:val="left"/>
        <w:rPr>
          <w:rFonts w:ascii="宋体" w:hAnsi="宋体"/>
          <w:sz w:val="24"/>
          <w:szCs w:val="24"/>
        </w:rPr>
      </w:pPr>
    </w:p>
    <w:p>
      <w:pPr>
        <w:spacing w:line="480" w:lineRule="exact"/>
        <w:jc w:val="left"/>
        <w:rPr>
          <w:rFonts w:hint="eastAsia"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报：各股东单位、集团领导</w:t>
      </w:r>
    </w:p>
    <w:p>
      <w:pPr>
        <w:spacing w:line="480" w:lineRule="exact"/>
        <w:rPr>
          <w:rFonts w:ascii="宋体" w:hAnsi="宋体"/>
          <w:color w:val="000000"/>
          <w:sz w:val="24"/>
          <w:szCs w:val="24"/>
        </w:rPr>
      </w:pPr>
      <w:r>
        <w:rPr>
          <w:rFonts w:hint="eastAsia" w:ascii="宋体" w:hAnsi="宋体"/>
          <w:sz w:val="24"/>
          <w:szCs w:val="24"/>
        </w:rPr>
        <w:t>发：集团各部门、各子公司</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59264;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hint="eastAsia"/>
        </w:rPr>
      </w:pPr>
      <w:r>
        <w:rPr>
          <w:rFonts w:hint="eastAsia" w:ascii="宋体" w:hAnsi="宋体"/>
          <w:color w:val="000000"/>
          <w:sz w:val="24"/>
          <w:szCs w:val="24"/>
        </w:rPr>
        <w:t>编校：项鹏  梁晓雪</w:t>
      </w:r>
      <w:r>
        <w:rPr>
          <w:rFonts w:hint="eastAsia" w:ascii="宋体" w:hAnsi="宋体"/>
          <w:sz w:val="24"/>
          <w:szCs w:val="24"/>
        </w:rPr>
        <w:t xml:space="preserve">                                        核签：王明兰</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华文隶书">
    <w:altName w:val="微软雅黑"/>
    <w:panose1 w:val="02010800040101010101"/>
    <w:charset w:val="86"/>
    <w:family w:val="auto"/>
    <w:pitch w:val="default"/>
    <w:sig w:usb0="00000001" w:usb1="080F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8792B"/>
    <w:rsid w:val="00032A1A"/>
    <w:rsid w:val="000B45D7"/>
    <w:rsid w:val="000C11DF"/>
    <w:rsid w:val="00101AA7"/>
    <w:rsid w:val="00113C93"/>
    <w:rsid w:val="001155A7"/>
    <w:rsid w:val="00146E09"/>
    <w:rsid w:val="00170346"/>
    <w:rsid w:val="001B11D1"/>
    <w:rsid w:val="001E514F"/>
    <w:rsid w:val="00240781"/>
    <w:rsid w:val="00240C71"/>
    <w:rsid w:val="00254F44"/>
    <w:rsid w:val="0028682E"/>
    <w:rsid w:val="00291567"/>
    <w:rsid w:val="002E2673"/>
    <w:rsid w:val="002E7D72"/>
    <w:rsid w:val="00306297"/>
    <w:rsid w:val="003201C7"/>
    <w:rsid w:val="00321151"/>
    <w:rsid w:val="00375484"/>
    <w:rsid w:val="00385566"/>
    <w:rsid w:val="003874C3"/>
    <w:rsid w:val="003B133C"/>
    <w:rsid w:val="003B3898"/>
    <w:rsid w:val="003F1FCF"/>
    <w:rsid w:val="0040732E"/>
    <w:rsid w:val="00415743"/>
    <w:rsid w:val="0041641C"/>
    <w:rsid w:val="00430760"/>
    <w:rsid w:val="00434A3F"/>
    <w:rsid w:val="00445555"/>
    <w:rsid w:val="0044688C"/>
    <w:rsid w:val="004623B7"/>
    <w:rsid w:val="0046758A"/>
    <w:rsid w:val="00475110"/>
    <w:rsid w:val="00491663"/>
    <w:rsid w:val="004A0161"/>
    <w:rsid w:val="004E26E6"/>
    <w:rsid w:val="004E5C7C"/>
    <w:rsid w:val="005060E2"/>
    <w:rsid w:val="00556CE2"/>
    <w:rsid w:val="00573545"/>
    <w:rsid w:val="005A38AB"/>
    <w:rsid w:val="005B12DE"/>
    <w:rsid w:val="005B2CF3"/>
    <w:rsid w:val="005B4379"/>
    <w:rsid w:val="006016D1"/>
    <w:rsid w:val="0060307D"/>
    <w:rsid w:val="006243A3"/>
    <w:rsid w:val="006841B8"/>
    <w:rsid w:val="0068548F"/>
    <w:rsid w:val="00690BE1"/>
    <w:rsid w:val="006B27A6"/>
    <w:rsid w:val="006E6CC2"/>
    <w:rsid w:val="007B1DEC"/>
    <w:rsid w:val="007C7002"/>
    <w:rsid w:val="007D4645"/>
    <w:rsid w:val="007F7839"/>
    <w:rsid w:val="0080505D"/>
    <w:rsid w:val="00806588"/>
    <w:rsid w:val="0080747D"/>
    <w:rsid w:val="00823608"/>
    <w:rsid w:val="00873353"/>
    <w:rsid w:val="00882F20"/>
    <w:rsid w:val="008A0F64"/>
    <w:rsid w:val="008B2EF2"/>
    <w:rsid w:val="008C065C"/>
    <w:rsid w:val="008C63AD"/>
    <w:rsid w:val="008D6145"/>
    <w:rsid w:val="008E69FA"/>
    <w:rsid w:val="008F7D53"/>
    <w:rsid w:val="00905207"/>
    <w:rsid w:val="009151EE"/>
    <w:rsid w:val="0093747E"/>
    <w:rsid w:val="0096299B"/>
    <w:rsid w:val="00985191"/>
    <w:rsid w:val="00987AAF"/>
    <w:rsid w:val="009D633A"/>
    <w:rsid w:val="00A05F28"/>
    <w:rsid w:val="00A15E80"/>
    <w:rsid w:val="00A233BC"/>
    <w:rsid w:val="00A7068F"/>
    <w:rsid w:val="00AE7D27"/>
    <w:rsid w:val="00B368BC"/>
    <w:rsid w:val="00B4771A"/>
    <w:rsid w:val="00B55F20"/>
    <w:rsid w:val="00B575B5"/>
    <w:rsid w:val="00B70AA4"/>
    <w:rsid w:val="00B7316F"/>
    <w:rsid w:val="00B73F3D"/>
    <w:rsid w:val="00B848B3"/>
    <w:rsid w:val="00B85B15"/>
    <w:rsid w:val="00B93AD0"/>
    <w:rsid w:val="00BA54C3"/>
    <w:rsid w:val="00BB6572"/>
    <w:rsid w:val="00BC49E1"/>
    <w:rsid w:val="00BD0B7E"/>
    <w:rsid w:val="00BD1FD2"/>
    <w:rsid w:val="00BD4682"/>
    <w:rsid w:val="00BF7A2B"/>
    <w:rsid w:val="00C517A3"/>
    <w:rsid w:val="00C5429D"/>
    <w:rsid w:val="00C576B1"/>
    <w:rsid w:val="00C869EF"/>
    <w:rsid w:val="00C913B6"/>
    <w:rsid w:val="00CC4378"/>
    <w:rsid w:val="00CD7B7A"/>
    <w:rsid w:val="00CE5457"/>
    <w:rsid w:val="00D1423F"/>
    <w:rsid w:val="00D376CB"/>
    <w:rsid w:val="00D7337A"/>
    <w:rsid w:val="00E22DEB"/>
    <w:rsid w:val="00E51E2D"/>
    <w:rsid w:val="00E74022"/>
    <w:rsid w:val="00E8257F"/>
    <w:rsid w:val="00E95BED"/>
    <w:rsid w:val="00EA480C"/>
    <w:rsid w:val="00EC587D"/>
    <w:rsid w:val="00EC6F55"/>
    <w:rsid w:val="00F172EE"/>
    <w:rsid w:val="00F1766A"/>
    <w:rsid w:val="00F30BED"/>
    <w:rsid w:val="00F33CDB"/>
    <w:rsid w:val="00F44B56"/>
    <w:rsid w:val="00F553A2"/>
    <w:rsid w:val="00F555F8"/>
    <w:rsid w:val="00F77CDC"/>
    <w:rsid w:val="00FA5700"/>
    <w:rsid w:val="00FC7F39"/>
    <w:rsid w:val="00FD64AB"/>
    <w:rsid w:val="00FD7DE9"/>
    <w:rsid w:val="00FE345B"/>
    <w:rsid w:val="00FE467A"/>
    <w:rsid w:val="02B13986"/>
    <w:rsid w:val="02DE02CA"/>
    <w:rsid w:val="0D295F98"/>
    <w:rsid w:val="1176237F"/>
    <w:rsid w:val="11F70C69"/>
    <w:rsid w:val="12330109"/>
    <w:rsid w:val="13350FC0"/>
    <w:rsid w:val="1339612B"/>
    <w:rsid w:val="14B436BD"/>
    <w:rsid w:val="156D5C8F"/>
    <w:rsid w:val="1A3022CF"/>
    <w:rsid w:val="207A6AF5"/>
    <w:rsid w:val="25F75A0D"/>
    <w:rsid w:val="265E6096"/>
    <w:rsid w:val="29233084"/>
    <w:rsid w:val="2ABA2DEA"/>
    <w:rsid w:val="2CC232F9"/>
    <w:rsid w:val="2D88792B"/>
    <w:rsid w:val="364030B7"/>
    <w:rsid w:val="38D65298"/>
    <w:rsid w:val="39440A18"/>
    <w:rsid w:val="3AE86E70"/>
    <w:rsid w:val="419A7B08"/>
    <w:rsid w:val="42CC5B6F"/>
    <w:rsid w:val="42F66A89"/>
    <w:rsid w:val="45FC4E92"/>
    <w:rsid w:val="470155BF"/>
    <w:rsid w:val="479F2104"/>
    <w:rsid w:val="486B6364"/>
    <w:rsid w:val="49651E00"/>
    <w:rsid w:val="4D1F7293"/>
    <w:rsid w:val="4E0F619D"/>
    <w:rsid w:val="4E380EEA"/>
    <w:rsid w:val="5068489D"/>
    <w:rsid w:val="53BA6785"/>
    <w:rsid w:val="545E2392"/>
    <w:rsid w:val="56B040D7"/>
    <w:rsid w:val="5A9A3090"/>
    <w:rsid w:val="5C9E3797"/>
    <w:rsid w:val="5DA37B2B"/>
    <w:rsid w:val="5DB547D3"/>
    <w:rsid w:val="5DEF6EDC"/>
    <w:rsid w:val="61EB03D6"/>
    <w:rsid w:val="626604C5"/>
    <w:rsid w:val="67010889"/>
    <w:rsid w:val="69EF65D1"/>
    <w:rsid w:val="6C84225C"/>
    <w:rsid w:val="6E030AA0"/>
    <w:rsid w:val="6E3B400E"/>
    <w:rsid w:val="6FAA079E"/>
    <w:rsid w:val="71925BC5"/>
    <w:rsid w:val="74C161B9"/>
    <w:rsid w:val="7C6404F1"/>
    <w:rsid w:val="7D372571"/>
    <w:rsid w:val="7E871D2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8">
    <w:name w:val="页脚 字符"/>
    <w:link w:val="3"/>
    <w:uiPriority w:val="99"/>
    <w:rPr>
      <w:rFonts w:ascii="Calibri" w:hAnsi="Calibri" w:eastAsia="宋体" w:cs="Times New Roman"/>
      <w:kern w:val="2"/>
      <w:sz w:val="18"/>
      <w:szCs w:val="18"/>
    </w:rPr>
  </w:style>
  <w:style w:type="character" w:customStyle="1" w:styleId="9">
    <w:name w:val="页眉 字符"/>
    <w:link w:val="4"/>
    <w:uiPriority w:val="0"/>
    <w:rPr>
      <w:rFonts w:ascii="Calibri" w:hAnsi="Calibri" w:eastAsia="宋体" w:cs="Times New Roman"/>
      <w:kern w:val="2"/>
      <w:sz w:val="18"/>
      <w:szCs w:val="18"/>
    </w:rPr>
  </w:style>
  <w:style w:type="character" w:customStyle="1" w:styleId="10">
    <w:name w:val="标题 2 字符"/>
    <w:link w:val="2"/>
    <w:qFormat/>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439</Words>
  <Characters>2507</Characters>
  <Lines>20</Lines>
  <Paragraphs>5</Paragraphs>
  <TotalTime>0</TotalTime>
  <ScaleCrop>false</ScaleCrop>
  <LinksUpToDate>false</LinksUpToDate>
  <CharactersWithSpaces>2941</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2018-11-07T09:15:00Z</dcterms:created>
  <dc:creator>xujunli</dc:creator>
  <cp:lastModifiedBy>杨静</cp:lastModifiedBy>
  <cp:lastPrinted>2018-04-12T03:07:00Z</cp:lastPrinted>
  <dcterms:modified xsi:type="dcterms:W3CDTF">2018-11-15T10:08:40Z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