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8" w:name="_GoBack"/>
      <w:bookmarkEnd w:id="8"/>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中发展党委〔2018〕16号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600" w:lineRule="exact"/>
        <w:jc w:val="center"/>
        <w:rPr>
          <w:rStyle w:val="14"/>
          <w:rFonts w:hint="eastAsia" w:ascii="方正小标宋简体" w:hAnsi="华文中宋" w:eastAsia="方正小标宋简体"/>
          <w:b w:val="0"/>
          <w:sz w:val="44"/>
          <w:szCs w:val="44"/>
        </w:rPr>
      </w:pPr>
      <w:r>
        <w:rPr>
          <w:rStyle w:val="14"/>
          <w:rFonts w:hint="eastAsia" w:ascii="方正小标宋简体" w:hAnsi="华文中宋" w:eastAsia="方正小标宋简体"/>
          <w:b w:val="0"/>
          <w:sz w:val="44"/>
          <w:szCs w:val="44"/>
        </w:rPr>
        <w:t>关于做好中国共产党中关村发展集团委员会和纪律检查委员会委员候选人预备人选</w:t>
      </w:r>
      <w:bookmarkStart w:id="0" w:name="OLE_LINK27"/>
      <w:bookmarkStart w:id="1" w:name="OLE_LINK28"/>
    </w:p>
    <w:p>
      <w:pPr>
        <w:spacing w:line="600" w:lineRule="exact"/>
        <w:jc w:val="center"/>
        <w:rPr>
          <w:rStyle w:val="14"/>
          <w:rFonts w:hint="eastAsia" w:ascii="方正小标宋简体" w:hAnsi="华文中宋" w:eastAsia="方正小标宋简体"/>
          <w:b w:val="0"/>
          <w:sz w:val="44"/>
          <w:szCs w:val="44"/>
        </w:rPr>
      </w:pPr>
      <w:r>
        <w:rPr>
          <w:rStyle w:val="14"/>
          <w:rFonts w:hint="eastAsia" w:ascii="方正小标宋简体" w:hAnsi="华文中宋" w:eastAsia="方正小标宋简体"/>
          <w:b w:val="0"/>
          <w:sz w:val="44"/>
          <w:szCs w:val="44"/>
        </w:rPr>
        <w:t>推荐提名</w:t>
      </w:r>
      <w:bookmarkEnd w:id="0"/>
      <w:bookmarkEnd w:id="1"/>
      <w:r>
        <w:rPr>
          <w:rStyle w:val="14"/>
          <w:rFonts w:hint="eastAsia" w:ascii="方正小标宋简体" w:hAnsi="华文中宋" w:eastAsia="方正小标宋简体"/>
          <w:b w:val="0"/>
          <w:sz w:val="44"/>
          <w:szCs w:val="44"/>
        </w:rPr>
        <w:t>工作的通知</w:t>
      </w:r>
    </w:p>
    <w:p>
      <w:pPr>
        <w:spacing w:line="600" w:lineRule="exact"/>
        <w:jc w:val="center"/>
        <w:rPr>
          <w:rFonts w:ascii="仿宋" w:hAnsi="仿宋" w:eastAsia="仿宋"/>
          <w:sz w:val="32"/>
          <w:szCs w:val="32"/>
        </w:rPr>
      </w:pPr>
    </w:p>
    <w:p>
      <w:pPr>
        <w:spacing w:line="600" w:lineRule="exact"/>
        <w:rPr>
          <w:rFonts w:hint="eastAsia" w:ascii="仿宋" w:hAnsi="仿宋" w:eastAsia="仿宋"/>
          <w:sz w:val="32"/>
          <w:szCs w:val="32"/>
        </w:rPr>
      </w:pPr>
      <w:r>
        <w:rPr>
          <w:rFonts w:hint="eastAsia" w:ascii="仿宋" w:hAnsi="仿宋" w:eastAsia="仿宋"/>
          <w:sz w:val="32"/>
          <w:szCs w:val="32"/>
        </w:rPr>
        <w:t>集团总部党总支、中科金党委、软件园党总支、生命园党总支、担保公司党总支，各二级公司党支部：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根据中国共产党中关村发展集团股份有限公司党员大会筹备工作安排，现就中国共产党中关村发展集团股份有限公司委员会和纪律检查委员会（以下简称“两委”）委员候选人预备人选推荐提名工作通知如下：</w:t>
      </w:r>
    </w:p>
    <w:p>
      <w:pPr>
        <w:spacing w:line="600" w:lineRule="exact"/>
        <w:ind w:firstLine="640" w:firstLineChars="200"/>
        <w:rPr>
          <w:rFonts w:hint="eastAsia" w:ascii="黑体" w:hAnsi="黑体" w:eastAsia="黑体" w:cs="宋体"/>
          <w:kern w:val="0"/>
          <w:sz w:val="32"/>
          <w:szCs w:val="32"/>
        </w:rPr>
      </w:pPr>
      <w:r>
        <w:rPr>
          <w:rFonts w:hint="eastAsia" w:ascii="黑体" w:hAnsi="黑体" w:eastAsia="黑体" w:cs="宋体"/>
          <w:kern w:val="0"/>
          <w:sz w:val="32"/>
          <w:szCs w:val="32"/>
        </w:rPr>
        <w:t>一、“两委”委员及候选人名额</w:t>
      </w:r>
    </w:p>
    <w:p>
      <w:pPr>
        <w:spacing w:line="600" w:lineRule="exact"/>
        <w:ind w:firstLine="640" w:firstLineChars="200"/>
        <w:rPr>
          <w:rFonts w:hint="eastAsia" w:ascii="仿宋" w:hAnsi="仿宋" w:eastAsia="仿宋"/>
          <w:sz w:val="32"/>
          <w:szCs w:val="32"/>
        </w:rPr>
      </w:pPr>
      <w:bookmarkStart w:id="2" w:name="OLE_LINK24"/>
      <w:bookmarkStart w:id="3" w:name="OLE_LINK25"/>
      <w:bookmarkStart w:id="4" w:name="OLE_LINK26"/>
      <w:r>
        <w:rPr>
          <w:rFonts w:hint="eastAsia" w:ascii="仿宋" w:hAnsi="仿宋" w:eastAsia="仿宋"/>
          <w:sz w:val="32"/>
          <w:szCs w:val="32"/>
        </w:rPr>
        <w:t>经市委批准，中共中关村发展集团股份有限公司新一届委员会设委员7名，提出党委委员候选人预备人选9名（差额2名）；纪律检查委员会设委员5名，提出纪委委员候选人预备人选6名（差额1名）。</w:t>
      </w:r>
    </w:p>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二、“两委”委员的基本条件</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根据《党章》规定，集团“两委”委员候选人必须是党组织关系在集团的具有被选举权的中共正式党员，并具备以下条件：</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一）具有履行职责所需要的马克思列宁主义、毛泽东思想、邓小平理论、“三个代表”重要思想、科学发展观的水平，带头贯彻落实习近平新时代中国特色社会主义思想，努力用马克思主义的立场、观点、方法分析和解决实际问题，坚持讲学习、讲政治、讲正气，认真贯彻执行集团党委的决议和各项工作部署。</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（二）坚持解放思想，实事求是，认真调查研究，能够把党的基本路线和各项方针、政策同集团服务科技创新事业发展的具体实际相结合，与时俱进，开拓进取，在工作中业绩突出。</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（三）有强烈的事业心和高度的政治责任感，有全局观念，有实践经验，有胜任领导工作的组织能力、文化水平和专业知识，具有较强的分析解决实际问题的能力和创新能力。</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（四）公道正派，清正廉洁，坚持党的群众路线，善于协调沟通，党员和群众信得过，在员工中有较高的威信。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（五）坚持和维护党的民主集中制，有民主作风。</w:t>
      </w:r>
    </w:p>
    <w:bookmarkEnd w:id="2"/>
    <w:bookmarkEnd w:id="3"/>
    <w:bookmarkEnd w:id="4"/>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三、“两委”委员的构成原则和结构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一）突出政治标准，同时本着“德才兼备、整体结构合理、全面适应集团服务科技创新事业发展需要”的基本原则，在提名“两委”委员候选人时，要从有利于服务北京科技创新中心建设大局出发，从集团创新发展的大局出发，严格依照“两委”委员候选人应具备的条件进行，统筹考虑讲政治、懂经营、善管理的候选人。</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二）根据我市市管企业党委会职数设置与组成原则的要求，党的委员会是工作班子，其组成应有利于坚持和加强党的全面领导，有利于党委履行参与重大问题决策、坚持党管干部、党管人才等方面的职责，充分发挥党委把方向、管大局、保落实作用；根据市委市政府《关于全面深化市属国资国企改革的意见》（</w:t>
      </w:r>
      <w:r>
        <w:rPr>
          <w:rFonts w:ascii="仿宋" w:hAnsi="仿宋" w:eastAsia="仿宋"/>
          <w:sz w:val="32"/>
          <w:szCs w:val="32"/>
        </w:rPr>
        <w:t>京发〔2014〕</w:t>
      </w:r>
      <w:r>
        <w:rPr>
          <w:rFonts w:hint="eastAsia" w:ascii="仿宋" w:hAnsi="仿宋" w:eastAsia="仿宋"/>
          <w:sz w:val="32"/>
          <w:szCs w:val="32"/>
        </w:rPr>
        <w:t>13</w:t>
      </w:r>
      <w:r>
        <w:rPr>
          <w:rFonts w:ascii="仿宋" w:hAnsi="仿宋" w:eastAsia="仿宋"/>
          <w:sz w:val="32"/>
          <w:szCs w:val="32"/>
        </w:rPr>
        <w:t>号</w:t>
      </w:r>
      <w:r>
        <w:rPr>
          <w:rFonts w:hint="eastAsia" w:ascii="仿宋" w:hAnsi="仿宋" w:eastAsia="仿宋"/>
          <w:sz w:val="32"/>
          <w:szCs w:val="32"/>
        </w:rPr>
        <w:t>）精神，坚持和完善“双向进入、交叉任职”企业领导体制的原则，经营班子成员考虑适当比例进入党的委员会。根据市委</w:t>
      </w:r>
      <w:r>
        <w:rPr>
          <w:rFonts w:ascii="仿宋" w:hAnsi="仿宋" w:eastAsia="仿宋"/>
          <w:sz w:val="32"/>
          <w:szCs w:val="32"/>
        </w:rPr>
        <w:t>《关于进一步做好工会工作的意见》</w:t>
      </w:r>
      <w:r>
        <w:rPr>
          <w:rFonts w:hint="eastAsia" w:ascii="仿宋" w:hAnsi="仿宋" w:eastAsia="仿宋"/>
          <w:sz w:val="32"/>
          <w:szCs w:val="32"/>
        </w:rPr>
        <w:t>（</w:t>
      </w:r>
      <w:r>
        <w:rPr>
          <w:rFonts w:ascii="仿宋" w:hAnsi="仿宋" w:eastAsia="仿宋"/>
          <w:sz w:val="32"/>
          <w:szCs w:val="32"/>
        </w:rPr>
        <w:t>京发〔2014〕6号</w:t>
      </w:r>
      <w:r>
        <w:rPr>
          <w:rFonts w:hint="eastAsia" w:ascii="仿宋" w:hAnsi="仿宋" w:eastAsia="仿宋"/>
          <w:sz w:val="32"/>
          <w:szCs w:val="32"/>
        </w:rPr>
        <w:t>）、市委《关于贯彻〈中共中央关于加强和改进党的群团工作的意见〉的意见》（</w:t>
      </w:r>
      <w:r>
        <w:rPr>
          <w:rFonts w:ascii="仿宋" w:hAnsi="仿宋" w:eastAsia="仿宋"/>
          <w:sz w:val="32"/>
          <w:szCs w:val="32"/>
        </w:rPr>
        <w:t>京发〔201</w:t>
      </w:r>
      <w:r>
        <w:rPr>
          <w:rFonts w:hint="eastAsia" w:ascii="仿宋" w:hAnsi="仿宋" w:eastAsia="仿宋"/>
          <w:sz w:val="32"/>
          <w:szCs w:val="32"/>
        </w:rPr>
        <w:t>5</w:t>
      </w:r>
      <w:r>
        <w:rPr>
          <w:rFonts w:ascii="仿宋" w:hAnsi="仿宋" w:eastAsia="仿宋"/>
          <w:sz w:val="32"/>
          <w:szCs w:val="32"/>
        </w:rPr>
        <w:t>〕</w:t>
      </w:r>
      <w:r>
        <w:rPr>
          <w:rFonts w:hint="eastAsia" w:ascii="仿宋" w:hAnsi="仿宋" w:eastAsia="仿宋"/>
          <w:sz w:val="32"/>
          <w:szCs w:val="32"/>
        </w:rPr>
        <w:t>14</w:t>
      </w:r>
      <w:r>
        <w:rPr>
          <w:rFonts w:ascii="仿宋" w:hAnsi="仿宋" w:eastAsia="仿宋"/>
          <w:sz w:val="32"/>
          <w:szCs w:val="32"/>
        </w:rPr>
        <w:t>号</w:t>
      </w:r>
      <w:r>
        <w:rPr>
          <w:rFonts w:hint="eastAsia" w:ascii="仿宋" w:hAnsi="仿宋" w:eastAsia="仿宋"/>
          <w:sz w:val="32"/>
          <w:szCs w:val="32"/>
        </w:rPr>
        <w:t>）精神</w:t>
      </w:r>
      <w:r>
        <w:rPr>
          <w:rFonts w:ascii="仿宋" w:hAnsi="仿宋" w:eastAsia="仿宋"/>
          <w:sz w:val="32"/>
          <w:szCs w:val="32"/>
        </w:rPr>
        <w:t>,</w:t>
      </w:r>
      <w:r>
        <w:rPr>
          <w:rFonts w:hint="eastAsia" w:ascii="仿宋" w:hAnsi="仿宋" w:eastAsia="仿宋"/>
          <w:sz w:val="32"/>
          <w:szCs w:val="32"/>
        </w:rPr>
        <w:t>要有利于加强党对群团、工会工作的领导。在组织结构上，党委委员候选人应有集团党委和经营班子成员、集团工会负责人、集团纪委负责人、集团党委工作部门主要负责人。</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三）集团纪律检查委员会的构成应有利于开展纪检监察工作，有利于形成集团纪检、党建、审计等相关工作部门的监督合力。在组织结构上，应有集团纪委负责人、集团相关总经理助理、党委工作部门主要负责人、纪检监察部门负责人、集团审计监督工作部门负责人和二级子公司基层党组织书记（含集团高管兼任）。</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（四）除集团纪委书记外，提名党委委员和纪委委员候选人原则上不交叉。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（五）按照“承上启下、工作衔接”的原则，新老两届党委委员、纪委委员应保持一定的工作连续性。</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（六）在年龄结构上，要注意合理的梯次配备，适当考虑“老、中、青”三结合的原则；提名人选年龄不具备履职一届条件的同志不再推荐提名（截至2018年5月）。注意推荐一定比例的女同志。</w:t>
      </w:r>
    </w:p>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四、“两委”委员候选人预备人选的产生办法和程序</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“两委”委员候选人预备人选，采取自下而上、自上而下、上下结合反复酝酿的方式提出（即“两上两下”程序）。</w:t>
      </w:r>
    </w:p>
    <w:p>
      <w:pPr>
        <w:spacing w:line="600" w:lineRule="exact"/>
        <w:ind w:firstLine="640" w:firstLineChars="200"/>
        <w:rPr>
          <w:rFonts w:hint="eastAsia" w:ascii="仿宋" w:hAnsi="仿宋" w:eastAsia="仿宋"/>
          <w:sz w:val="32"/>
          <w:szCs w:val="32"/>
        </w:rPr>
      </w:pPr>
      <w:r>
        <w:rPr>
          <w:rFonts w:hint="eastAsia" w:ascii="仿宋" w:hAnsi="仿宋" w:eastAsia="仿宋"/>
          <w:b/>
          <w:sz w:val="32"/>
          <w:szCs w:val="32"/>
        </w:rPr>
        <w:t>“一下”</w:t>
      </w:r>
      <w:r>
        <w:rPr>
          <w:rFonts w:hint="eastAsia" w:ascii="仿宋" w:hAnsi="仿宋" w:eastAsia="仿宋"/>
          <w:sz w:val="32"/>
          <w:szCs w:val="32"/>
        </w:rPr>
        <w:t>——集团各直属基层党组织以党支部为单位按照“两委”委员候选人的条件要求，组织党员进行推荐提名，每名党员（含预备党员）可提名的人数不超过党委委员、纪委委员候选人数（即党委委员候选人提名人选9名，纪委委员候选人提名人选6名）。各直属基层党组织根据多数党支部和党员的意见，汇总“两委”委员候选人提名人选推荐提名情况，上报集团党委。</w:t>
      </w:r>
    </w:p>
    <w:p>
      <w:pPr>
        <w:spacing w:line="600" w:lineRule="exact"/>
        <w:ind w:firstLine="640" w:firstLineChars="200"/>
        <w:rPr>
          <w:rFonts w:hint="eastAsia" w:ascii="仿宋" w:hAnsi="仿宋" w:eastAsia="仿宋"/>
          <w:sz w:val="32"/>
          <w:szCs w:val="32"/>
        </w:rPr>
      </w:pPr>
      <w:r>
        <w:rPr>
          <w:rFonts w:hint="eastAsia" w:ascii="仿宋" w:hAnsi="仿宋" w:eastAsia="仿宋"/>
          <w:b/>
          <w:sz w:val="32"/>
          <w:szCs w:val="32"/>
        </w:rPr>
        <w:t>“一上”</w:t>
      </w:r>
      <w:r>
        <w:rPr>
          <w:rFonts w:hint="eastAsia" w:ascii="仿宋" w:hAnsi="仿宋" w:eastAsia="仿宋"/>
          <w:sz w:val="32"/>
          <w:szCs w:val="32"/>
        </w:rPr>
        <w:t>——集团党委根据基层党组织提名情况和“两委”委员的条件及构成原则，讨论提出“两委”委员候选人初步人选名单。</w:t>
      </w:r>
    </w:p>
    <w:p>
      <w:pPr>
        <w:spacing w:line="600" w:lineRule="exact"/>
        <w:ind w:firstLine="640" w:firstLineChars="200"/>
        <w:rPr>
          <w:rFonts w:hint="eastAsia" w:ascii="仿宋" w:hAnsi="仿宋" w:eastAsia="仿宋"/>
          <w:sz w:val="32"/>
          <w:szCs w:val="32"/>
        </w:rPr>
      </w:pPr>
      <w:r>
        <w:rPr>
          <w:rFonts w:hint="eastAsia" w:ascii="仿宋" w:hAnsi="仿宋" w:eastAsia="仿宋"/>
          <w:b/>
          <w:sz w:val="32"/>
          <w:szCs w:val="32"/>
        </w:rPr>
        <w:t>“二下”</w:t>
      </w:r>
      <w:r>
        <w:rPr>
          <w:rFonts w:hint="eastAsia" w:ascii="仿宋" w:hAnsi="仿宋" w:eastAsia="仿宋"/>
          <w:sz w:val="32"/>
          <w:szCs w:val="32"/>
        </w:rPr>
        <w:t>——集团各基层党组织对党委提出的候选人初步人选名单再次酝酿讨论，提出候选人预备人选名单，汇总后上报集团党委。</w:t>
      </w:r>
    </w:p>
    <w:p>
      <w:pPr>
        <w:spacing w:line="600" w:lineRule="exact"/>
        <w:ind w:firstLine="640" w:firstLineChars="200"/>
        <w:rPr>
          <w:rFonts w:hint="eastAsia" w:ascii="仿宋" w:hAnsi="仿宋" w:eastAsia="仿宋"/>
          <w:sz w:val="32"/>
          <w:szCs w:val="32"/>
        </w:rPr>
      </w:pPr>
      <w:r>
        <w:rPr>
          <w:rFonts w:hint="eastAsia" w:ascii="仿宋" w:hAnsi="仿宋" w:eastAsia="仿宋"/>
          <w:b/>
          <w:sz w:val="32"/>
          <w:szCs w:val="32"/>
        </w:rPr>
        <w:t>“二上”</w:t>
      </w:r>
      <w:r>
        <w:rPr>
          <w:rFonts w:hint="eastAsia" w:ascii="仿宋" w:hAnsi="仿宋" w:eastAsia="仿宋"/>
          <w:sz w:val="32"/>
          <w:szCs w:val="32"/>
        </w:rPr>
        <w:t>——集团党委根据“二下”时各基层党组织的推荐总体情况，讨论并提出“两委委员”候选人预备人选名单，安排开展组织考察。根据考察结果，报市委组织部。</w:t>
      </w:r>
    </w:p>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五、工作要求</w:t>
      </w:r>
    </w:p>
    <w:p>
      <w:pPr>
        <w:spacing w:line="600" w:lineRule="exact"/>
        <w:ind w:firstLine="640" w:firstLineChars="200"/>
        <w:rPr>
          <w:rFonts w:ascii="仿宋" w:hAnsi="仿宋" w:eastAsia="仿宋"/>
          <w:sz w:val="32"/>
          <w:szCs w:val="32"/>
        </w:rPr>
      </w:pPr>
      <w:r>
        <w:rPr>
          <w:rFonts w:hint="eastAsia" w:ascii="楷体" w:hAnsi="楷体" w:eastAsia="楷体"/>
          <w:sz w:val="32"/>
          <w:szCs w:val="32"/>
        </w:rPr>
        <w:t>（一）加强组织领导。</w:t>
      </w:r>
      <w:r>
        <w:rPr>
          <w:rFonts w:hint="eastAsia" w:ascii="仿宋" w:hAnsi="仿宋" w:eastAsia="仿宋"/>
          <w:sz w:val="32"/>
          <w:szCs w:val="32"/>
        </w:rPr>
        <w:t>集团各基层党组织要在集团党委的统一领导下，加强组织协调，切实做好推荐提名工作。要精心组织，周密安排，严格程序，有针对性地做好深入细致的思想政治工作，避免工作简单化，确保高质量完成推荐提名工作。</w:t>
      </w:r>
    </w:p>
    <w:p>
      <w:pPr>
        <w:spacing w:line="600" w:lineRule="exact"/>
        <w:ind w:firstLine="640" w:firstLineChars="200"/>
        <w:rPr>
          <w:rFonts w:ascii="仿宋" w:hAnsi="仿宋" w:eastAsia="仿宋"/>
          <w:sz w:val="32"/>
          <w:szCs w:val="32"/>
        </w:rPr>
      </w:pPr>
      <w:r>
        <w:rPr>
          <w:rFonts w:hint="eastAsia" w:ascii="楷体" w:hAnsi="楷体" w:eastAsia="楷体"/>
          <w:sz w:val="32"/>
          <w:szCs w:val="32"/>
        </w:rPr>
        <w:t>（二）做好宣传教育。</w:t>
      </w:r>
      <w:r>
        <w:rPr>
          <w:rFonts w:hint="eastAsia" w:ascii="仿宋" w:hAnsi="仿宋" w:eastAsia="仿宋"/>
          <w:sz w:val="32"/>
          <w:szCs w:val="32"/>
        </w:rPr>
        <w:t>集团各基层党组织要组织全体党员认真学习，进一步明确“两委”委员的构成原则、基本条件和推荐提名程序。党员提名“两委”委员候选人时，要从党的工作需要和集团全局出发，以对党的建设和集团事业高度负责的态度认真发表意见，严肃行使党员权利。要严肃换届纪律，营造风清气正的换届环境。</w:t>
      </w:r>
    </w:p>
    <w:p>
      <w:pPr>
        <w:spacing w:line="600" w:lineRule="exact"/>
        <w:ind w:firstLine="640" w:firstLineChars="200"/>
        <w:rPr>
          <w:rFonts w:ascii="仿宋" w:hAnsi="仿宋" w:eastAsia="仿宋"/>
          <w:sz w:val="32"/>
          <w:szCs w:val="32"/>
        </w:rPr>
      </w:pPr>
      <w:r>
        <w:rPr>
          <w:rFonts w:hint="eastAsia" w:ascii="楷体" w:hAnsi="楷体" w:eastAsia="楷体"/>
          <w:sz w:val="32"/>
          <w:szCs w:val="32"/>
        </w:rPr>
        <w:t>（三）发扬党内民主。</w:t>
      </w:r>
      <w:r>
        <w:rPr>
          <w:rFonts w:hint="eastAsia" w:ascii="仿宋" w:hAnsi="仿宋" w:eastAsia="仿宋"/>
          <w:sz w:val="32"/>
          <w:szCs w:val="32"/>
        </w:rPr>
        <w:t>集团各基层党组织必须充分发扬党内民主，认真听取和尊重广大党员的意见，保证推荐人选的提出具有广泛的群众基础。要保证酝酿“两委”委员候选人基层</w:t>
      </w:r>
      <w:bookmarkStart w:id="5" w:name="OLE_LINK9"/>
      <w:bookmarkStart w:id="6" w:name="OLE_LINK10"/>
      <w:bookmarkStart w:id="7" w:name="OLE_LINK11"/>
      <w:r>
        <w:rPr>
          <w:rFonts w:hint="eastAsia" w:ascii="仿宋" w:hAnsi="仿宋" w:eastAsia="仿宋"/>
          <w:sz w:val="32"/>
          <w:szCs w:val="32"/>
        </w:rPr>
        <w:t>党支部参与面达到</w:t>
      </w:r>
      <w:r>
        <w:rPr>
          <w:rFonts w:ascii="仿宋" w:hAnsi="仿宋" w:eastAsia="仿宋"/>
          <w:sz w:val="32"/>
          <w:szCs w:val="32"/>
        </w:rPr>
        <w:t>100</w:t>
      </w:r>
      <w:r>
        <w:rPr>
          <w:rFonts w:hint="eastAsia" w:ascii="仿宋" w:hAnsi="仿宋" w:eastAsia="仿宋"/>
          <w:sz w:val="32"/>
          <w:szCs w:val="32"/>
        </w:rPr>
        <w:t>％，党员参与面力争达到100％。</w:t>
      </w:r>
    </w:p>
    <w:bookmarkEnd w:id="5"/>
    <w:bookmarkEnd w:id="6"/>
    <w:bookmarkEnd w:id="7"/>
    <w:p>
      <w:pPr>
        <w:spacing w:line="600" w:lineRule="exact"/>
        <w:ind w:firstLine="640" w:firstLineChars="200"/>
        <w:rPr>
          <w:rFonts w:hint="eastAsia" w:ascii="仿宋" w:hAnsi="仿宋" w:eastAsia="仿宋"/>
          <w:sz w:val="32"/>
          <w:szCs w:val="32"/>
        </w:rPr>
      </w:pPr>
      <w:r>
        <w:rPr>
          <w:rFonts w:hint="eastAsia" w:ascii="楷体" w:hAnsi="楷体" w:eastAsia="楷体"/>
          <w:sz w:val="32"/>
          <w:szCs w:val="32"/>
        </w:rPr>
        <w:t>（四）确保工作进度。</w:t>
      </w:r>
      <w:r>
        <w:rPr>
          <w:rFonts w:hint="eastAsia" w:ascii="仿宋" w:hAnsi="仿宋" w:eastAsia="仿宋"/>
          <w:sz w:val="32"/>
          <w:szCs w:val="32"/>
        </w:rPr>
        <w:t>集团各基层党组织要严格工作程序和时间安排，开展“两委”委员候选人预备人选的酝酿推荐工作，并及时报告推荐提名情况，工作中出现的问题要随时与集团组织部沟通。</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特此通知。</w:t>
      </w:r>
    </w:p>
    <w:p>
      <w:pPr>
        <w:spacing w:line="600" w:lineRule="exact"/>
        <w:ind w:firstLine="640" w:firstLineChars="200"/>
        <w:rPr>
          <w:rFonts w:ascii="仿宋" w:hAnsi="仿宋" w:eastAsia="仿宋"/>
          <w:sz w:val="32"/>
          <w:szCs w:val="32"/>
        </w:rPr>
      </w:pPr>
    </w:p>
    <w:p>
      <w:pPr>
        <w:pStyle w:val="12"/>
        <w:widowControl w:val="0"/>
        <w:spacing w:line="600" w:lineRule="exact"/>
        <w:jc w:val="center"/>
        <w:rPr>
          <w:rStyle w:val="14"/>
          <w:rFonts w:hint="eastAsia" w:ascii="仿宋" w:hAnsi="仿宋" w:eastAsia="仿宋"/>
          <w:b w:val="0"/>
          <w:sz w:val="32"/>
          <w:szCs w:val="32"/>
        </w:rPr>
      </w:pPr>
      <w:r>
        <w:rPr>
          <w:rStyle w:val="14"/>
          <w:rFonts w:hint="eastAsia" w:ascii="仿宋" w:hAnsi="仿宋" w:eastAsia="仿宋"/>
          <w:b w:val="0"/>
          <w:sz w:val="32"/>
          <w:szCs w:val="32"/>
        </w:rPr>
        <w:t xml:space="preserve">           中共中关村发展集团委员会</w:t>
      </w:r>
    </w:p>
    <w:p>
      <w:pPr>
        <w:pStyle w:val="12"/>
        <w:widowControl w:val="0"/>
        <w:spacing w:line="600" w:lineRule="exact"/>
        <w:jc w:val="center"/>
        <w:rPr>
          <w:rStyle w:val="14"/>
          <w:rFonts w:hint="eastAsia" w:ascii="仿宋" w:hAnsi="仿宋" w:eastAsia="仿宋"/>
          <w:b w:val="0"/>
          <w:sz w:val="32"/>
          <w:szCs w:val="32"/>
        </w:rPr>
      </w:pPr>
      <w:r>
        <w:rPr>
          <w:rStyle w:val="14"/>
          <w:rFonts w:hint="eastAsia" w:ascii="仿宋" w:hAnsi="仿宋" w:eastAsia="仿宋"/>
          <w:b w:val="0"/>
          <w:sz w:val="32"/>
          <w:szCs w:val="32"/>
        </w:rPr>
        <w:t xml:space="preserve">           2018年3月29日</w:t>
      </w:r>
    </w:p>
    <w:p>
      <w:pPr>
        <w:pStyle w:val="12"/>
        <w:widowControl w:val="0"/>
        <w:spacing w:line="600" w:lineRule="exact"/>
        <w:jc w:val="center"/>
        <w:rPr>
          <w:rStyle w:val="14"/>
          <w:rFonts w:hint="eastAsia" w:ascii="仿宋_GB2312" w:hAnsi="华文中宋" w:eastAsia="仿宋_GB2312"/>
          <w:b w:val="0"/>
          <w:sz w:val="32"/>
          <w:szCs w:val="32"/>
        </w:rPr>
      </w:pPr>
    </w:p>
    <w:p>
      <w:pPr>
        <w:pStyle w:val="12"/>
        <w:widowControl w:val="0"/>
        <w:spacing w:line="600" w:lineRule="exact"/>
        <w:jc w:val="center"/>
        <w:rPr>
          <w:rStyle w:val="14"/>
          <w:rFonts w:hint="eastAsia" w:ascii="仿宋_GB2312" w:hAnsi="华文中宋" w:eastAsia="仿宋_GB2312"/>
          <w:b w:val="0"/>
          <w:sz w:val="32"/>
          <w:szCs w:val="32"/>
        </w:rPr>
      </w:pPr>
    </w:p>
    <w:p>
      <w:pPr>
        <w:pStyle w:val="12"/>
        <w:widowControl w:val="0"/>
        <w:spacing w:line="600" w:lineRule="exact"/>
        <w:jc w:val="center"/>
        <w:rPr>
          <w:rStyle w:val="14"/>
          <w:rFonts w:hint="eastAsia" w:ascii="仿宋_GB2312" w:hAnsi="华文中宋" w:eastAsia="仿宋_GB2312"/>
          <w:b w:val="0"/>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jc w:val="center"/>
        <w:rPr>
          <w:rFonts w:hint="eastAsia"/>
          <w:sz w:val="32"/>
          <w:szCs w:val="32"/>
        </w:rPr>
      </w:pPr>
    </w:p>
    <w:p>
      <w:pPr>
        <w:pStyle w:val="12"/>
        <w:widowControl w:val="0"/>
        <w:spacing w:line="600" w:lineRule="exact"/>
        <w:rPr>
          <w:sz w:val="32"/>
          <w:szCs w:val="32"/>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2018年3月29日印发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6 -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b56OZmDUgyxssGW7cnh6vf/UVBA=" w:salt="1H0BaM6x4r+JcDf8Sjc/m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C22F9"/>
    <w:rsid w:val="000E060D"/>
    <w:rsid w:val="000F6B88"/>
    <w:rsid w:val="00115E4D"/>
    <w:rsid w:val="0012608E"/>
    <w:rsid w:val="00153F1D"/>
    <w:rsid w:val="001548E3"/>
    <w:rsid w:val="00182614"/>
    <w:rsid w:val="00193BCA"/>
    <w:rsid w:val="00193EAA"/>
    <w:rsid w:val="001E1756"/>
    <w:rsid w:val="001F353F"/>
    <w:rsid w:val="002001FB"/>
    <w:rsid w:val="0021553C"/>
    <w:rsid w:val="00223B85"/>
    <w:rsid w:val="00251461"/>
    <w:rsid w:val="002729F2"/>
    <w:rsid w:val="00274FAD"/>
    <w:rsid w:val="00295E51"/>
    <w:rsid w:val="002B54E0"/>
    <w:rsid w:val="002D32DB"/>
    <w:rsid w:val="00320534"/>
    <w:rsid w:val="00365D98"/>
    <w:rsid w:val="00373224"/>
    <w:rsid w:val="00381B9D"/>
    <w:rsid w:val="00390FEB"/>
    <w:rsid w:val="003A3404"/>
    <w:rsid w:val="003A488D"/>
    <w:rsid w:val="003A6689"/>
    <w:rsid w:val="003B716B"/>
    <w:rsid w:val="003E34E2"/>
    <w:rsid w:val="003F25C5"/>
    <w:rsid w:val="0045027A"/>
    <w:rsid w:val="00492E83"/>
    <w:rsid w:val="004975B0"/>
    <w:rsid w:val="004A3A15"/>
    <w:rsid w:val="004A7B0D"/>
    <w:rsid w:val="004D1DA3"/>
    <w:rsid w:val="0051410C"/>
    <w:rsid w:val="00515EA2"/>
    <w:rsid w:val="00526670"/>
    <w:rsid w:val="00531179"/>
    <w:rsid w:val="00532371"/>
    <w:rsid w:val="00537654"/>
    <w:rsid w:val="0055282D"/>
    <w:rsid w:val="005615A2"/>
    <w:rsid w:val="00561894"/>
    <w:rsid w:val="00572E9C"/>
    <w:rsid w:val="005A1D60"/>
    <w:rsid w:val="005D0D5F"/>
    <w:rsid w:val="00605BAE"/>
    <w:rsid w:val="006360C0"/>
    <w:rsid w:val="00640838"/>
    <w:rsid w:val="0064716B"/>
    <w:rsid w:val="006613F6"/>
    <w:rsid w:val="00663AAD"/>
    <w:rsid w:val="006723B9"/>
    <w:rsid w:val="00682D49"/>
    <w:rsid w:val="00692804"/>
    <w:rsid w:val="006A3698"/>
    <w:rsid w:val="00701A6B"/>
    <w:rsid w:val="00726B18"/>
    <w:rsid w:val="00735751"/>
    <w:rsid w:val="00735FF9"/>
    <w:rsid w:val="007571DB"/>
    <w:rsid w:val="00760C9E"/>
    <w:rsid w:val="00763467"/>
    <w:rsid w:val="00782CF2"/>
    <w:rsid w:val="00793723"/>
    <w:rsid w:val="007C03B0"/>
    <w:rsid w:val="007D069C"/>
    <w:rsid w:val="007D17A4"/>
    <w:rsid w:val="007D46CD"/>
    <w:rsid w:val="008242CE"/>
    <w:rsid w:val="00841555"/>
    <w:rsid w:val="0084710A"/>
    <w:rsid w:val="008531B8"/>
    <w:rsid w:val="008539FB"/>
    <w:rsid w:val="0086671B"/>
    <w:rsid w:val="008667D6"/>
    <w:rsid w:val="008A4ADA"/>
    <w:rsid w:val="008D4FAF"/>
    <w:rsid w:val="00903F1F"/>
    <w:rsid w:val="00935F1F"/>
    <w:rsid w:val="0094554E"/>
    <w:rsid w:val="00980854"/>
    <w:rsid w:val="00992204"/>
    <w:rsid w:val="009C0CEE"/>
    <w:rsid w:val="009F09B3"/>
    <w:rsid w:val="009F43AD"/>
    <w:rsid w:val="00A37782"/>
    <w:rsid w:val="00A47382"/>
    <w:rsid w:val="00A51DFC"/>
    <w:rsid w:val="00A539F5"/>
    <w:rsid w:val="00A627A0"/>
    <w:rsid w:val="00A72D77"/>
    <w:rsid w:val="00A8340E"/>
    <w:rsid w:val="00A8739E"/>
    <w:rsid w:val="00A90A16"/>
    <w:rsid w:val="00AA571C"/>
    <w:rsid w:val="00AA711F"/>
    <w:rsid w:val="00AD1462"/>
    <w:rsid w:val="00AD5D3C"/>
    <w:rsid w:val="00AF0B8D"/>
    <w:rsid w:val="00B01F88"/>
    <w:rsid w:val="00B06DC3"/>
    <w:rsid w:val="00B13502"/>
    <w:rsid w:val="00B17AC0"/>
    <w:rsid w:val="00B3017D"/>
    <w:rsid w:val="00B359C4"/>
    <w:rsid w:val="00B5035A"/>
    <w:rsid w:val="00B67AB6"/>
    <w:rsid w:val="00B73978"/>
    <w:rsid w:val="00BA28AE"/>
    <w:rsid w:val="00BB1576"/>
    <w:rsid w:val="00BC5C8C"/>
    <w:rsid w:val="00BE2152"/>
    <w:rsid w:val="00BE22EA"/>
    <w:rsid w:val="00BE7F63"/>
    <w:rsid w:val="00C14966"/>
    <w:rsid w:val="00C20CFD"/>
    <w:rsid w:val="00C2355D"/>
    <w:rsid w:val="00C50391"/>
    <w:rsid w:val="00C54C36"/>
    <w:rsid w:val="00C71072"/>
    <w:rsid w:val="00CB1434"/>
    <w:rsid w:val="00CD1726"/>
    <w:rsid w:val="00CD1ECB"/>
    <w:rsid w:val="00CF76F0"/>
    <w:rsid w:val="00D12675"/>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45B6"/>
    <w:rsid w:val="00EB3419"/>
    <w:rsid w:val="00EC3BC9"/>
    <w:rsid w:val="00EC3C3E"/>
    <w:rsid w:val="00EE6590"/>
    <w:rsid w:val="00EF47C4"/>
    <w:rsid w:val="00F02924"/>
    <w:rsid w:val="00F1500F"/>
    <w:rsid w:val="00F568D1"/>
    <w:rsid w:val="00F61FD3"/>
    <w:rsid w:val="00F6290C"/>
    <w:rsid w:val="00F6559A"/>
    <w:rsid w:val="00FA23DD"/>
    <w:rsid w:val="00FE04BC"/>
    <w:rsid w:val="50BD533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23"/>
    <w:uiPriority w:val="0"/>
    <w:pPr>
      <w:ind w:left="100" w:leftChars="2500"/>
    </w:pPr>
  </w:style>
  <w:style w:type="paragraph" w:styleId="7">
    <w:name w:val="Balloon Text"/>
    <w:basedOn w:val="1"/>
    <w:link w:val="22"/>
    <w:uiPriority w:val="0"/>
    <w:rPr>
      <w:sz w:val="18"/>
      <w:szCs w:val="18"/>
    </w:rPr>
  </w:style>
  <w:style w:type="paragraph" w:styleId="8">
    <w:name w:val="footer"/>
    <w:basedOn w:val="1"/>
    <w:link w:val="20"/>
    <w:uiPriority w:val="99"/>
    <w:pPr>
      <w:tabs>
        <w:tab w:val="center" w:pos="4153"/>
        <w:tab w:val="right" w:pos="8306"/>
      </w:tabs>
      <w:snapToGrid w:val="0"/>
      <w:jc w:val="left"/>
    </w:pPr>
    <w:rPr>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character" w:styleId="14">
    <w:name w:val="Strong"/>
    <w:qFormat/>
    <w:uiPriority w:val="0"/>
    <w:rPr>
      <w:b/>
      <w:bCs/>
    </w:rPr>
  </w:style>
  <w:style w:type="paragraph" w:customStyle="1" w:styleId="16">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7">
    <w:name w:val="标头"/>
    <w:basedOn w:val="1"/>
    <w:uiPriority w:val="0"/>
    <w:rPr>
      <w:sz w:val="52"/>
      <w:u w:val="single"/>
    </w:rPr>
  </w:style>
  <w:style w:type="paragraph" w:styleId="18">
    <w:name w:val="No Spacing"/>
    <w:link w:val="21"/>
    <w:qFormat/>
    <w:uiPriority w:val="1"/>
    <w:rPr>
      <w:rFonts w:ascii="Calibri" w:hAnsi="Calibri"/>
      <w:sz w:val="22"/>
      <w:szCs w:val="22"/>
      <w:lang w:val="en-US" w:eastAsia="zh-CN" w:bidi="ar-SA"/>
    </w:rPr>
  </w:style>
  <w:style w:type="character" w:customStyle="1" w:styleId="19">
    <w:name w:val="页眉 Char"/>
    <w:link w:val="9"/>
    <w:uiPriority w:val="99"/>
    <w:rPr>
      <w:kern w:val="2"/>
      <w:sz w:val="18"/>
      <w:szCs w:val="18"/>
    </w:rPr>
  </w:style>
  <w:style w:type="character" w:customStyle="1" w:styleId="20">
    <w:name w:val="页脚 Char"/>
    <w:link w:val="8"/>
    <w:uiPriority w:val="99"/>
    <w:rPr>
      <w:kern w:val="2"/>
      <w:sz w:val="18"/>
      <w:szCs w:val="18"/>
    </w:rPr>
  </w:style>
  <w:style w:type="character" w:customStyle="1" w:styleId="21">
    <w:name w:val="无间隔 Char"/>
    <w:link w:val="18"/>
    <w:uiPriority w:val="1"/>
    <w:rPr>
      <w:rFonts w:ascii="Calibri" w:hAnsi="Calibri"/>
      <w:sz w:val="22"/>
      <w:szCs w:val="22"/>
      <w:lang w:val="en-US" w:eastAsia="zh-CN" w:bidi="ar-SA"/>
    </w:rPr>
  </w:style>
  <w:style w:type="character" w:customStyle="1" w:styleId="22">
    <w:name w:val="批注框文本 Char"/>
    <w:link w:val="7"/>
    <w:uiPriority w:val="0"/>
    <w:rPr>
      <w:kern w:val="2"/>
      <w:sz w:val="18"/>
      <w:szCs w:val="18"/>
    </w:rPr>
  </w:style>
  <w:style w:type="character" w:customStyle="1" w:styleId="23">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387</Words>
  <Characters>2209</Characters>
  <Lines>18</Lines>
  <Paragraphs>5</Paragraphs>
  <TotalTime>0</TotalTime>
  <ScaleCrop>false</ScaleCrop>
  <LinksUpToDate>false</LinksUpToDate>
  <CharactersWithSpaces>2591</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2018-03-29T08:45:00Z</cp:lastPrinted>
  <dcterms:modified xsi:type="dcterms:W3CDTF">2018-11-15T10:54:17Z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