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mc:AlternateContent>
          <mc:Choice Requires="wps">
            <w:drawing>
              <wp:anchor distT="0" distB="0" distL="114300" distR="114300" simplePos="0" relativeHeight="251656192"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1" name="文本框 8"/>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wps:txbx>
                      <wps:bodyPr upright="1"/>
                    </wps:wsp>
                  </a:graphicData>
                </a:graphic>
              </wp:anchor>
            </w:drawing>
          </mc:Choice>
          <mc:Fallback>
            <w:pict>
              <v:shape id="文本框 8" o:spid="_x0000_s1026" o:spt="202" type="#_x0000_t202" style="position:absolute;left:0pt;margin-left:-17.15pt;margin-top:7.4pt;height:90.75pt;width:506.25pt;z-index:251656192;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d+VU2AAAAAoBAAAPAAAAAAAAAAEAIAAAACIAAABk&#10;cnMvZG93bnJldi54bWxQSwECFAAUAAAACACHTuJAMZOsc5QBAAAKAwAADgAAAAAAAAABACAAAAAn&#10;AQAAZHJzL2Uyb0RvYy54bWxQSwUGAAAAAAYABgBZAQAALQUAAAAA&#10;">
                <v:fill on="f" focussize="0,0"/>
                <v:stroke on="f"/>
                <v:imagedata o:title=""/>
                <o:lock v:ext="edit" aspectratio="f"/>
                <v:textbo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v:textbox>
              </v:shape>
            </w:pict>
          </mc:Fallback>
        </mc:AlternateContent>
      </w:r>
    </w:p>
    <w:p/>
    <w:p/>
    <w:p/>
    <w:p/>
    <w:p/>
    <w:p/>
    <w:p/>
    <w:p>
      <w:pPr>
        <w:spacing w:line="600" w:lineRule="exact"/>
        <w:ind w:right="311" w:rightChars="148" w:firstLine="160" w:firstLineChars="50"/>
        <w:jc w:val="center"/>
        <w:rPr>
          <w:rFonts w:ascii="楷体_GB2312" w:eastAsia="楷体_GB2312"/>
          <w:sz w:val="32"/>
          <w:szCs w:val="32"/>
        </w:rPr>
      </w:pPr>
      <w:r>
        <w:rPr>
          <w:rFonts w:hint="eastAsia" w:ascii="仿宋_GB2312" w:eastAsia="仿宋_GB2312"/>
          <w:sz w:val="32"/>
          <w:szCs w:val="32"/>
        </w:rPr>
        <w:t>中发展党办〔2018〕5号</w:t>
      </w:r>
    </w:p>
    <w:p>
      <w:pPr>
        <w:jc w:val="center"/>
        <w:rPr>
          <w:color w:val="FF0000"/>
          <w:sz w:val="44"/>
          <w:szCs w:val="44"/>
        </w:rPr>
      </w:pPr>
      <w:r>
        <w:rPr>
          <w:sz w:val="44"/>
          <w:szCs w:val="44"/>
        </w:rPr>
        <mc:AlternateContent>
          <mc:Choice Requires="wps">
            <w:drawing>
              <wp:anchor distT="0" distB="0" distL="114300" distR="114300" simplePos="0" relativeHeight="251658240"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3" name="直线 13"/>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36.35pt;margin-top:16.4pt;height:0pt;width:207.75pt;z-index:251658240;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QYWYv0QEAAI8DAAAOAAAAAAAAAAEAIAAA&#10;ACUBAABkcnMvZTJvRG9jLnhtbFBLBQYAAAAABgAGAFkBAABoBQ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2" name="直线 10"/>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2.85pt;margin-top:16.4pt;height:0pt;width:208.45pt;z-index:251657216;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&#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EDUQ1gAAAAgBAAAPAAAAAAAAAAEAIAAAACIAAABk&#10;cnMvZG93bnJldi54bWxQSwECFAAUAAAACACHTuJAHltSk88BAACPAwAADgAAAAAAAAABACAAAAAl&#10;AQAAZHJzL2Uyb0RvYy54bWxQSwUGAAAAAAYABgBZAQAAZgUAAAAA&#10;">
                <v:fill on="f" focussize="0,0"/>
                <v:stroke weight="2pt" color="#FF0000" joinstyle="round"/>
                <v:imagedata o:title=""/>
                <o:lock v:ext="edit" aspectratio="f"/>
              </v:line>
            </w:pict>
          </mc:Fallback>
        </mc:AlternateContent>
      </w:r>
      <w:r>
        <w:rPr>
          <w:rFonts w:hint="eastAsia"/>
          <w:color w:val="FF0000"/>
          <w:sz w:val="44"/>
          <w:szCs w:val="44"/>
        </w:rPr>
        <w:t>★</w:t>
      </w:r>
    </w:p>
    <w:p>
      <w:pPr>
        <w:jc w:val="center"/>
        <w:rPr>
          <w:color w:val="FF0000"/>
          <w:sz w:val="44"/>
          <w:szCs w:val="44"/>
        </w:r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关于印发《中关村发展集团落实2018年市政府工作报告重点工作的指导方案</w:t>
      </w:r>
      <w:r>
        <w:rPr>
          <w:rFonts w:ascii="方正小标宋简体" w:hAnsi="Calibri" w:eastAsia="方正小标宋简体"/>
          <w:color w:val="000000"/>
          <w:sz w:val="44"/>
          <w:szCs w:val="44"/>
        </w:rPr>
        <w:t>》</w:t>
      </w:r>
      <w:r>
        <w:rPr>
          <w:rFonts w:hint="eastAsia" w:ascii="方正小标宋简体" w:hAnsi="Calibri" w:eastAsia="方正小标宋简体"/>
          <w:color w:val="000000"/>
          <w:sz w:val="44"/>
          <w:szCs w:val="44"/>
        </w:rPr>
        <w:t>的</w:t>
      </w:r>
      <w:r>
        <w:rPr>
          <w:rFonts w:ascii="方正小标宋简体" w:hAnsi="Calibri" w:eastAsia="方正小标宋简体"/>
          <w:color w:val="000000"/>
          <w:sz w:val="44"/>
          <w:szCs w:val="44"/>
        </w:rPr>
        <w:t>通知</w:t>
      </w:r>
    </w:p>
    <w:p>
      <w:pPr>
        <w:widowControl/>
        <w:spacing w:line="600" w:lineRule="exact"/>
        <w:jc w:val="left"/>
        <w:rPr>
          <w:rFonts w:ascii="仿宋_GB2312" w:hAnsi="华文仿宋" w:eastAsia="仿宋_GB2312"/>
          <w:color w:val="000000"/>
          <w:sz w:val="32"/>
          <w:szCs w:val="32"/>
        </w:rPr>
      </w:pPr>
    </w:p>
    <w:p>
      <w:pPr>
        <w:widowControl/>
        <w:spacing w:line="600" w:lineRule="exact"/>
        <w:jc w:val="left"/>
        <w:rPr>
          <w:rFonts w:ascii="楷体" w:hAnsi="楷体" w:eastAsia="楷体"/>
          <w:color w:val="000000"/>
          <w:sz w:val="32"/>
          <w:szCs w:val="32"/>
        </w:rPr>
      </w:pPr>
      <w:r>
        <w:rPr>
          <w:rFonts w:hint="eastAsia" w:ascii="楷体" w:hAnsi="楷体" w:eastAsia="楷体"/>
          <w:color w:val="000000"/>
          <w:sz w:val="32"/>
          <w:szCs w:val="32"/>
        </w:rPr>
        <w:t>集团各子公司、总部各部（室）：</w:t>
      </w:r>
    </w:p>
    <w:p>
      <w:pPr>
        <w:widowControl/>
        <w:spacing w:line="600" w:lineRule="exact"/>
        <w:ind w:firstLine="640" w:firstLineChars="200"/>
        <w:jc w:val="left"/>
        <w:rPr>
          <w:rFonts w:ascii="楷体" w:hAnsi="楷体" w:eastAsia="楷体"/>
          <w:color w:val="000000"/>
          <w:sz w:val="32"/>
          <w:szCs w:val="32"/>
        </w:rPr>
      </w:pPr>
      <w:r>
        <w:rPr>
          <w:rFonts w:hint="eastAsia" w:ascii="楷体" w:hAnsi="楷体" w:eastAsia="楷体"/>
          <w:color w:val="000000"/>
          <w:sz w:val="32"/>
          <w:szCs w:val="32"/>
        </w:rPr>
        <w:t>《中关村发展集团落实2018年市政府工作报告重点工作的指导方案》经集团党委2018年第8次会议审议通过，现印发给你们，请认真贯彻落实。</w:t>
      </w:r>
    </w:p>
    <w:p>
      <w:pPr>
        <w:widowControl/>
        <w:spacing w:line="600" w:lineRule="exact"/>
        <w:ind w:firstLine="640" w:firstLineChars="200"/>
        <w:jc w:val="left"/>
        <w:rPr>
          <w:rFonts w:ascii="楷体" w:hAnsi="楷体" w:eastAsia="楷体"/>
          <w:color w:val="000000"/>
          <w:sz w:val="32"/>
          <w:szCs w:val="32"/>
        </w:rPr>
      </w:pPr>
    </w:p>
    <w:p>
      <w:pPr>
        <w:widowControl/>
        <w:spacing w:line="600" w:lineRule="exact"/>
        <w:jc w:val="left"/>
        <w:rPr>
          <w:rFonts w:ascii="楷体" w:hAnsi="楷体" w:eastAsia="楷体"/>
          <w:color w:val="000000"/>
          <w:sz w:val="44"/>
          <w:szCs w:val="44"/>
        </w:rPr>
      </w:pPr>
    </w:p>
    <w:p>
      <w:pPr>
        <w:spacing w:line="600" w:lineRule="exact"/>
        <w:rPr>
          <w:rFonts w:ascii="楷体" w:hAnsi="楷体" w:eastAsia="楷体"/>
          <w:sz w:val="32"/>
          <w:szCs w:val="32"/>
        </w:rPr>
      </w:pPr>
    </w:p>
    <w:p>
      <w:pPr>
        <w:spacing w:line="600" w:lineRule="exact"/>
        <w:ind w:firstLine="4480" w:firstLineChars="1400"/>
        <w:rPr>
          <w:rFonts w:ascii="楷体" w:hAnsi="楷体" w:eastAsia="楷体"/>
          <w:sz w:val="32"/>
          <w:szCs w:val="32"/>
        </w:rPr>
      </w:pPr>
      <w:r>
        <w:rPr>
          <w:rFonts w:hint="eastAsia" w:ascii="楷体" w:hAnsi="楷体" w:eastAsia="楷体"/>
          <w:sz w:val="32"/>
          <w:szCs w:val="32"/>
        </w:rPr>
        <w:t>中关村发展集团党委办公室</w:t>
      </w:r>
    </w:p>
    <w:p>
      <w:pPr>
        <w:spacing w:line="600" w:lineRule="exact"/>
        <w:ind w:firstLine="5120" w:firstLineChars="1600"/>
        <w:rPr>
          <w:rFonts w:ascii="楷体" w:hAnsi="楷体" w:eastAsia="楷体"/>
          <w:sz w:val="32"/>
          <w:szCs w:val="32"/>
        </w:rPr>
      </w:pPr>
      <w:r>
        <w:rPr>
          <w:rFonts w:hint="eastAsia" w:ascii="楷体" w:hAnsi="楷体" w:eastAsia="楷体"/>
          <w:sz w:val="32"/>
          <w:szCs w:val="32"/>
        </w:rPr>
        <w:t>2018年4月25日</w:t>
      </w:r>
    </w:p>
    <w:p>
      <w:pPr>
        <w:widowControl/>
        <w:jc w:val="left"/>
        <w:rPr>
          <w:rFonts w:ascii="方正小标宋简体" w:hAnsi="Cambria" w:eastAsia="方正小标宋简体"/>
          <w:bCs/>
          <w:sz w:val="44"/>
          <w:szCs w:val="44"/>
        </w:rPr>
      </w:pPr>
      <w:r>
        <w:rPr>
          <w:rFonts w:ascii="方正小标宋简体" w:eastAsia="方正小标宋简体"/>
          <w:b/>
          <w:sz w:val="44"/>
          <w:szCs w:val="44"/>
        </w:rPr>
        <w:br w:type="page"/>
      </w:r>
    </w:p>
    <w:p>
      <w:pPr>
        <w:pStyle w:val="11"/>
        <w:adjustRightInd w:val="0"/>
        <w:snapToGrid w:val="0"/>
        <w:spacing w:before="0" w:beforeAutospacing="0" w:after="0" w:afterAutospacing="0"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w:t>
      </w:r>
    </w:p>
    <w:p>
      <w:pPr>
        <w:pStyle w:val="11"/>
        <w:adjustRightInd w:val="0"/>
        <w:snapToGrid w:val="0"/>
        <w:spacing w:before="0" w:beforeAutospacing="0" w:after="0" w:afterAutospacing="0" w:line="600" w:lineRule="exact"/>
        <w:jc w:val="center"/>
        <w:rPr>
          <w:rFonts w:ascii="方正小标宋简体" w:eastAsia="方正小标宋简体"/>
          <w:sz w:val="44"/>
          <w:szCs w:val="44"/>
        </w:rPr>
      </w:pPr>
      <w:r>
        <w:rPr>
          <w:rFonts w:hint="eastAsia" w:ascii="方正小标宋简体" w:eastAsia="方正小标宋简体"/>
          <w:sz w:val="44"/>
          <w:szCs w:val="44"/>
        </w:rPr>
        <w:t>落实2018年市政府工作报告重点工作的</w:t>
      </w:r>
    </w:p>
    <w:p>
      <w:pPr>
        <w:pStyle w:val="11"/>
        <w:adjustRightInd w:val="0"/>
        <w:snapToGrid w:val="0"/>
        <w:spacing w:before="0" w:beforeAutospacing="0" w:after="0" w:afterAutospacing="0" w:line="600" w:lineRule="exact"/>
        <w:jc w:val="center"/>
        <w:rPr>
          <w:rFonts w:ascii="方正小标宋简体" w:eastAsia="方正小标宋简体"/>
          <w:sz w:val="44"/>
          <w:szCs w:val="44"/>
        </w:rPr>
      </w:pPr>
      <w:r>
        <w:rPr>
          <w:rFonts w:hint="eastAsia" w:ascii="方正小标宋简体" w:eastAsia="方正小标宋简体"/>
          <w:sz w:val="44"/>
          <w:szCs w:val="44"/>
        </w:rPr>
        <w:t>指导方案</w:t>
      </w:r>
    </w:p>
    <w:p>
      <w:pPr>
        <w:adjustRightInd w:val="0"/>
        <w:snapToGrid w:val="0"/>
        <w:spacing w:line="600" w:lineRule="exact"/>
        <w:ind w:firstLine="640" w:firstLineChars="200"/>
        <w:rPr>
          <w:rFonts w:ascii="仿宋_GB2312" w:eastAsia="仿宋_GB2312"/>
          <w:sz w:val="32"/>
          <w:szCs w:val="32"/>
        </w:rPr>
      </w:pPr>
    </w:p>
    <w:p>
      <w:pPr>
        <w:adjustRightInd w:val="0"/>
        <w:snapToGrid w:val="0"/>
        <w:spacing w:line="600" w:lineRule="exact"/>
        <w:ind w:firstLine="640" w:firstLineChars="200"/>
        <w:outlineLvl w:val="0"/>
        <w:rPr>
          <w:rFonts w:ascii="仿宋" w:hAnsi="仿宋" w:eastAsia="仿宋" w:cs="仿宋_GB2312"/>
          <w:sz w:val="32"/>
          <w:szCs w:val="32"/>
        </w:rPr>
      </w:pPr>
      <w:r>
        <w:rPr>
          <w:rFonts w:hint="eastAsia" w:ascii="仿宋" w:hAnsi="仿宋" w:eastAsia="仿宋"/>
          <w:sz w:val="32"/>
          <w:szCs w:val="32"/>
        </w:rPr>
        <w:t>2018年北京市“两会”审议通过的《政府工作报告》，明确了全市经济社会发展目标任务，是集团推进各项工作的主要依据、政策保障、行动指南，也是开展自我评价的基本遵循。2月22日，北京市政府印发《2018年市政府工作报告重点工作分工方案》（〔2018〕1号，简称《政府分工方案》），要求各单位加强组织领导、细化工作方案、强化督促检查，确保圆满完成各项目标任务。为深入贯彻落实《政府分工方案》，特提出《中关村发展集团落实2018年市政府工作报告重点工作的指导方案》，希望各单位牢固树立服务社会、服务政府的“两个服务”宗旨，</w:t>
      </w:r>
      <w:r>
        <w:rPr>
          <w:rFonts w:hint="eastAsia" w:ascii="仿宋" w:hAnsi="仿宋" w:eastAsia="仿宋" w:cs="仿宋_GB2312"/>
          <w:sz w:val="32"/>
          <w:szCs w:val="32"/>
        </w:rPr>
        <w:t>充分了解政策、对接相关政府部门，运用市场化手段做好政府与市场的链接，切实发挥好集团作为市政府整合创新资源的市场化平台作用。具体任务如下：</w:t>
      </w:r>
    </w:p>
    <w:p>
      <w:pPr>
        <w:adjustRightInd w:val="0"/>
        <w:snapToGrid w:val="0"/>
        <w:spacing w:line="600" w:lineRule="exact"/>
        <w:ind w:firstLine="640" w:firstLineChars="200"/>
        <w:outlineLvl w:val="0"/>
        <w:rPr>
          <w:rFonts w:ascii="黑体" w:hAnsi="黑体" w:eastAsia="黑体"/>
          <w:sz w:val="32"/>
          <w:szCs w:val="32"/>
        </w:rPr>
      </w:pPr>
      <w:r>
        <w:rPr>
          <w:rFonts w:hint="eastAsia" w:ascii="黑体" w:hAnsi="黑体" w:eastAsia="黑体"/>
          <w:sz w:val="32"/>
          <w:szCs w:val="32"/>
        </w:rPr>
        <w:t>一、三城一区与一区多园方面</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1.《政府分工方案》第9、10、13、14、15、16、26、49、64条:</w:t>
      </w:r>
      <w:r>
        <w:rPr>
          <w:rFonts w:hint="eastAsia" w:ascii="仿宋_GB2312" w:eastAsia="仿宋_GB2312"/>
          <w:sz w:val="32"/>
          <w:szCs w:val="32"/>
        </w:rPr>
        <w:t>实行全城规划总量管控，划定城市开发边界和生态控制，严控建设用地规模，实现生态用地动态增长。建立各区城乡建设用地增减挂钩机制，严格落实拆建比、拆占比，适度提高居住用地及其配套用地比重，推动职住平衡；建立市区规划分级管理体制，市级层面负责总体管控和制定政策导则标准，区级层面负责组织区域</w:t>
      </w:r>
      <w:r>
        <w:rPr>
          <w:rFonts w:hint="eastAsia" w:ascii="仿宋_GB2312" w:hAnsi="仿宋_GB2312" w:eastAsia="仿宋_GB2312" w:cs="仿宋_GB2312"/>
          <w:sz w:val="32"/>
          <w:szCs w:val="32"/>
        </w:rPr>
        <w:t>控规编制和规划任务落地；按照“一核一主一副、两轴多点一区”城市空间布局</w:t>
      </w:r>
      <w:r>
        <w:rPr>
          <w:rFonts w:hint="eastAsia" w:ascii="仿宋_GB2312" w:eastAsia="仿宋_GB2312"/>
          <w:sz w:val="32"/>
          <w:szCs w:val="32"/>
        </w:rPr>
        <w:t>，编制分区规划实施要点和区域控制性详细规划，实现多规合一、全域管控。同步开展物流、公共服务、地下空间和人防设施、市政基础设施、绿地系统等专项规划；编制核心区控规，优化中心城区空间布局，编制统筹腾退空间再利用规划；高质量完成副中心各项规划，抓紧编制顺义、大兴、亦庄、昌平、房山等新城控制性详细规划；编制浅山区保护规划；制定城市有机更新办法，出台公共空间改造提升三年行动方案；制定实施新的城市南部地区发展三年行动计划，承接核心区功能疏解，推动高精尖产业发展；编制完成“三城一区”规划，促进协同联动发展。</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集团落实任务：</w:t>
      </w:r>
      <w:r>
        <w:rPr>
          <w:rFonts w:hint="eastAsia" w:ascii="仿宋_GB2312" w:eastAsia="仿宋_GB2312"/>
          <w:sz w:val="32"/>
          <w:szCs w:val="32"/>
        </w:rPr>
        <w:t>落实新一版北京城市总体规划要求，积极参与“三城一区”规划编制，对接大兴、昌平、房山等区域控规以及物流、公共服务、基础设施、绿地系统、腾退空间再利用、城市有机更新、城南行动计划等专项规划和行动方案，做好园区“六位一体”规划工作，增强园区发展与周边区域发展的整体性、协调性，提高科学城与园区规划建设管理水平。</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2.《政府分工方案》第60条：</w:t>
      </w:r>
      <w:r>
        <w:rPr>
          <w:rFonts w:hint="eastAsia" w:ascii="仿宋_GB2312" w:eastAsia="仿宋_GB2312"/>
          <w:sz w:val="32"/>
          <w:szCs w:val="32"/>
        </w:rPr>
        <w:t>充分发挥北京推进科技创新中心建设办公室统筹协调作用，组织实施新一轮重点任务和项目。</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集团落实任务：</w:t>
      </w:r>
      <w:r>
        <w:rPr>
          <w:rFonts w:hint="eastAsia" w:ascii="仿宋_GB2312" w:eastAsia="仿宋_GB2312"/>
          <w:sz w:val="32"/>
          <w:szCs w:val="32"/>
        </w:rPr>
        <w:t>按照北京推进科技创新中心建设办公室的统筹安排，发挥好成员单位作用，对接新一轮重点任务及项目，做好协调推进工作。</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3.《政府分工方案》第66条：</w:t>
      </w:r>
      <w:r>
        <w:rPr>
          <w:rFonts w:hint="eastAsia" w:ascii="仿宋_GB2312" w:eastAsia="仿宋_GB2312"/>
          <w:sz w:val="32"/>
          <w:szCs w:val="32"/>
        </w:rPr>
        <w:t>怀柔科学城要突破，建立国际化、开放式管理运行新机制，深化综合性国家科学中心建设，开工建设高能同步辐射光源等大科学装置，引导民间资本、社会力量、国际资源广泛参与，促进科研基础设施共建共享，构建从基础设施、基础研究、应用研究、成果转化到高精尖产业发展的创新链。</w:t>
      </w:r>
    </w:p>
    <w:p>
      <w:pPr>
        <w:adjustRightInd w:val="0"/>
        <w:snapToGrid w:val="0"/>
        <w:spacing w:line="600" w:lineRule="exact"/>
        <w:ind w:firstLine="643" w:firstLineChars="200"/>
        <w:rPr>
          <w:rFonts w:ascii="仿宋_GB2312" w:eastAsia="仿宋_GB2312"/>
          <w:sz w:val="32"/>
          <w:szCs w:val="32"/>
        </w:rPr>
      </w:pPr>
      <w:r>
        <w:rPr>
          <w:rFonts w:hint="eastAsia" w:ascii="仿宋_GB2312" w:eastAsia="仿宋_GB2312"/>
          <w:b/>
          <w:sz w:val="32"/>
          <w:szCs w:val="32"/>
        </w:rPr>
        <w:t>集团落实任务：</w:t>
      </w:r>
      <w:r>
        <w:rPr>
          <w:rFonts w:hint="eastAsia" w:ascii="仿宋_GB2312" w:eastAsia="仿宋_GB2312"/>
          <w:sz w:val="32"/>
          <w:szCs w:val="32"/>
        </w:rPr>
        <w:t>按照“怀柔科学城要突破”的要求，积极探索国际化、开放式管理运行新机制，推动构建从基础设施、基础研究、应用研究、成果转化到高精尖产业发展的创新链。重点是高起点做好规划编制，推进土地一级开发，保障高能同步辐射光源等重点项目建设，确保三个交叉平台项目、中科院纳米能源所工程竣工；营造环境精准吸引人才，做好学校、公寓等配套设施建设，打造对科技人才、青年人才有吸引力的的高品质生活环境；提前谋划科技成果转化，争取在纳米能源技术转化上率先形成案例。</w:t>
      </w:r>
    </w:p>
    <w:p>
      <w:pPr>
        <w:adjustRightInd w:val="0"/>
        <w:snapToGrid w:val="0"/>
        <w:spacing w:line="600" w:lineRule="exact"/>
        <w:ind w:firstLine="643" w:firstLineChars="200"/>
        <w:rPr>
          <w:rFonts w:ascii="仿宋" w:hAnsi="仿宋" w:eastAsia="仿宋"/>
          <w:sz w:val="32"/>
          <w:szCs w:val="32"/>
        </w:rPr>
      </w:pPr>
      <w:r>
        <w:rPr>
          <w:rFonts w:hint="eastAsia" w:ascii="仿宋_GB2312" w:eastAsia="仿宋_GB2312"/>
          <w:b/>
          <w:sz w:val="32"/>
          <w:szCs w:val="32"/>
        </w:rPr>
        <w:t>4.《政府分工方案》第65、72、85条：</w:t>
      </w:r>
      <w:r>
        <w:rPr>
          <w:rFonts w:hint="eastAsia" w:ascii="仿宋_GB2312" w:eastAsia="仿宋_GB2312"/>
          <w:sz w:val="32"/>
          <w:szCs w:val="32"/>
        </w:rPr>
        <w:t>中关村科学城要聚焦，以建设具有全球影响力的原始创新策源地和自主创新主阵地为目标，着力提高对全球创新资源的开放和聚集能力，着力补齐</w:t>
      </w:r>
      <w:r>
        <w:rPr>
          <w:rFonts w:hint="eastAsia" w:ascii="仿宋" w:hAnsi="仿宋" w:eastAsia="仿宋"/>
          <w:sz w:val="32"/>
          <w:szCs w:val="32"/>
        </w:rPr>
        <w:t>优质创新要素，着力促进不同创新群体深度融合，通过优化空间布局、打造创新型服务政府、强化城市创新形象，营造国际一流的创新创业生态，在建设全国科技创新中心中发挥带动引领作用；深化中关村人才管理改革，在朝阳望京、中关村大街、未来科学城和新首钢试点建设国际人才社区；实施北京大数据行动计划，建立城市大数据平台。</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聚焦中关村科学城，以建设具有全球影响力的原始创新策源地和自主创新主阵地为目标，建用并举，推动中关村科学城空间优化利用和重点园区空间布局优化，补齐优质创新要素，提高对全球创新资源的开放和聚集能力，营造国际一流的创新创业生态。重点提升中关村生命园品质，加快软件园智慧园区建设，依托集成电路设计园打造世界级的集成电路“芯生态”，支持中关村大街试点建设国际人才社区。</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5.《政府分工方案》第50、67、68条：</w:t>
      </w:r>
      <w:r>
        <w:rPr>
          <w:rFonts w:hint="eastAsia" w:ascii="仿宋" w:hAnsi="仿宋" w:eastAsia="仿宋"/>
          <w:sz w:val="32"/>
          <w:szCs w:val="32"/>
        </w:rPr>
        <w:t>抓好新首钢高端产业综合服务区建设；未来科学城要搞活，积极引入民营研发机构、创新企业、高校等多元主体；北京经济技术开发区要优化提升，建立与三大科学城的对接转化机制。</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对接未来科学城、北京经济技术开发区、新首钢高端产业服务区，探索合作机制，拓展潜在发展资源。</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6.《政府分工方案》第74、77条：</w:t>
      </w:r>
      <w:r>
        <w:rPr>
          <w:rFonts w:hint="eastAsia" w:ascii="仿宋" w:hAnsi="仿宋" w:eastAsia="仿宋"/>
          <w:sz w:val="32"/>
          <w:szCs w:val="32"/>
        </w:rPr>
        <w:t>统筹“一区多园”发展，加强对分园创新发展的考核评价和产业定位引导，改革完善分园管理运行机制；设立产出效益、产业人口密度、研发投入强度、资源环境约束等产业指导标准。</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按照统筹“一区多园”发展的要求，提高分园运营管理水平。积极对接分园创新发展的考核评价、产业定位引导政策及管理运行机制改革，做好产出效益、产业人口密度、研发投入强度、资源环境约束等产业指导标准的对接，建立集团下属园区相关评价指标体系，依托信息化二期建设，做好指标统计分析和产业组织引导工作。加强与集团股权投资、金融等业务协同，深入践行经营园区理念。以党建为引领，推进区企共管企业转型发展，提升经营能力和服务科技创新的能力。</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7.《政府分工方案》第77条：</w:t>
      </w:r>
      <w:r>
        <w:rPr>
          <w:rFonts w:hint="eastAsia" w:ascii="仿宋" w:hAnsi="仿宋" w:eastAsia="仿宋"/>
          <w:sz w:val="32"/>
          <w:szCs w:val="32"/>
        </w:rPr>
        <w:t>落实高精尖产业用地用房政策，实施鼓励企业加大研发投入、上市融资、产业投资、人才引进、外资开放等一揽子政策措施。</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深入研究高精尖产业用地用房政策，加强与政府部门沟通，做好成本测算，做到可持续发展，力争在1-2个区取得政策支持突破。</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8.《政府分工方案》第46条：</w:t>
      </w:r>
      <w:r>
        <w:rPr>
          <w:rFonts w:hint="eastAsia" w:ascii="仿宋" w:hAnsi="仿宋" w:eastAsia="仿宋"/>
          <w:sz w:val="32"/>
          <w:szCs w:val="32"/>
        </w:rPr>
        <w:t>以“三块地”为重点深化农村改革，完善承包地“三权”分置制度，统筹推进集体经菅性建设用地入市和征地制度改革，持续推进乡镇统筹利用集体产业用地试点，规范引导闲置农宅盘活利用。</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对接集体经营性建设用地入市和征地制度改革相关政策，研究推进怀柔科学城集体用地公租房项目，同时为集团其他相关项目做好前期探索。</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9.《政府分工方案》第61条：</w:t>
      </w:r>
      <w:r>
        <w:rPr>
          <w:rFonts w:hint="eastAsia" w:ascii="仿宋" w:hAnsi="仿宋" w:eastAsia="仿宋"/>
          <w:sz w:val="32"/>
          <w:szCs w:val="32"/>
        </w:rPr>
        <w:t>建设好北京量子信息科学研究院、北京脑科学与类脑研究中心。推动国家重大科技基础设施布局建设和发展，承接“航空发动机”、“天地一体化信息网络”等重大项目。</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按照北京市的安排部署，积极对接国家重大科技基础设施布局，做好北京量子信息科学研究院、北京脑科学与类脑研究中心等重大项目的落地服务工作。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10.《政府分工方案》第63条：</w:t>
      </w:r>
      <w:r>
        <w:rPr>
          <w:rFonts w:hint="eastAsia" w:ascii="仿宋" w:hAnsi="仿宋" w:eastAsia="仿宋"/>
          <w:sz w:val="32"/>
          <w:szCs w:val="32"/>
        </w:rPr>
        <w:t>加快国家技术标准创新基地建设，增强质量技术创新能力。</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按照国家技术标准创新基地建设要求，落实《国家技术标准创新基地（中关村）建设办法》，组织园区内企业、产业联盟、社会团体和科研院所参与中关村标准基地建设，充分发挥中关村示范区资源优势，推动形成一批团体标准和联盟标准，支持示范区打造技术研发、标准创制、标准实施与推广、创新成果产业化等的标准化生态圈。</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11.《政府分工方案》第162、163、164、172、173、176条：</w:t>
      </w:r>
      <w:r>
        <w:rPr>
          <w:rFonts w:hint="eastAsia" w:ascii="仿宋" w:hAnsi="仿宋" w:eastAsia="仿宋"/>
          <w:sz w:val="32"/>
          <w:szCs w:val="32"/>
        </w:rPr>
        <w:t>落实改革优化营商环境实施方案，对各区实行营商环境评价；深化“放管服”改革，做好国务院取消、下放行政审批事项的落实衔接工作；强化企业投资主体地位，备案制投资项目取消所有前置条件；着力降低实体经济成本，继续清理涉企收费；落实税收优惠政策，优化纳税服务。</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落实改革优化营商环境实施方案，及时了解各区营商环境评价、“放管服”改革、“多证合一”改革、项目审批权限下放、落实税收优惠政策等营商环境优化措施，做好招商选资、项目落地的宣传解读，积极对接相关部门，为园区入驻企业提供高效便捷服务。</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12.《政府分工方案》第120、129、133、154条：</w:t>
      </w:r>
      <w:r>
        <w:rPr>
          <w:rFonts w:hint="eastAsia" w:ascii="仿宋" w:hAnsi="仿宋" w:eastAsia="仿宋"/>
          <w:sz w:val="32"/>
          <w:szCs w:val="32"/>
        </w:rPr>
        <w:t>继续实施文化惠民工程，完善公共图书、文化活动、公益演出等服务配送体系；在重点新城和生态涵养区启动新建一批示范性学校，加大对学区制改革、集团化办学和乡村学校的支持力度，进一步缩小城乡、区域、校际差距；完善分级诊疗制度，每个区至少建设一个紧密型医联体，加强基层医疗卫生服务能力建设；实施社区基本公共服务“十大覆盖工程”，建设200个“社区之家”示范点，实现“一刻钟社区服务圈”覆盖90%以上的城市社区。</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提升城市品质、保障和改善民生、文化惠民工程等公共服务政策，争取医疗、卫生、教育、文化等公共服务资源和配套服务支持，提升科学城和园区配套生活环境品质、公共服务品质，为企业及科研人员提供高品质服务，推动产城融合。</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13.《政府分工方案》第182、184、187条：</w:t>
      </w:r>
      <w:r>
        <w:rPr>
          <w:rFonts w:hint="eastAsia" w:ascii="仿宋" w:hAnsi="仿宋" w:eastAsia="仿宋"/>
          <w:sz w:val="32"/>
          <w:szCs w:val="32"/>
        </w:rPr>
        <w:t>实行更加积极主动的开放战略，制定国际化服务环境和服务能力提升计划，营造法治化、国际化、便利化的发展环境；全面完成服务业扩大开放两轮试点任务，抓好试点示范区和示范项目建设。</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落实对外开放战略，对接国际化服务环境和服务能力提升计划、服务业扩大开放两轮试点任务、外籍人员就学就医便利化等政策措施，营造良好的国际化氛围，提升园区国际化发展水平。</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14.《政府分工方案》第159条：</w:t>
      </w:r>
      <w:r>
        <w:rPr>
          <w:rFonts w:hint="eastAsia" w:ascii="仿宋" w:hAnsi="仿宋" w:eastAsia="仿宋"/>
          <w:sz w:val="32"/>
          <w:szCs w:val="32"/>
        </w:rPr>
        <w:t xml:space="preserve">严格落实安全生产责任制，深入开展城市安全隐患治理三年行动计划，强化消防安全、建筑施工、道路交通等重点领域整治，坚决遏制重特大安全事故。  </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严格落实安全生产责任制，认真落实城市安全隐患治理三年行动计划，定期对所属园区进行安全生产大检查，坚决遏制重特大安全事故。</w:t>
      </w:r>
    </w:p>
    <w:p>
      <w:pPr>
        <w:adjustRightInd w:val="0"/>
        <w:snapToGrid w:val="0"/>
        <w:spacing w:line="600" w:lineRule="exact"/>
        <w:ind w:firstLine="640" w:firstLineChars="200"/>
        <w:outlineLvl w:val="0"/>
        <w:rPr>
          <w:rFonts w:ascii="黑体" w:hAnsi="黑体" w:eastAsia="黑体"/>
          <w:sz w:val="32"/>
          <w:szCs w:val="32"/>
        </w:rPr>
      </w:pPr>
      <w:r>
        <w:rPr>
          <w:rFonts w:hint="eastAsia" w:ascii="黑体" w:hAnsi="黑体" w:eastAsia="黑体"/>
          <w:sz w:val="32"/>
          <w:szCs w:val="32"/>
        </w:rPr>
        <w:t>二、科技成果转化与产业组织方面</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15.《政府分工方案》第17、61、62、75、79、83条：</w:t>
      </w:r>
      <w:r>
        <w:rPr>
          <w:rFonts w:hint="eastAsia" w:ascii="仿宋" w:hAnsi="仿宋" w:eastAsia="仿宋"/>
          <w:sz w:val="32"/>
          <w:szCs w:val="32"/>
        </w:rPr>
        <w:t>落实新一代信息技术等10个高精尖产业发展指导意见；修订细化新增产业禁止和限制目录；强化企业创新主体地位，在石墨烯、新能源汽车、智能电网等领域，新建一批国家技术创新中心、国家制造业创新中心；建设好高校“高精尖创新中心”等创新平台；全面加强科技成果转化统筹协调与服务平台建设，与在京高校、科研院所建立深层次对接机制，做好科技成果在京落地承接服务工作。以开放共享为导向，支持高校与研发机构建设联合创新平台、协同创新研究院；积极参与国际大科学计划和大科学工程，增强北京在全球科技竞争中的影响力和话语权。</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高精尖经济结构产业政策，做大产业服务平台，推动一批有影响力的高精尖项目成果转化。重点做好高精尖产业研究，密切关注国际大科学计划和大科学工程，积极对接石墨烯、新能源汽车、智能电网等领域的国家技术创新中心、国家制造业创新中心，加强与在京高校、科研院所、高校“高精尖创新中心”等创新平台的深层次合作，参与联合创新平台、协同创新研究院等建设，建立“1+N”平台机制，积极跟进相关成果研究，发现和挖掘一批科技成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16.《政府分工方案》第80条：</w:t>
      </w:r>
      <w:r>
        <w:rPr>
          <w:rFonts w:hint="eastAsia" w:ascii="仿宋" w:hAnsi="仿宋" w:eastAsia="仿宋"/>
          <w:sz w:val="32"/>
          <w:szCs w:val="32"/>
        </w:rPr>
        <w:t>发挥科技创新基金引导作用，在科技领域积极推进政府和社会资本合作，鼓励多方资源更多投向基础研究和战略硬技术，促进科学家、企业家、投资人等深度合作。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发挥科技创新基金引导作用，积极推进政府和社会资本合作，鼓励多方资源更多投向基础研究和战略硬技术。重点是重构集团基金系，统筹和加强股权管理，做好北京科技创新基金的子基金储备和设立工作。同时，积极参与北京科技创新基金工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17.《政府分工方案》第82条：</w:t>
      </w:r>
      <w:r>
        <w:rPr>
          <w:rFonts w:hint="eastAsia" w:ascii="仿宋" w:hAnsi="仿宋" w:eastAsia="仿宋"/>
          <w:sz w:val="32"/>
          <w:szCs w:val="32"/>
        </w:rPr>
        <w:t>建设中国（北京）知识产权保护中心，深化与世界知识产权组织的合作，鼓励企业加快海外知识产权布局，参与国际标准研究和制定。</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发挥好知识产权公司功能性平台作用，助力建设中国（北京）知识产权保护中心，推动高价值知识产权项目成果转化。加强与世界知识产权组织的合作，主动争取知识产权方面相关政策支持和先行先试，通过服务、投资等多手段为高科技企业提供知识产权服务。</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18.《政府分工方案》第85、90、93、99、104、106、108、109条：</w:t>
      </w:r>
      <w:r>
        <w:rPr>
          <w:rFonts w:hint="eastAsia" w:ascii="仿宋" w:hAnsi="仿宋" w:eastAsia="仿宋"/>
          <w:sz w:val="32"/>
          <w:szCs w:val="32"/>
        </w:rPr>
        <w:t>充分运用信息化、智能化手段加强城市管理；制定实施新一轮大气污染防治行动计划；实施环保技改工程和污染物达标排放行动计划，全面治理挥发性有机物污染；加强智能交通系统建设，推进公共交通调度智能化；推进节水型社会建设；落实污水治理和再生水利用第二个三年行动方案，完成84段黑臭水治理任务，推进海绵城市建设；建设土壤环境监测网络，完成全市农用地土壤污染详查，推进污染地块风险防控与治理；开展生态治理与修复。</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组织集团投资、金融服务、园区入驻企业参与北京“大城市病”治理工作，积极对接新一轮大气污染防治行动计划、智能化城市管理、智能交通系统建设、环保技改工程、农业高效节水、黑臭水体治理、土壤环境监测与污染治理、生态修复等工作，帮助企业的新技术、新产品在相关领域进行示范应用和推广。</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19.《政府分工方案》第78条：</w:t>
      </w:r>
      <w:r>
        <w:rPr>
          <w:rFonts w:hint="eastAsia" w:ascii="仿宋" w:hAnsi="仿宋" w:eastAsia="仿宋"/>
          <w:sz w:val="32"/>
          <w:szCs w:val="32"/>
        </w:rPr>
        <w:t>通过统筹产业布局，推动全市产业向重点园区聚集、园区产业向主导产业聚集、主导产业向创新型企业聚集。</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统筹产业布局，组织推动创新要素、高精尖产业向重点园区聚集，打造“种子-苗圃-大田”的项目加速孵化服务链和股权投资产业链，形成空间与产业的融合互动发展。</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20.《政府分工方案》第124条：</w:t>
      </w:r>
      <w:r>
        <w:rPr>
          <w:rFonts w:hint="eastAsia" w:ascii="仿宋" w:hAnsi="仿宋" w:eastAsia="仿宋"/>
          <w:sz w:val="32"/>
          <w:szCs w:val="32"/>
        </w:rPr>
        <w:t>推动文化与科技、金融等相关产业融合发展，设立文化创新发展基金，积极培育新型文化业态。</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支持文化与科技融合发展，对接文化创新发展基金，投资支持文化科技融合项目，组织和引导高科技企业用新技术提升文化领域科技含量，支持文化科技融合新业态、新产品创新。</w:t>
      </w:r>
    </w:p>
    <w:p>
      <w:pPr>
        <w:adjustRightInd w:val="0"/>
        <w:snapToGrid w:val="0"/>
        <w:spacing w:line="600" w:lineRule="exact"/>
        <w:ind w:firstLine="640" w:firstLineChars="200"/>
        <w:outlineLvl w:val="0"/>
        <w:rPr>
          <w:rFonts w:ascii="黑体" w:hAnsi="黑体" w:eastAsia="黑体"/>
          <w:sz w:val="32"/>
          <w:szCs w:val="32"/>
        </w:rPr>
      </w:pPr>
      <w:r>
        <w:rPr>
          <w:rFonts w:hint="eastAsia" w:ascii="黑体" w:hAnsi="黑体" w:eastAsia="黑体"/>
          <w:sz w:val="32"/>
          <w:szCs w:val="32"/>
        </w:rPr>
        <w:t>三、双创服务方面</w:t>
      </w:r>
    </w:p>
    <w:p>
      <w:pPr>
        <w:adjustRightInd w:val="0"/>
        <w:snapToGrid w:val="0"/>
        <w:spacing w:line="600" w:lineRule="exact"/>
        <w:ind w:firstLine="630"/>
        <w:rPr>
          <w:rFonts w:ascii="仿宋" w:hAnsi="仿宋" w:eastAsia="仿宋"/>
          <w:sz w:val="32"/>
          <w:szCs w:val="32"/>
        </w:rPr>
      </w:pPr>
      <w:r>
        <w:rPr>
          <w:rFonts w:hint="eastAsia" w:ascii="仿宋" w:hAnsi="仿宋" w:eastAsia="仿宋"/>
          <w:b/>
          <w:sz w:val="32"/>
          <w:szCs w:val="32"/>
        </w:rPr>
        <w:t>21.《政府分工方案》第61条：</w:t>
      </w:r>
      <w:r>
        <w:rPr>
          <w:rFonts w:hint="eastAsia" w:ascii="仿宋" w:hAnsi="仿宋" w:eastAsia="仿宋"/>
          <w:sz w:val="32"/>
          <w:szCs w:val="32"/>
        </w:rPr>
        <w:t>发布实施建设世界一流新型研发机构的政策举措，集聚全球创新人才及团队。</w:t>
      </w:r>
    </w:p>
    <w:p>
      <w:pPr>
        <w:adjustRightInd w:val="0"/>
        <w:snapToGrid w:val="0"/>
        <w:spacing w:line="600" w:lineRule="exact"/>
        <w:ind w:firstLine="63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对接落实北京市建设世界一流新型研发机构的政策举措，聚焦全球创新人才及团队，争取政策支持，推动并服务海外顶尖科学家在京设立新型研发机构。</w:t>
      </w:r>
    </w:p>
    <w:p>
      <w:pPr>
        <w:adjustRightInd w:val="0"/>
        <w:snapToGrid w:val="0"/>
        <w:spacing w:line="600" w:lineRule="exact"/>
        <w:ind w:firstLine="630"/>
        <w:rPr>
          <w:rFonts w:ascii="仿宋" w:hAnsi="仿宋" w:eastAsia="仿宋"/>
          <w:sz w:val="32"/>
          <w:szCs w:val="32"/>
        </w:rPr>
      </w:pPr>
      <w:r>
        <w:rPr>
          <w:rFonts w:hint="eastAsia" w:ascii="仿宋" w:hAnsi="仿宋" w:eastAsia="仿宋"/>
          <w:b/>
          <w:sz w:val="32"/>
          <w:szCs w:val="32"/>
        </w:rPr>
        <w:t>22.《政府分工方案》第69、71、185条：</w:t>
      </w:r>
      <w:r>
        <w:rPr>
          <w:rFonts w:hint="eastAsia" w:ascii="仿宋" w:hAnsi="仿宋" w:eastAsia="仿宋"/>
          <w:sz w:val="32"/>
          <w:szCs w:val="32"/>
        </w:rPr>
        <w:t>充分发挥中关村示范区引领支撑作用，加大先行先试力度，在科技成果转化、科技金融改革等方面，争取实施新一批创新政策；推进国家科技金融创新中心建设，完善创业投资政策，加大对小微企业融资支持力度，加强企业上市、挂牌培育工作；全面提升首都金融业对外开放能力，支持国际金融机构在京新设外商独资或合资金融机构。</w:t>
      </w:r>
    </w:p>
    <w:p>
      <w:pPr>
        <w:adjustRightInd w:val="0"/>
        <w:snapToGrid w:val="0"/>
        <w:spacing w:line="600" w:lineRule="exact"/>
        <w:ind w:firstLine="63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助力国家科技金融创新中心建设。积极参与科技金融改革、创业投资政策完善、小微企业融资支持、企业上市挂牌培育等相关创新政策的制定和实施，为科技型中小型企业发展争取更多金融支持政策。用好首都金融业对外开放政策，探索通过合资方式拓展新的科技金融业务。推进科技金融板块子公司的资产优化重组，不断增强科技金融综合服务能力和水平。</w:t>
      </w:r>
    </w:p>
    <w:p>
      <w:pPr>
        <w:adjustRightInd w:val="0"/>
        <w:snapToGrid w:val="0"/>
        <w:spacing w:line="600" w:lineRule="exact"/>
        <w:ind w:firstLine="630"/>
        <w:rPr>
          <w:rFonts w:ascii="仿宋" w:hAnsi="仿宋" w:eastAsia="仿宋"/>
          <w:sz w:val="32"/>
          <w:szCs w:val="32"/>
        </w:rPr>
      </w:pPr>
      <w:r>
        <w:rPr>
          <w:rFonts w:hint="eastAsia" w:ascii="仿宋" w:hAnsi="仿宋" w:eastAsia="仿宋"/>
          <w:b/>
          <w:sz w:val="32"/>
          <w:szCs w:val="32"/>
        </w:rPr>
        <w:t>23.《政府分工方案》第67、73、81条：</w:t>
      </w:r>
      <w:r>
        <w:rPr>
          <w:rFonts w:hint="eastAsia" w:ascii="仿宋" w:hAnsi="仿宋" w:eastAsia="仿宋"/>
          <w:sz w:val="32"/>
          <w:szCs w:val="32"/>
        </w:rPr>
        <w:t>聚集提升投资孵化、科技服务等创新要素；完善创业服务体系，新增一批国家级双创示范基地，打造全过程的科技孵化服务链条；扩大首都科技条件平台、创新券和开放实验室服务范围和领域，引导高校院所面向社会开放科技资源，为小微企业和创业团队提供研究开发、检验检测认证等科技服务。</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完善园区创业服务体系，对接首都科技条件平台、创新券和开发实验室等服务资源，聚集提升投资孵化、科技服务等创新要素，打造全过程的科技孵化服务链条，同时组织做好申报国家级双创示范基地工作。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24.《政府分工方案》第75、77条：</w:t>
      </w:r>
      <w:r>
        <w:rPr>
          <w:rFonts w:hint="eastAsia" w:ascii="仿宋" w:hAnsi="仿宋" w:eastAsia="仿宋"/>
          <w:sz w:val="32"/>
          <w:szCs w:val="32"/>
        </w:rPr>
        <w:t>落实新一代信息技术等10个高精尖产业发展指导意见。制定实施创新型企业培育壮大三年行动计划，支持行业领军企业、独角兽企业和隐形冠军企业发展壮大，做好重点企业“一对一”服务工作；实施鼓励企业加大研发投入、上市融资、产业投资、人才引进、外资开放等一揽子政策措施。</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对接创新创业企业培育壮大三年行动计划及扶持政策，瞄向行业领军企业、独角兽企业和隐形冠军企业，开展“一对一”精准服务，择机组织相关基金、创投机构、科技服务机构支持其发展，支持一批有影响力的“高精尖”企业做大做强。</w:t>
      </w:r>
    </w:p>
    <w:p>
      <w:pPr>
        <w:adjustRightInd w:val="0"/>
        <w:snapToGrid w:val="0"/>
        <w:spacing w:line="600" w:lineRule="exact"/>
        <w:ind w:firstLine="640" w:firstLineChars="200"/>
        <w:outlineLvl w:val="0"/>
        <w:rPr>
          <w:rFonts w:ascii="黑体" w:hAnsi="黑体" w:eastAsia="黑体"/>
          <w:sz w:val="32"/>
          <w:szCs w:val="32"/>
        </w:rPr>
      </w:pPr>
      <w:r>
        <w:rPr>
          <w:rFonts w:hint="eastAsia" w:ascii="黑体" w:hAnsi="黑体" w:eastAsia="黑体"/>
          <w:sz w:val="32"/>
          <w:szCs w:val="32"/>
        </w:rPr>
        <w:t>四、区域协同与国际化方面</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25.《政府分工方案》第31、35条：</w:t>
      </w:r>
      <w:r>
        <w:rPr>
          <w:rFonts w:hint="eastAsia" w:ascii="仿宋" w:hAnsi="仿宋" w:eastAsia="仿宋"/>
          <w:sz w:val="32"/>
          <w:szCs w:val="32"/>
        </w:rPr>
        <w:t>制定实施本市京津冀协同发展新三年行动计划；加强产业对接协作，巩固提升“4+N”产业合作格局。</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发挥集团协同创新市场化平台作用，落实好本市京津冀协同发展新三年行动计划，加强产业对接协作，为巩固提升“4+N”产业合作格局提供有力支撑。积极推动天津滨海-中关村科技园、宝坻京津中关村科技城、中关村保定创新中心等重点合作项目，同时进一步做好其他合作区域的对接与合作工作。做好新设子基金工作，充分发挥区域基金发现和导入项目的功能。完善协同创新商业模式，制定区域合作品牌运营方案。实施信息谷和领创空间的优化重组，打造轻资产运营平台。</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26.《政府分工方案》第32条：</w:t>
      </w:r>
      <w:r>
        <w:rPr>
          <w:rFonts w:hint="eastAsia" w:ascii="仿宋" w:hAnsi="仿宋" w:eastAsia="仿宋"/>
          <w:sz w:val="32"/>
          <w:szCs w:val="32"/>
        </w:rPr>
        <w:t>全方位支持雄安新区建设，落实与河北省签订的战略合作协议，加紧学校、医院等项目落地，推进雄安新区中关村科技园建设，切实做到雄安新区需要什么就支持什么。</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贯彻落实市委市政府关于雄安新区建设相关工作部署要求，根据中关村管委会的工作安排，为服务雄安新区中关村科技园做好充分准备，切实做到雄安新区需要什么就支持什么。</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27.《政府分工方案》第190条：</w:t>
      </w:r>
      <w:r>
        <w:rPr>
          <w:rFonts w:hint="eastAsia" w:ascii="仿宋" w:hAnsi="仿宋" w:eastAsia="仿宋"/>
          <w:sz w:val="32"/>
          <w:szCs w:val="32"/>
        </w:rPr>
        <w:t>制定北京“一带一路”三年行动计划，加强双向投资促进平台建设，与沿线国家联合建设科技创新园区，拓展开放的广度和深度。</w:t>
      </w:r>
    </w:p>
    <w:p>
      <w:pPr>
        <w:adjustRightInd w:val="0"/>
        <w:snapToGrid w:val="0"/>
        <w:spacing w:line="600" w:lineRule="exact"/>
        <w:ind w:firstLine="643" w:firstLineChars="200"/>
        <w:rPr>
          <w:rFonts w:ascii="仿宋_GB2312" w:eastAsia="仿宋_GB2312"/>
          <w:sz w:val="32"/>
          <w:szCs w:val="32"/>
          <w:highlight w:val="yellow"/>
        </w:rPr>
      </w:pPr>
      <w:r>
        <w:rPr>
          <w:rFonts w:hint="eastAsia" w:ascii="仿宋" w:hAnsi="仿宋" w:eastAsia="仿宋"/>
          <w:b/>
          <w:sz w:val="32"/>
          <w:szCs w:val="32"/>
        </w:rPr>
        <w:t>集团落实任务：</w:t>
      </w:r>
      <w:r>
        <w:rPr>
          <w:rFonts w:hint="eastAsia" w:ascii="仿宋" w:hAnsi="仿宋" w:eastAsia="仿宋"/>
          <w:sz w:val="32"/>
          <w:szCs w:val="32"/>
        </w:rPr>
        <w:t>积极对接北京“一带一路”三年行动计划，推动中关村国际化布局。完成香港公司注册设立工作，搭建海外统筹投融资平台。加快构建“1+1+N”跨境协同创新网络，引入全球顶尖人才和项目。推动海外科技园业务转型。探索“一带一路”重点合作模式，研究在以色列等地设立创新中心，论证与沿线国家联合建设科技创新园区的可能性。</w:t>
      </w:r>
    </w:p>
    <w:p>
      <w:pPr>
        <w:adjustRightInd w:val="0"/>
        <w:snapToGrid w:val="0"/>
        <w:spacing w:line="600" w:lineRule="exact"/>
        <w:ind w:firstLine="640" w:firstLineChars="200"/>
        <w:outlineLvl w:val="0"/>
        <w:rPr>
          <w:rFonts w:ascii="黑体" w:hAnsi="黑体" w:eastAsia="黑体"/>
          <w:sz w:val="32"/>
          <w:szCs w:val="32"/>
        </w:rPr>
      </w:pPr>
      <w:r>
        <w:rPr>
          <w:rFonts w:hint="eastAsia" w:ascii="黑体" w:hAnsi="黑体" w:eastAsia="黑体"/>
          <w:sz w:val="32"/>
          <w:szCs w:val="32"/>
        </w:rPr>
        <w:t>五、国企改革方面</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28.《政府分工方案》第74条：</w:t>
      </w:r>
      <w:r>
        <w:rPr>
          <w:rFonts w:hint="eastAsia" w:ascii="仿宋" w:hAnsi="仿宋" w:eastAsia="仿宋"/>
          <w:sz w:val="32"/>
          <w:szCs w:val="32"/>
        </w:rPr>
        <w:t>发挥中关村发展集团在整合创新资源方面的市场化平台作用。</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按照“发挥中关村发展集团在整合创新资源方面的市场化平台作用”的要求，以改革为导向，修订完善集团“十三五”规划纲要，进一步清晰集团定位，并做好宣传工作。</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29.《政府分工方案》第170条：</w:t>
      </w:r>
      <w:r>
        <w:rPr>
          <w:rFonts w:hint="eastAsia" w:ascii="仿宋" w:hAnsi="仿宋" w:eastAsia="仿宋"/>
          <w:sz w:val="32"/>
          <w:szCs w:val="32"/>
        </w:rPr>
        <w:t>完善国有资产管理体制，做好国有资本投资和运营公司试点。</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落实国有资产管理体制相关政策，推动国有资本做强做优做大。紧密对接国资监管部门，研究国有资本投资运营公司试点。推进优化子公司“三会”议案审批流程和权限工作，加强董监事选派人员的管理和培训，提高国有资本管理水平。</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30.《政府分工方案》第170、171条：</w:t>
      </w:r>
      <w:r>
        <w:rPr>
          <w:rFonts w:hint="eastAsia" w:ascii="仿宋" w:hAnsi="仿宋" w:eastAsia="仿宋"/>
          <w:sz w:val="32"/>
          <w:szCs w:val="32"/>
        </w:rPr>
        <w:t>发展混合所有制经济，推动一级企业整体上市或主业上市；支持民营企业参与政府与社会资本合作项目。</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发展混合所有制经济，推进软件园等科技园区板块子公司引入战略投资者工作，积极推动其他有条件的公司引入战略投资者，并推动条件成熟的子公司或业务板块上市。</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31.《政府分工方案》第74、170条：</w:t>
      </w:r>
      <w:r>
        <w:rPr>
          <w:rFonts w:hint="eastAsia" w:ascii="仿宋" w:hAnsi="仿宋" w:eastAsia="仿宋"/>
          <w:sz w:val="32"/>
          <w:szCs w:val="32"/>
        </w:rPr>
        <w:t>发挥中关村发展集团在整合创新资源方面的市场化平台作用；加快国有经济布局调整和战略重组，推动国有资本做强做优做大。</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积极调研市属创新资源，探索北京市优质资源向集团整合的可行性，探索在集团层面引入战略投资者，引导社会资本共同服务科技中心建设。</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32.《政府分工方案》第170、180条：</w:t>
      </w:r>
      <w:r>
        <w:rPr>
          <w:rFonts w:hint="eastAsia" w:ascii="仿宋" w:hAnsi="仿宋" w:eastAsia="仿宋"/>
          <w:sz w:val="32"/>
          <w:szCs w:val="32"/>
        </w:rPr>
        <w:t>大力压缩国有企业管理层级；全面加强绩效管理，建立以质量和成本为重要考核内容、以结果导向配置公共资源的绩效管理机制，提高财政资金使用效益。</w:t>
      </w:r>
    </w:p>
    <w:p>
      <w:pPr>
        <w:adjustRightInd w:val="0"/>
        <w:snapToGrid w:val="0"/>
        <w:spacing w:line="60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研究压缩企业管理层级，推进资源整合与优化重组，加强分类管理和指导，优化绩效考核与薪酬管理体系，进一步健全激励约束并存和相互作用的工作机制，促进人才管理制度创新，以管理和服务出效益。</w:t>
      </w:r>
    </w:p>
    <w:p>
      <w:pPr>
        <w:adjustRightInd w:val="0"/>
        <w:snapToGrid w:val="0"/>
        <w:spacing w:line="600" w:lineRule="exact"/>
        <w:ind w:firstLine="643" w:firstLineChars="200"/>
        <w:rPr>
          <w:rFonts w:ascii="仿宋" w:hAnsi="仿宋" w:eastAsia="仿宋"/>
          <w:b/>
          <w:sz w:val="32"/>
          <w:szCs w:val="32"/>
        </w:rPr>
      </w:pPr>
      <w:r>
        <w:rPr>
          <w:rFonts w:hint="eastAsia" w:ascii="仿宋" w:hAnsi="仿宋" w:eastAsia="仿宋"/>
          <w:b/>
          <w:sz w:val="32"/>
          <w:szCs w:val="32"/>
        </w:rPr>
        <w:t>33.《政府分工方案》第169条：</w:t>
      </w:r>
      <w:r>
        <w:rPr>
          <w:rFonts w:hint="eastAsia" w:ascii="仿宋" w:hAnsi="仿宋" w:eastAsia="仿宋"/>
          <w:sz w:val="32"/>
          <w:szCs w:val="32"/>
        </w:rPr>
        <w:t>加强政府债务管理，履行地方金融监管职责，坚决打击违法违规金融活动，守住不发生系统性金融风险的底线。</w:t>
      </w:r>
    </w:p>
    <w:p>
      <w:pPr>
        <w:adjustRightInd w:val="0"/>
        <w:snapToGrid w:val="0"/>
        <w:spacing w:line="600" w:lineRule="exact"/>
        <w:ind w:firstLine="643" w:firstLineChars="200"/>
        <w:rPr>
          <w:rFonts w:ascii="仿宋_GB2312" w:hAnsi="宋体" w:eastAsia="仿宋_GB2312"/>
          <w:sz w:val="32"/>
          <w:szCs w:val="32"/>
        </w:rPr>
      </w:pPr>
      <w:r>
        <w:rPr>
          <w:rFonts w:hint="eastAsia" w:ascii="仿宋" w:hAnsi="仿宋" w:eastAsia="仿宋"/>
          <w:b/>
          <w:sz w:val="32"/>
          <w:szCs w:val="32"/>
        </w:rPr>
        <w:t>集团落实任务：</w:t>
      </w:r>
      <w:r>
        <w:rPr>
          <w:rFonts w:hint="eastAsia" w:ascii="仿宋" w:hAnsi="仿宋" w:eastAsia="仿宋"/>
          <w:sz w:val="32"/>
          <w:szCs w:val="32"/>
        </w:rPr>
        <w:t>研究防范系统性风险、降低集团资产负债率的措施。加强资金归集管理，实现资金效益最大化。加强融资保障，做好可续债发行工作。加强各业务板块风险预警分析，开展重点风险点分类和排查工作，确保不出现重大系统性风险。</w:t>
      </w:r>
    </w:p>
    <w:p>
      <w:pPr>
        <w:adjustRightInd w:val="0"/>
        <w:snapToGrid w:val="0"/>
        <w:spacing w:line="600" w:lineRule="exact"/>
        <w:ind w:firstLine="640" w:firstLineChars="200"/>
        <w:outlineLvl w:val="0"/>
        <w:rPr>
          <w:rFonts w:ascii="黑体" w:hAnsi="黑体" w:eastAsia="黑体"/>
          <w:sz w:val="32"/>
          <w:szCs w:val="32"/>
        </w:rPr>
      </w:pPr>
      <w:bookmarkStart w:id="0" w:name="_Toc433624353"/>
      <w:r>
        <w:rPr>
          <w:rFonts w:hint="eastAsia" w:ascii="黑体" w:hAnsi="黑体" w:eastAsia="黑体"/>
          <w:sz w:val="32"/>
          <w:szCs w:val="32"/>
        </w:rPr>
        <w:t>六、党建工作方面</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34.《政府分工方案》第191条:</w:t>
      </w:r>
      <w:r>
        <w:rPr>
          <w:rFonts w:hint="eastAsia" w:ascii="仿宋" w:hAnsi="仿宋" w:eastAsia="仿宋"/>
          <w:sz w:val="32"/>
          <w:szCs w:val="32"/>
        </w:rPr>
        <w:t>深入开展“不忘初心、牢记使命”主题教育，坚定理想信念，更加自觉地践行党的根本宗旨。</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按照市委统一要求，开展“不忘初心、牢记使命”主题教育，组织做好习近平新时代中国特色社会主义思想和党的十九大精神的学习宣传贯彻工作，持续推进“两学一做”学习教育常态化制度化。加强集团党委理论中心组学习，通过学习和专题培训坚定理想信念，形成全集团自觉践行党的根本宗旨的氛围。做好意识形态风险的评估研判，加强对集团各层级宣传思想文化阵地的管理，研究建立快速反应和指导处置机制。</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35.《政府分工方案》第196条：</w:t>
      </w:r>
      <w:r>
        <w:rPr>
          <w:rFonts w:hint="eastAsia" w:ascii="仿宋" w:hAnsi="仿宋" w:eastAsia="仿宋"/>
          <w:sz w:val="32"/>
          <w:szCs w:val="32"/>
        </w:rPr>
        <w:t>严格执行中央八项规定及其实施细则精神和市委贯彻落实办法，坚决反对特权、不搞特权，坚决防止“四风”反弹回潮，坚决纠正形式主义、官僚主义顽症。落实全面从严治党主体责任，推动政府系统党风廉政建设向纵深发展。深化廉政风险防控，做好巡视发现问题的整改。严格执行廉洁自律准则和纪律处分条例，强化监督执纪问责，保证干部清正、政府清廉、政治清明。</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严格执行中央八项规定及其实施细则精神和市委贯彻落实办法，全面推进集团党风廉政建设责任体系建设，落实党风廉政建设责任制，结合过往巡视和审计揭示出的问题，加强监督检查，加强自查自纠，严肃整改。</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36.《政府分工方案》第</w:t>
      </w:r>
      <w:r>
        <w:rPr>
          <w:rFonts w:ascii="仿宋" w:hAnsi="仿宋" w:eastAsia="仿宋"/>
          <w:b/>
          <w:sz w:val="32"/>
          <w:szCs w:val="32"/>
        </w:rPr>
        <w:t>198</w:t>
      </w:r>
      <w:r>
        <w:rPr>
          <w:rFonts w:hint="eastAsia" w:ascii="仿宋" w:hAnsi="仿宋" w:eastAsia="仿宋"/>
          <w:b/>
          <w:sz w:val="32"/>
          <w:szCs w:val="32"/>
        </w:rPr>
        <w:t>条：</w:t>
      </w:r>
      <w:r>
        <w:rPr>
          <w:rFonts w:hint="eastAsia" w:ascii="仿宋" w:hAnsi="仿宋" w:eastAsia="仿宋"/>
          <w:sz w:val="32"/>
          <w:szCs w:val="32"/>
        </w:rPr>
        <w:t>加强公共资金、国有资产、国有资源和领导干部经济责任审计监督，加大对权力运行的规范和制约。</w:t>
      </w:r>
    </w:p>
    <w:p>
      <w:pPr>
        <w:snapToGrid w:val="0"/>
        <w:spacing w:line="560" w:lineRule="exact"/>
        <w:ind w:firstLine="643" w:firstLineChars="200"/>
        <w:rPr>
          <w:rFonts w:ascii="仿宋" w:hAnsi="仿宋" w:eastAsia="仿宋"/>
          <w:sz w:val="32"/>
          <w:szCs w:val="32"/>
        </w:rPr>
      </w:pPr>
      <w:r>
        <w:rPr>
          <w:rFonts w:hint="eastAsia" w:ascii="仿宋" w:hAnsi="仿宋" w:eastAsia="仿宋"/>
          <w:b/>
          <w:sz w:val="32"/>
          <w:szCs w:val="32"/>
        </w:rPr>
        <w:t>集团落实任务：</w:t>
      </w:r>
      <w:r>
        <w:rPr>
          <w:rFonts w:hint="eastAsia" w:ascii="仿宋" w:hAnsi="仿宋" w:eastAsia="仿宋"/>
          <w:sz w:val="32"/>
          <w:szCs w:val="32"/>
        </w:rPr>
        <w:t>配合市审计局审计监督工作。根据干部管理权限和组织部门对干部任免决定，开展对子公司主要负责人离任或任中经济责任审计。结合集团重点项目推进情况，配合国资监管部门，开展重点项目专项审计。加强国有产权管理、资金管理等国有资产管理相关工作。</w:t>
      </w:r>
    </w:p>
    <w:p>
      <w:pPr>
        <w:snapToGrid w:val="0"/>
        <w:spacing w:line="560" w:lineRule="exact"/>
        <w:ind w:firstLine="640" w:firstLineChars="200"/>
        <w:rPr>
          <w:rFonts w:ascii="仿宋" w:hAnsi="仿宋" w:eastAsia="仿宋"/>
          <w:sz w:val="32"/>
          <w:szCs w:val="32"/>
        </w:rPr>
      </w:pPr>
    </w:p>
    <w:p>
      <w:pPr>
        <w:tabs>
          <w:tab w:val="left" w:pos="6521"/>
        </w:tabs>
        <w:snapToGrid w:val="0"/>
        <w:spacing w:line="560" w:lineRule="exact"/>
        <w:ind w:firstLine="640" w:firstLineChars="200"/>
        <w:rPr>
          <w:rFonts w:ascii="仿宋" w:hAnsi="仿宋" w:eastAsia="仿宋"/>
          <w:sz w:val="32"/>
          <w:szCs w:val="32"/>
        </w:rPr>
      </w:pPr>
      <w:r>
        <w:rPr>
          <w:rFonts w:hint="eastAsia" w:ascii="仿宋" w:hAnsi="仿宋" w:eastAsia="仿宋"/>
          <w:sz w:val="32"/>
          <w:szCs w:val="32"/>
        </w:rPr>
        <w:t>集团上下要高度重视市政府工作报告重点工作的落实工作，主动对位对标对表。</w:t>
      </w:r>
      <w:r>
        <w:rPr>
          <w:rFonts w:hint="eastAsia" w:ascii="仿宋" w:hAnsi="仿宋" w:eastAsia="仿宋"/>
          <w:b/>
          <w:bCs/>
          <w:sz w:val="32"/>
          <w:szCs w:val="32"/>
        </w:rPr>
        <w:t>一是</w:t>
      </w:r>
      <w:r>
        <w:rPr>
          <w:rFonts w:hint="eastAsia" w:ascii="仿宋" w:hAnsi="仿宋" w:eastAsia="仿宋"/>
          <w:sz w:val="32"/>
          <w:szCs w:val="32"/>
        </w:rPr>
        <w:t>要以政府工作报告为政策依据，继续梳理重点工作，把工作摆进重大任务中，在推进政府任务的同时实现集团价值。</w:t>
      </w:r>
      <w:r>
        <w:rPr>
          <w:rFonts w:hint="eastAsia" w:ascii="仿宋" w:hAnsi="仿宋" w:eastAsia="仿宋"/>
          <w:b/>
          <w:bCs/>
          <w:sz w:val="32"/>
          <w:szCs w:val="32"/>
        </w:rPr>
        <w:t>二是</w:t>
      </w:r>
      <w:r>
        <w:rPr>
          <w:rFonts w:hint="eastAsia" w:ascii="仿宋" w:hAnsi="仿宋" w:eastAsia="仿宋"/>
          <w:sz w:val="32"/>
          <w:szCs w:val="32"/>
        </w:rPr>
        <w:t>要建立由牵头领导负总责，牵头单位负责协调，协同领导和单位主动跟进的工作机制，由牵头领导和部门进一步细化工作计划，明确工作责任，对于重点工作以专项工作小组的形式推进落实。</w:t>
      </w:r>
      <w:r>
        <w:rPr>
          <w:rFonts w:hint="eastAsia" w:ascii="仿宋" w:hAnsi="仿宋" w:eastAsia="仿宋"/>
          <w:b/>
          <w:bCs/>
          <w:sz w:val="32"/>
          <w:szCs w:val="32"/>
        </w:rPr>
        <w:t>三是</w:t>
      </w:r>
      <w:r>
        <w:rPr>
          <w:rFonts w:hint="eastAsia" w:ascii="仿宋" w:hAnsi="仿宋" w:eastAsia="仿宋"/>
          <w:sz w:val="32"/>
          <w:szCs w:val="32"/>
        </w:rPr>
        <w:t>要加强督促落实，集团党委办公室/集团办公室、战略管理部要把重点事项纳入战略规划、年度重点任务范围，各牵头单位要将各项分解任务作为自我评价、自我管理、对外宣传的重要依据，全力保障市委市政府交办集团的工作任务落地，为建设具有全球影响力的全国科技创新中心做出更大贡献。</w:t>
      </w:r>
    </w:p>
    <w:p>
      <w:pPr>
        <w:tabs>
          <w:tab w:val="left" w:pos="6521"/>
        </w:tabs>
        <w:snapToGrid w:val="0"/>
        <w:spacing w:line="560" w:lineRule="exact"/>
        <w:ind w:firstLine="640" w:firstLineChars="200"/>
        <w:rPr>
          <w:rFonts w:ascii="仿宋" w:hAnsi="仿宋" w:eastAsia="仿宋"/>
          <w:sz w:val="32"/>
          <w:szCs w:val="32"/>
        </w:rPr>
      </w:pPr>
    </w:p>
    <w:p>
      <w:pPr>
        <w:snapToGrid w:val="0"/>
        <w:spacing w:line="560" w:lineRule="exact"/>
        <w:ind w:firstLine="640" w:firstLineChars="200"/>
        <w:rPr>
          <w:rFonts w:ascii="仿宋" w:hAnsi="仿宋" w:eastAsia="仿宋"/>
          <w:sz w:val="32"/>
          <w:szCs w:val="32"/>
        </w:rPr>
      </w:pPr>
      <w:r>
        <w:rPr>
          <w:rFonts w:hint="eastAsia" w:ascii="仿宋" w:hAnsi="仿宋" w:eastAsia="仿宋"/>
          <w:sz w:val="32"/>
          <w:szCs w:val="32"/>
        </w:rPr>
        <w:t>附表：1.中关村发展集团落实2018年市政府工作报告</w:t>
      </w:r>
    </w:p>
    <w:p>
      <w:pPr>
        <w:snapToGrid w:val="0"/>
        <w:spacing w:line="560" w:lineRule="exact"/>
        <w:ind w:firstLine="1920" w:firstLineChars="600"/>
        <w:rPr>
          <w:rFonts w:ascii="仿宋" w:hAnsi="仿宋" w:eastAsia="仿宋"/>
          <w:sz w:val="32"/>
          <w:szCs w:val="32"/>
        </w:rPr>
      </w:pPr>
      <w:r>
        <w:rPr>
          <w:rFonts w:hint="eastAsia" w:ascii="仿宋" w:hAnsi="仿宋" w:eastAsia="仿宋"/>
          <w:sz w:val="32"/>
          <w:szCs w:val="32"/>
        </w:rPr>
        <w:t>重点工作的指导方案清单表</w:t>
      </w:r>
    </w:p>
    <w:p>
      <w:pPr>
        <w:snapToGrid w:val="0"/>
        <w:spacing w:line="560" w:lineRule="exact"/>
        <w:ind w:firstLine="1600" w:firstLineChars="500"/>
        <w:rPr>
          <w:rFonts w:ascii="仿宋" w:hAnsi="仿宋" w:eastAsia="仿宋"/>
          <w:sz w:val="32"/>
          <w:szCs w:val="32"/>
        </w:rPr>
      </w:pPr>
      <w:r>
        <w:rPr>
          <w:rFonts w:hint="eastAsia" w:ascii="仿宋" w:hAnsi="仿宋" w:eastAsia="仿宋"/>
          <w:sz w:val="32"/>
          <w:szCs w:val="32"/>
        </w:rPr>
        <w:t>2.中关村发展集团落实2018年市政府工作报告</w:t>
      </w:r>
    </w:p>
    <w:p>
      <w:pPr>
        <w:snapToGrid w:val="0"/>
        <w:spacing w:line="560" w:lineRule="exact"/>
        <w:ind w:firstLine="1920" w:firstLineChars="600"/>
        <w:rPr>
          <w:rFonts w:ascii="仿宋" w:hAnsi="仿宋" w:eastAsia="仿宋"/>
          <w:sz w:val="32"/>
          <w:szCs w:val="32"/>
        </w:rPr>
      </w:pPr>
      <w:r>
        <w:rPr>
          <w:rFonts w:hint="eastAsia" w:ascii="仿宋" w:hAnsi="仿宋" w:eastAsia="仿宋"/>
          <w:sz w:val="32"/>
          <w:szCs w:val="32"/>
        </w:rPr>
        <w:t>重点工作的指导方案分工统计表</w:t>
      </w:r>
    </w:p>
    <w:p>
      <w:pPr>
        <w:snapToGrid w:val="0"/>
        <w:spacing w:line="560" w:lineRule="exact"/>
        <w:ind w:left="1440" w:firstLine="640" w:firstLineChars="200"/>
        <w:rPr>
          <w:rFonts w:ascii="仿宋_GB2312" w:eastAsia="仿宋_GB2312"/>
          <w:sz w:val="32"/>
          <w:szCs w:val="32"/>
        </w:rPr>
      </w:pP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napToGrid w:val="0"/>
        <w:spacing w:line="560" w:lineRule="exact"/>
        <w:ind w:firstLine="640" w:firstLineChars="200"/>
        <w:rPr>
          <w:rFonts w:ascii="仿宋_GB2312" w:eastAsia="仿宋_GB2312"/>
          <w:sz w:val="32"/>
          <w:szCs w:val="32"/>
        </w:rPr>
      </w:pPr>
    </w:p>
    <w:bookmarkEnd w:id="0"/>
    <w:p>
      <w:pPr>
        <w:adjustRightInd w:val="0"/>
        <w:snapToGrid w:val="0"/>
        <w:spacing w:line="600" w:lineRule="exact"/>
        <w:ind w:firstLine="640" w:firstLineChars="200"/>
        <w:jc w:val="center"/>
        <w:rPr>
          <w:rFonts w:ascii="仿宋_GB2312" w:eastAsia="仿宋_GB2312"/>
          <w:sz w:val="32"/>
          <w:szCs w:val="32"/>
        </w:rPr>
      </w:pPr>
      <w:r>
        <w:rPr>
          <w:rFonts w:hint="eastAsia" w:ascii="仿宋_GB2312" w:eastAsia="仿宋_GB2312"/>
          <w:sz w:val="32"/>
          <w:szCs w:val="32"/>
        </w:rPr>
        <w:t xml:space="preserve">                      </w:t>
      </w: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rPr>
          <w:rFonts w:ascii="仿宋" w:hAnsi="仿宋" w:eastAsia="仿宋"/>
          <w:sz w:val="32"/>
          <w:szCs w:val="32"/>
        </w:rPr>
      </w:pPr>
    </w:p>
    <w:p>
      <w:pPr>
        <w:spacing w:line="600" w:lineRule="exact"/>
        <w:ind w:firstLine="140" w:firstLineChars="50"/>
        <w:jc w:val="left"/>
        <w:rPr>
          <w:rFonts w:ascii="仿宋" w:hAnsi="仿宋" w:eastAsia="仿宋"/>
          <w:w w:val="95"/>
          <w:sz w:val="28"/>
          <w:szCs w:val="28"/>
        </w:rPr>
      </w:pPr>
      <w:r>
        <w:rPr>
          <w:rFonts w:ascii="仿宋" w:hAnsi="仿宋" w:eastAsia="仿宋"/>
          <w:sz w:val="28"/>
          <w:szCs w:val="28"/>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412750</wp:posOffset>
                </wp:positionV>
                <wp:extent cx="5619750" cy="0"/>
                <wp:effectExtent l="0" t="0" r="0" b="0"/>
                <wp:wrapNone/>
                <wp:docPr id="5" name="自选图形 4"/>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4" o:spid="_x0000_s1026" o:spt="32" type="#_x0000_t32" style="position:absolute;left:0pt;margin-left:-1pt;margin-top:32.5pt;height:0pt;width:442.5pt;z-index:251660288;mso-width-relative:page;mso-height-relative:page;" filled="f" stroked="t" coordsize="21600,21600" o:gfxdata="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Pe3ZbUAAAACAEAAA8AAAAA&#10;AAAAAQAgAAAAIgAAAGRycy9kb3ducmV2LnhtbFBLAQIUABQAAAAIAIdO4kAmToq23wEAAKQDAAAO&#10;AAAAAAAAAAEAIAAAACMBAABkcnMvZTJvRG9jLnhtbFBLBQYAAAAABgAGAFkBAAB0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86995</wp:posOffset>
                </wp:positionV>
                <wp:extent cx="5619750" cy="0"/>
                <wp:effectExtent l="0" t="0" r="0" b="0"/>
                <wp:wrapNone/>
                <wp:docPr id="4" name="自选图形 5"/>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5" o:spid="_x0000_s1026" o:spt="32" type="#_x0000_t32" style="position:absolute;left:0pt;margin-left:-1pt;margin-top:6.85pt;height:0pt;width:442.5pt;z-index:251661312;mso-width-relative:page;mso-height-relative:page;" filled="f" stroked="t" coordsize="21600,21600" o:gfxdata="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O4Nz9MAAAAIAQAADwAAAAAA&#10;AAABACAAAAAiAAAAZHJzL2Rvd25yZXYueG1sUEsBAhQAFAAAAAgAh07iQDz6D3ffAQAApAMAAA4A&#10;AAAAAAAAAQAgAAAAIgEAAGRycy9lMm9Eb2MueG1sUEsFBgAAAAAGAAYAWQEAAHMFA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2018年4月25日</w:t>
      </w:r>
    </w:p>
    <w:sectPr>
      <w:footerReference r:id="rId3" w:type="default"/>
      <w:footerReference r:id="rId4" w:type="even"/>
      <w:pgSz w:w="11906" w:h="16838"/>
      <w:pgMar w:top="2098"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0000000" w:usb2="00000012"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20</w:t>
    </w:r>
    <w:r>
      <w:rPr>
        <w:sz w:val="28"/>
        <w:szCs w:val="28"/>
      </w:rPr>
      <w:fldChar w:fldCharType="end"/>
    </w:r>
    <w:r>
      <w:rPr>
        <w:sz w:val="28"/>
        <w:szCs w:val="28"/>
      </w:rPr>
      <w:t>—</w:t>
    </w: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100000" w:hash="nLoIoXorv7DEH/xtQR05BrwlRz0=" w:salt="DVFBiLBl1rBa9Mrf4CV5IA=="/>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5476C"/>
    <w:rsid w:val="00083579"/>
    <w:rsid w:val="00085AA0"/>
    <w:rsid w:val="000C4B9D"/>
    <w:rsid w:val="000D7743"/>
    <w:rsid w:val="00115E4D"/>
    <w:rsid w:val="00187EDF"/>
    <w:rsid w:val="001D1C69"/>
    <w:rsid w:val="00204C4F"/>
    <w:rsid w:val="0021553C"/>
    <w:rsid w:val="00217E5F"/>
    <w:rsid w:val="002527ED"/>
    <w:rsid w:val="00274945"/>
    <w:rsid w:val="002929F2"/>
    <w:rsid w:val="00295E51"/>
    <w:rsid w:val="002A43C4"/>
    <w:rsid w:val="00306DF8"/>
    <w:rsid w:val="00365D98"/>
    <w:rsid w:val="00381B9D"/>
    <w:rsid w:val="003F19CF"/>
    <w:rsid w:val="00402A7A"/>
    <w:rsid w:val="00406720"/>
    <w:rsid w:val="00472DE5"/>
    <w:rsid w:val="00490092"/>
    <w:rsid w:val="00492E83"/>
    <w:rsid w:val="004975B0"/>
    <w:rsid w:val="004A3A15"/>
    <w:rsid w:val="004B0196"/>
    <w:rsid w:val="004F1575"/>
    <w:rsid w:val="004F472A"/>
    <w:rsid w:val="00507763"/>
    <w:rsid w:val="0052341A"/>
    <w:rsid w:val="00544463"/>
    <w:rsid w:val="00553763"/>
    <w:rsid w:val="00561894"/>
    <w:rsid w:val="005A6F69"/>
    <w:rsid w:val="005B4A0F"/>
    <w:rsid w:val="00605BAE"/>
    <w:rsid w:val="00640838"/>
    <w:rsid w:val="00705335"/>
    <w:rsid w:val="00726B18"/>
    <w:rsid w:val="00735751"/>
    <w:rsid w:val="00751751"/>
    <w:rsid w:val="00763467"/>
    <w:rsid w:val="00793723"/>
    <w:rsid w:val="007B7E2C"/>
    <w:rsid w:val="007D069C"/>
    <w:rsid w:val="007E2989"/>
    <w:rsid w:val="00825644"/>
    <w:rsid w:val="00863C83"/>
    <w:rsid w:val="00892034"/>
    <w:rsid w:val="008D4FAF"/>
    <w:rsid w:val="008F0027"/>
    <w:rsid w:val="008F7087"/>
    <w:rsid w:val="00924C09"/>
    <w:rsid w:val="0095729C"/>
    <w:rsid w:val="00997A7F"/>
    <w:rsid w:val="009C0CEE"/>
    <w:rsid w:val="009F43AD"/>
    <w:rsid w:val="00A37782"/>
    <w:rsid w:val="00A47382"/>
    <w:rsid w:val="00A539F5"/>
    <w:rsid w:val="00A54B38"/>
    <w:rsid w:val="00A627A0"/>
    <w:rsid w:val="00AE6E57"/>
    <w:rsid w:val="00AF68E0"/>
    <w:rsid w:val="00B00321"/>
    <w:rsid w:val="00B041EB"/>
    <w:rsid w:val="00B13502"/>
    <w:rsid w:val="00B17AC0"/>
    <w:rsid w:val="00B600CD"/>
    <w:rsid w:val="00B67AB6"/>
    <w:rsid w:val="00B73978"/>
    <w:rsid w:val="00BD6B27"/>
    <w:rsid w:val="00BF01A1"/>
    <w:rsid w:val="00C20CFD"/>
    <w:rsid w:val="00C212D3"/>
    <w:rsid w:val="00C56C47"/>
    <w:rsid w:val="00C7285A"/>
    <w:rsid w:val="00CA7F16"/>
    <w:rsid w:val="00CD1726"/>
    <w:rsid w:val="00CE1BC0"/>
    <w:rsid w:val="00CF658D"/>
    <w:rsid w:val="00CF76F0"/>
    <w:rsid w:val="00D00676"/>
    <w:rsid w:val="00D17847"/>
    <w:rsid w:val="00D25606"/>
    <w:rsid w:val="00D34A71"/>
    <w:rsid w:val="00D45352"/>
    <w:rsid w:val="00D51CCE"/>
    <w:rsid w:val="00D53FE6"/>
    <w:rsid w:val="00D61CC8"/>
    <w:rsid w:val="00D66C48"/>
    <w:rsid w:val="00D847A0"/>
    <w:rsid w:val="00D8773D"/>
    <w:rsid w:val="00DB3715"/>
    <w:rsid w:val="00DD46BF"/>
    <w:rsid w:val="00DD75A4"/>
    <w:rsid w:val="00E3601A"/>
    <w:rsid w:val="00E43492"/>
    <w:rsid w:val="00E54E30"/>
    <w:rsid w:val="00E70EA7"/>
    <w:rsid w:val="00E778B7"/>
    <w:rsid w:val="00E84FF1"/>
    <w:rsid w:val="00EB7FFC"/>
    <w:rsid w:val="00EC3BC9"/>
    <w:rsid w:val="00EF47C4"/>
    <w:rsid w:val="00F02924"/>
    <w:rsid w:val="00F1667E"/>
    <w:rsid w:val="00F419B7"/>
    <w:rsid w:val="00F55CFB"/>
    <w:rsid w:val="00F568D1"/>
    <w:rsid w:val="00F63348"/>
    <w:rsid w:val="00FD78F5"/>
    <w:rsid w:val="00FE04BC"/>
    <w:rsid w:val="51F32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5"/>
    <w:uiPriority w:val="0"/>
    <w:pPr>
      <w:ind w:left="100" w:leftChars="2500"/>
    </w:p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spacing w:before="100" w:beforeAutospacing="1" w:after="100" w:afterAutospacing="1"/>
      <w:jc w:val="left"/>
    </w:pPr>
    <w:rPr>
      <w:rFonts w:ascii="宋体" w:hAnsi="宋体" w:cs="宋体"/>
      <w:kern w:val="0"/>
      <w:sz w:val="24"/>
    </w:rPr>
  </w:style>
  <w:style w:type="paragraph" w:styleId="12">
    <w:name w:val="Title"/>
    <w:basedOn w:val="1"/>
    <w:next w:val="1"/>
    <w:link w:val="21"/>
    <w:qFormat/>
    <w:uiPriority w:val="10"/>
    <w:pPr>
      <w:spacing w:before="240" w:after="60"/>
      <w:jc w:val="center"/>
      <w:outlineLvl w:val="0"/>
    </w:pPr>
    <w:rPr>
      <w:rFonts w:ascii="Cambria" w:hAnsi="Cambria" w:eastAsia="仿宋_GB2312"/>
      <w:b/>
      <w:bCs/>
      <w:sz w:val="32"/>
      <w:szCs w:val="32"/>
    </w:rPr>
  </w:style>
  <w:style w:type="character" w:styleId="14">
    <w:name w:val="Strong"/>
    <w:basedOn w:val="13"/>
    <w:qFormat/>
    <w:uiPriority w:val="22"/>
    <w:rPr>
      <w:b/>
      <w:bCs/>
    </w:rPr>
  </w:style>
  <w:style w:type="paragraph" w:customStyle="1" w:styleId="16">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17">
    <w:name w:val="标头"/>
    <w:basedOn w:val="1"/>
    <w:uiPriority w:val="0"/>
    <w:rPr>
      <w:sz w:val="52"/>
      <w:u w:val="single"/>
    </w:rPr>
  </w:style>
  <w:style w:type="character" w:customStyle="1" w:styleId="18">
    <w:name w:val="页眉 Char"/>
    <w:basedOn w:val="13"/>
    <w:link w:val="8"/>
    <w:uiPriority w:val="99"/>
    <w:rPr>
      <w:kern w:val="2"/>
      <w:sz w:val="18"/>
      <w:szCs w:val="18"/>
    </w:rPr>
  </w:style>
  <w:style w:type="character" w:customStyle="1" w:styleId="19">
    <w:name w:val="页脚 Char"/>
    <w:basedOn w:val="13"/>
    <w:link w:val="7"/>
    <w:uiPriority w:val="99"/>
    <w:rPr>
      <w:kern w:val="2"/>
      <w:sz w:val="18"/>
      <w:szCs w:val="18"/>
    </w:rPr>
  </w:style>
  <w:style w:type="paragraph" w:styleId="20">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1">
    <w:name w:val="标题 Char"/>
    <w:basedOn w:val="13"/>
    <w:link w:val="12"/>
    <w:qFormat/>
    <w:uiPriority w:val="10"/>
    <w:rPr>
      <w:rFonts w:ascii="Cambria" w:hAnsi="Cambria" w:eastAsia="仿宋_GB2312"/>
      <w:b/>
      <w:bCs/>
      <w:kern w:val="2"/>
      <w:sz w:val="32"/>
      <w:szCs w:val="32"/>
    </w:rPr>
  </w:style>
  <w:style w:type="character" w:customStyle="1" w:styleId="22">
    <w:name w:val="font11"/>
    <w:basedOn w:val="13"/>
    <w:qFormat/>
    <w:uiPriority w:val="0"/>
    <w:rPr>
      <w:rFonts w:hint="eastAsia" w:ascii="仿宋_GB2312" w:eastAsia="仿宋_GB2312"/>
      <w:b/>
      <w:bCs/>
      <w:color w:val="000000"/>
      <w:sz w:val="32"/>
      <w:szCs w:val="32"/>
      <w:u w:val="none"/>
    </w:rPr>
  </w:style>
  <w:style w:type="character" w:customStyle="1" w:styleId="23">
    <w:name w:val="font21"/>
    <w:basedOn w:val="13"/>
    <w:qFormat/>
    <w:uiPriority w:val="0"/>
    <w:rPr>
      <w:rFonts w:hint="eastAsia" w:ascii="仿宋_GB2312" w:eastAsia="仿宋_GB2312"/>
      <w:color w:val="000000"/>
      <w:sz w:val="32"/>
      <w:szCs w:val="32"/>
      <w:u w:val="none"/>
    </w:rPr>
  </w:style>
  <w:style w:type="paragraph" w:styleId="24">
    <w:name w:val="List Paragraph"/>
    <w:basedOn w:val="1"/>
    <w:qFormat/>
    <w:uiPriority w:val="34"/>
    <w:pPr>
      <w:ind w:firstLine="420" w:firstLineChars="200"/>
    </w:pPr>
  </w:style>
  <w:style w:type="character" w:customStyle="1" w:styleId="25">
    <w:name w:val="日期 Char"/>
    <w:basedOn w:val="13"/>
    <w:link w:val="6"/>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FD9F62-49F6-4F1E-B05F-B47C1FD3789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1446</Words>
  <Characters>8243</Characters>
  <Lines>68</Lines>
  <Paragraphs>19</Paragraphs>
  <TotalTime>167</TotalTime>
  <ScaleCrop>false</ScaleCrop>
  <LinksUpToDate>false</LinksUpToDate>
  <CharactersWithSpaces>9670</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2017-08-23T07:23:00Z</dcterms:created>
  <dc:creator>陈小龙</dc:creator>
  <cp:lastModifiedBy>杨静</cp:lastModifiedBy>
  <cp:lastPrinted>2018-04-25T06:59:00Z</cp:lastPrinted>
  <dcterms:modified xsi:type="dcterms:W3CDTF">2018-11-15T10:34:39Z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