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mc:AlternateContent>
          <mc:Choice Requires="wps">
            <w:drawing>
              <wp:anchor distT="0" distB="0" distL="114300" distR="114300" simplePos="0" relativeHeight="251656192"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1" name="文本框 8"/>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wps:txbx>
                      <wps:bodyPr upright="1"/>
                    </wps:wsp>
                  </a:graphicData>
                </a:graphic>
              </wp:anchor>
            </w:drawing>
          </mc:Choice>
          <mc:Fallback>
            <w:pict>
              <v:shape id="文本框 8" o:spid="_x0000_s1026" o:spt="202" type="#_x0000_t202" style="position:absolute;left:0pt;margin-left:-17.15pt;margin-top:7.4pt;height:90.75pt;width:506.25pt;z-index:251656192;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d+VU2AAAAAoBAAAPAAAAAAAAAAEAIAAAACIAAABk&#10;cnMvZG93bnJldi54bWxQSwECFAAUAAAACACHTuJAMZOsc5QBAAAKAwAADgAAAAAAAAABACAAAAAn&#10;AQAAZHJzL2Uyb0RvYy54bWxQSwUGAAAAAAYABgBZAQAALQUAAAAA&#10;">
                <v:fill on="f" focussize="0,0"/>
                <v:stroke on="f"/>
                <v:imagedata o:title=""/>
                <o:lock v:ext="edit" aspectratio="f"/>
                <v:textbo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v:textbox>
              </v:shape>
            </w:pict>
          </mc:Fallback>
        </mc:AlternateContent>
      </w:r>
    </w:p>
    <w:p/>
    <w:p/>
    <w:p/>
    <w:p/>
    <w:p/>
    <w:p/>
    <w:p/>
    <w:p>
      <w:pPr>
        <w:spacing w:line="600" w:lineRule="exact"/>
        <w:ind w:right="311" w:rightChars="148" w:firstLine="160" w:firstLineChars="50"/>
        <w:jc w:val="center"/>
        <w:rPr>
          <w:rFonts w:ascii="楷体_GB2312" w:eastAsia="楷体_GB2312"/>
          <w:sz w:val="32"/>
          <w:szCs w:val="32"/>
        </w:rPr>
      </w:pPr>
      <w:r>
        <w:rPr>
          <w:rFonts w:hint="eastAsia" w:ascii="仿宋_GB2312" w:eastAsia="仿宋_GB2312"/>
          <w:sz w:val="32"/>
          <w:szCs w:val="32"/>
        </w:rPr>
        <w:t>中发展党办〔2018〕4号</w:t>
      </w:r>
    </w:p>
    <w:p>
      <w:pPr>
        <w:jc w:val="center"/>
        <w:rPr>
          <w:color w:val="FF0000"/>
          <w:sz w:val="44"/>
          <w:szCs w:val="44"/>
        </w:rPr>
      </w:pPr>
      <w:r>
        <w:rPr>
          <w:sz w:val="44"/>
          <w:szCs w:val="44"/>
        </w:rPr>
        <mc:AlternateContent>
          <mc:Choice Requires="wps">
            <w:drawing>
              <wp:anchor distT="0" distB="0" distL="114300" distR="114300" simplePos="0" relativeHeight="251658240"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3" name="直线 13"/>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236.35pt;margin-top:16.4pt;height:0pt;width:207.75pt;z-index:251658240;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QYWYv0QEAAI8DAAAOAAAAAAAAAAEAIAAA&#10;ACUBAABkcnMvZTJvRG9jLnhtbFBLBQYAAAAABgAGAFkBAABoBQAAAAA=&#10;">
                <v:fill on="f" focussize="0,0"/>
                <v:stroke weight="2pt" color="#FF0000" joinstyle="round"/>
                <v:imagedata o:title=""/>
                <o:lock v:ext="edit" aspectratio="f"/>
              </v:line>
            </w:pict>
          </mc:Fallback>
        </mc:AlternateContent>
      </w:r>
      <w:r>
        <w:rPr>
          <w:sz w:val="44"/>
          <w:szCs w:val="44"/>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2" name="直线 10"/>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2.85pt;margin-top:16.4pt;height:0pt;width:208.45pt;z-index:251657216;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&#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NEDUQ1gAAAAgBAAAPAAAAAAAAAAEAIAAAACIAAABk&#10;cnMvZG93bnJldi54bWxQSwECFAAUAAAACACHTuJAHltSk88BAACPAwAADgAAAAAAAAABACAAAAAl&#10;AQAAZHJzL2Uyb0RvYy54bWxQSwUGAAAAAAYABgBZAQAAZg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ascii="方正小标宋简体" w:hAnsi="华文中宋" w:eastAsia="方正小标宋简体"/>
          <w:sz w:val="44"/>
          <w:szCs w:val="44"/>
        </w:rPr>
      </w:pPr>
    </w:p>
    <w:p>
      <w:pPr>
        <w:spacing w:line="600" w:lineRule="exact"/>
        <w:jc w:val="center"/>
        <w:rPr>
          <w:rFonts w:ascii="方正小标宋简体" w:eastAsia="方正小标宋简体"/>
          <w:color w:val="333333"/>
          <w:sz w:val="44"/>
          <w:szCs w:val="44"/>
        </w:rPr>
      </w:pPr>
      <w:r>
        <w:rPr>
          <w:rFonts w:hint="eastAsia" w:ascii="方正小标宋简体" w:eastAsia="方正小标宋简体"/>
          <w:color w:val="333333"/>
          <w:sz w:val="44"/>
          <w:szCs w:val="44"/>
        </w:rPr>
        <w:t>关于印发《中关村发展集团</w:t>
      </w:r>
    </w:p>
    <w:p>
      <w:pPr>
        <w:spacing w:line="600" w:lineRule="exact"/>
        <w:jc w:val="center"/>
        <w:rPr>
          <w:rFonts w:ascii="方正小标宋简体" w:eastAsia="方正小标宋简体"/>
          <w:color w:val="333333"/>
          <w:sz w:val="44"/>
          <w:szCs w:val="44"/>
        </w:rPr>
      </w:pPr>
      <w:r>
        <w:rPr>
          <w:rFonts w:hint="eastAsia" w:ascii="方正小标宋简体" w:eastAsia="方正小标宋简体"/>
          <w:color w:val="333333"/>
          <w:sz w:val="44"/>
          <w:szCs w:val="44"/>
        </w:rPr>
        <w:t>2018年度教育培训工作方案》的通知</w:t>
      </w:r>
    </w:p>
    <w:p>
      <w:pPr>
        <w:spacing w:line="300" w:lineRule="exact"/>
        <w:jc w:val="center"/>
        <w:rPr>
          <w:rFonts w:ascii="方正小标宋简体" w:eastAsia="方正小标宋简体"/>
          <w:color w:val="333333"/>
          <w:sz w:val="44"/>
          <w:szCs w:val="44"/>
        </w:rPr>
      </w:pPr>
    </w:p>
    <w:p>
      <w:pPr>
        <w:spacing w:line="300" w:lineRule="exact"/>
        <w:jc w:val="center"/>
        <w:rPr>
          <w:rFonts w:ascii="方正小标宋简体" w:eastAsia="方正小标宋简体"/>
          <w:color w:val="333333"/>
          <w:sz w:val="44"/>
          <w:szCs w:val="44"/>
        </w:rPr>
      </w:pPr>
    </w:p>
    <w:p>
      <w:pPr>
        <w:spacing w:line="600" w:lineRule="exact"/>
        <w:rPr>
          <w:rFonts w:ascii="楷体" w:hAnsi="楷体" w:eastAsia="楷体"/>
          <w:sz w:val="32"/>
          <w:szCs w:val="32"/>
        </w:rPr>
      </w:pPr>
      <w:r>
        <w:rPr>
          <w:rFonts w:hint="eastAsia" w:ascii="楷体" w:hAnsi="楷体" w:eastAsia="楷体"/>
          <w:sz w:val="32"/>
          <w:szCs w:val="32"/>
        </w:rPr>
        <w:t>集团各部（室）：</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现将《中关村发展集团2018年度教育培训工作方案》印发给你们，请结合实际，认真贯彻落实。</w:t>
      </w:r>
    </w:p>
    <w:p>
      <w:pPr>
        <w:spacing w:line="600" w:lineRule="exact"/>
        <w:ind w:firstLine="640" w:firstLineChars="200"/>
        <w:rPr>
          <w:rFonts w:ascii="楷体" w:hAnsi="楷体" w:eastAsia="楷体"/>
          <w:sz w:val="32"/>
          <w:szCs w:val="32"/>
        </w:rPr>
      </w:pPr>
    </w:p>
    <w:p>
      <w:pPr>
        <w:spacing w:line="600" w:lineRule="exact"/>
        <w:ind w:firstLine="640" w:firstLineChars="200"/>
        <w:rPr>
          <w:rFonts w:ascii="楷体" w:hAnsi="楷体" w:eastAsia="楷体"/>
          <w:sz w:val="32"/>
          <w:szCs w:val="32"/>
        </w:rPr>
      </w:pPr>
      <w:r>
        <w:rPr>
          <w:rFonts w:hint="eastAsia" w:ascii="楷体" w:hAnsi="楷体" w:eastAsia="楷体"/>
          <w:sz w:val="32"/>
          <w:szCs w:val="32"/>
        </w:rPr>
        <w:t xml:space="preserve">                        党委办公室/集团办公室</w:t>
      </w:r>
    </w:p>
    <w:p>
      <w:pPr>
        <w:spacing w:line="600" w:lineRule="exact"/>
        <w:ind w:firstLine="640" w:firstLineChars="200"/>
        <w:rPr>
          <w:rFonts w:ascii="楷体" w:hAnsi="楷体" w:eastAsia="楷体"/>
          <w:sz w:val="24"/>
        </w:rPr>
      </w:pPr>
      <w:r>
        <w:rPr>
          <w:rFonts w:hint="eastAsia" w:ascii="楷体" w:hAnsi="楷体" w:eastAsia="楷体"/>
          <w:sz w:val="32"/>
          <w:szCs w:val="32"/>
        </w:rPr>
        <w:t xml:space="preserve">                          2018年4月18日</w:t>
      </w:r>
    </w:p>
    <w:p>
      <w:pPr>
        <w:spacing w:line="640" w:lineRule="exact"/>
        <w:jc w:val="center"/>
        <w:rPr>
          <w:rFonts w:ascii="方正小标宋简体" w:eastAsia="方正小标宋简体"/>
          <w:color w:val="333333"/>
          <w:sz w:val="44"/>
          <w:szCs w:val="44"/>
        </w:rPr>
      </w:pPr>
    </w:p>
    <w:p>
      <w:pPr>
        <w:spacing w:line="640" w:lineRule="exact"/>
        <w:jc w:val="center"/>
        <w:rPr>
          <w:rFonts w:ascii="方正小标宋简体" w:eastAsia="方正小标宋简体"/>
          <w:color w:val="333333"/>
          <w:sz w:val="44"/>
          <w:szCs w:val="44"/>
        </w:rPr>
      </w:pPr>
    </w:p>
    <w:p>
      <w:pPr>
        <w:spacing w:line="580" w:lineRule="exact"/>
        <w:jc w:val="center"/>
        <w:rPr>
          <w:rFonts w:ascii="方正小标宋简体" w:eastAsia="方正小标宋简体"/>
          <w:color w:val="333333"/>
          <w:sz w:val="44"/>
          <w:szCs w:val="44"/>
        </w:rPr>
      </w:pPr>
    </w:p>
    <w:p>
      <w:pPr>
        <w:spacing w:line="580" w:lineRule="exact"/>
        <w:jc w:val="center"/>
        <w:rPr>
          <w:rFonts w:ascii="方正小标宋简体" w:eastAsia="方正小标宋简体"/>
          <w:color w:val="333333"/>
          <w:sz w:val="44"/>
          <w:szCs w:val="44"/>
        </w:rPr>
      </w:pPr>
    </w:p>
    <w:p>
      <w:pPr>
        <w:spacing w:line="580" w:lineRule="exact"/>
        <w:jc w:val="center"/>
        <w:rPr>
          <w:rFonts w:ascii="方正小标宋简体" w:eastAsia="方正小标宋简体"/>
          <w:color w:val="333333"/>
          <w:sz w:val="44"/>
          <w:szCs w:val="44"/>
        </w:rPr>
      </w:pPr>
    </w:p>
    <w:p>
      <w:pPr>
        <w:spacing w:line="580" w:lineRule="exact"/>
        <w:jc w:val="center"/>
        <w:rPr>
          <w:rFonts w:ascii="方正小标宋简体" w:eastAsia="方正小标宋简体"/>
          <w:color w:val="333333"/>
          <w:sz w:val="44"/>
          <w:szCs w:val="44"/>
        </w:rPr>
      </w:pPr>
      <w:r>
        <w:rPr>
          <w:rFonts w:hint="eastAsia" w:ascii="方正小标宋简体" w:eastAsia="方正小标宋简体"/>
          <w:color w:val="333333"/>
          <w:sz w:val="44"/>
          <w:szCs w:val="44"/>
        </w:rPr>
        <w:t>中关村发展集团</w:t>
      </w:r>
    </w:p>
    <w:p>
      <w:pPr>
        <w:spacing w:line="580" w:lineRule="exact"/>
        <w:jc w:val="center"/>
        <w:rPr>
          <w:rFonts w:ascii="方正小标宋简体" w:eastAsia="方正小标宋简体"/>
          <w:color w:val="333333"/>
          <w:sz w:val="44"/>
          <w:szCs w:val="44"/>
        </w:rPr>
      </w:pPr>
      <w:r>
        <w:rPr>
          <w:rFonts w:hint="eastAsia" w:ascii="方正小标宋简体" w:eastAsia="方正小标宋简体"/>
          <w:color w:val="333333"/>
          <w:sz w:val="44"/>
          <w:szCs w:val="44"/>
        </w:rPr>
        <w:t>2018年度教育培训工作方案</w:t>
      </w:r>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 w:hAnsi="仿宋" w:eastAsia="仿宋"/>
          <w:sz w:val="32"/>
          <w:szCs w:val="32"/>
        </w:rPr>
      </w:pPr>
      <w:r>
        <w:rPr>
          <w:rFonts w:hint="eastAsia" w:ascii="仿宋" w:hAnsi="仿宋" w:eastAsia="仿宋"/>
          <w:sz w:val="32"/>
          <w:szCs w:val="32"/>
        </w:rPr>
        <w:t>为深入落实中关村发展集团（简称集团）“十三五”发展规划明确的“人才强企”发展战略，贯彻落实集团人才工作会议精神，为集团人才干部搭建开拓视野、培养锻炼和增长才干的平台，提高人才干部的综合素质和业务能力，引导和支持人才干部在集团创新发展中进一步发挥作用，根据《中关村发展集团总部教育培训管理暂行办法》和集团工作计划安排，集团拟组织开展年度重点教育培训项目，制订集团2018年度教育培训工作方案。</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一、指导思想</w:t>
      </w:r>
    </w:p>
    <w:p>
      <w:pPr>
        <w:spacing w:line="580" w:lineRule="exact"/>
        <w:ind w:firstLine="640" w:firstLineChars="200"/>
        <w:rPr>
          <w:rFonts w:ascii="仿宋" w:hAnsi="仿宋" w:eastAsia="仿宋" w:cs="宋体"/>
          <w:color w:val="000000"/>
          <w:sz w:val="32"/>
          <w:szCs w:val="32"/>
        </w:rPr>
      </w:pPr>
      <w:r>
        <w:rPr>
          <w:rFonts w:hint="eastAsia" w:ascii="仿宋" w:hAnsi="仿宋" w:eastAsia="仿宋"/>
          <w:sz w:val="32"/>
          <w:szCs w:val="32"/>
        </w:rPr>
        <w:t>为更好地支撑和服务集团“十三五”期间发展战略目标的落地实施，建设创新型、学习型组织，统筹考虑集团业务发展、管理需要及人才干部发展需求，探索搭建集团统筹规划、部门和子公司分层分类实施的全员教育培训体系，增强培训工作的计划性和系统性，实现人才培训工作全覆盖，</w:t>
      </w:r>
      <w:r>
        <w:rPr>
          <w:rFonts w:hint="eastAsia" w:ascii="仿宋" w:hAnsi="仿宋" w:eastAsia="仿宋" w:cs="宋体"/>
          <w:color w:val="000000"/>
          <w:sz w:val="32"/>
          <w:szCs w:val="32"/>
        </w:rPr>
        <w:t>打造一支结构合理、素质优良、能力突出、作风过硬、活力彰显的人才队伍，为集团发展战略目标实现和各项事业创新发展提供人才保证。</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二、工作原则</w:t>
      </w:r>
    </w:p>
    <w:p>
      <w:pPr>
        <w:spacing w:line="58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（一）统一计划、分类实施原则。</w:t>
      </w:r>
      <w:r>
        <w:rPr>
          <w:rFonts w:hint="eastAsia" w:ascii="仿宋" w:hAnsi="仿宋" w:eastAsia="仿宋" w:cs="宋体"/>
          <w:color w:val="000000"/>
          <w:sz w:val="32"/>
          <w:szCs w:val="32"/>
        </w:rPr>
        <w:t>集团各部门分别提出教育培训项目计划，组织部/人力资源部负责具体统筹，按季度分类协调和组织开展。</w:t>
      </w:r>
    </w:p>
    <w:p>
      <w:pPr>
        <w:spacing w:line="580" w:lineRule="exact"/>
        <w:ind w:firstLine="640" w:firstLineChars="200"/>
        <w:rPr>
          <w:rFonts w:ascii="仿宋_GB2312" w:hAnsi="宋体" w:eastAsia="仿宋_GB2312" w:cs="宋体"/>
          <w:color w:val="000000"/>
          <w:sz w:val="32"/>
          <w:szCs w:val="32"/>
        </w:rPr>
      </w:pPr>
      <w:r>
        <w:rPr>
          <w:rFonts w:hint="eastAsia" w:ascii="楷体" w:hAnsi="楷体" w:eastAsia="楷体" w:cs="宋体"/>
          <w:color w:val="000000"/>
          <w:sz w:val="32"/>
          <w:szCs w:val="32"/>
        </w:rPr>
        <w:t>（二）统筹协调、共享资源原则。</w:t>
      </w:r>
      <w:r>
        <w:rPr>
          <w:rFonts w:hint="eastAsia" w:ascii="仿宋" w:hAnsi="仿宋" w:eastAsia="仿宋" w:cs="宋体"/>
          <w:color w:val="000000"/>
          <w:sz w:val="32"/>
          <w:szCs w:val="32"/>
        </w:rPr>
        <w:t>统筹集团体系的各类资源，利用好外部力量，与党校、干部培训学院联合办班或委托专项课程，形式多样，共享教育培训资源。</w:t>
      </w:r>
    </w:p>
    <w:p>
      <w:pPr>
        <w:spacing w:line="58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（三）突出重点、注重实效原则。</w:t>
      </w:r>
      <w:r>
        <w:rPr>
          <w:rFonts w:hint="eastAsia" w:ascii="仿宋" w:hAnsi="仿宋" w:eastAsia="仿宋" w:cs="宋体"/>
          <w:color w:val="000000"/>
          <w:sz w:val="32"/>
          <w:szCs w:val="32"/>
        </w:rPr>
        <w:t>对于明确为集团层面重点开展的培训项目，加大资源配置的支持力度，保证培训实施质量，确保培训成效。</w:t>
      </w:r>
    </w:p>
    <w:p>
      <w:pPr>
        <w:spacing w:line="580" w:lineRule="exact"/>
        <w:ind w:firstLine="640" w:firstLineChars="200"/>
        <w:rPr>
          <w:rFonts w:ascii="黑体" w:hAnsi="黑体" w:eastAsia="黑体"/>
          <w:sz w:val="32"/>
          <w:szCs w:val="32"/>
        </w:rPr>
      </w:pPr>
      <w:r>
        <w:rPr>
          <w:rFonts w:hint="eastAsia" w:ascii="黑体" w:hAnsi="黑体" w:eastAsia="黑体" w:cs="宋体"/>
          <w:color w:val="000000"/>
          <w:sz w:val="32"/>
          <w:szCs w:val="32"/>
        </w:rPr>
        <w:t>三、</w:t>
      </w:r>
      <w:r>
        <w:rPr>
          <w:rFonts w:hint="eastAsia" w:ascii="黑体" w:hAnsi="黑体" w:eastAsia="黑体"/>
          <w:sz w:val="32"/>
          <w:szCs w:val="32"/>
        </w:rPr>
        <w:t>集团组织的教育培训项目类型</w:t>
      </w:r>
    </w:p>
    <w:p>
      <w:pPr>
        <w:spacing w:line="580" w:lineRule="exact"/>
        <w:ind w:firstLine="643" w:firstLineChars="200"/>
        <w:rPr>
          <w:rFonts w:ascii="楷体" w:hAnsi="楷体" w:eastAsia="楷体"/>
          <w:b/>
          <w:sz w:val="32"/>
          <w:szCs w:val="32"/>
        </w:rPr>
      </w:pPr>
      <w:r>
        <w:rPr>
          <w:rFonts w:hint="eastAsia" w:ascii="楷体" w:hAnsi="楷体" w:eastAsia="楷体"/>
          <w:b/>
          <w:sz w:val="32"/>
          <w:szCs w:val="32"/>
        </w:rPr>
        <w:t>（一）根据主办单位层级分类</w:t>
      </w:r>
    </w:p>
    <w:p>
      <w:pPr>
        <w:spacing w:line="580" w:lineRule="exact"/>
        <w:ind w:firstLine="643" w:firstLineChars="200"/>
        <w:rPr>
          <w:rFonts w:ascii="仿宋" w:hAnsi="仿宋" w:eastAsia="仿宋" w:cs="宋体"/>
          <w:b/>
          <w:color w:val="000000"/>
          <w:sz w:val="32"/>
          <w:szCs w:val="32"/>
        </w:rPr>
      </w:pPr>
      <w:r>
        <w:rPr>
          <w:rFonts w:hint="eastAsia" w:ascii="仿宋" w:hAnsi="仿宋" w:eastAsia="仿宋" w:cs="宋体"/>
          <w:b/>
          <w:color w:val="000000"/>
          <w:sz w:val="32"/>
          <w:szCs w:val="32"/>
        </w:rPr>
        <w:t>1.市委组织部、市委党校等举办的教育培训活动。</w:t>
      </w:r>
      <w:r>
        <w:rPr>
          <w:rFonts w:hint="eastAsia" w:ascii="仿宋" w:hAnsi="仿宋" w:eastAsia="仿宋" w:cs="宋体"/>
          <w:color w:val="000000"/>
          <w:sz w:val="32"/>
          <w:szCs w:val="32"/>
        </w:rPr>
        <w:t>按照市委组织部、市委党校等年初印发实施的2018年度全市干部教育培训班次计划，集团配合做好相关工作，选派集团班子成员、中青年干部等参加相关培训班次的学习。一般包括：</w:t>
      </w:r>
      <w:r>
        <w:rPr>
          <w:rFonts w:hint="eastAsia" w:ascii="仿宋" w:hAnsi="仿宋" w:eastAsia="仿宋"/>
          <w:sz w:val="32"/>
          <w:szCs w:val="32"/>
        </w:rPr>
        <w:t>北京市学习贯彻党的“十九大”精神专题研讨班、</w:t>
      </w:r>
      <w:r>
        <w:rPr>
          <w:rFonts w:hint="eastAsia" w:ascii="仿宋" w:hAnsi="仿宋" w:eastAsia="仿宋" w:cs="宋体"/>
          <w:color w:val="000000"/>
          <w:sz w:val="32"/>
          <w:szCs w:val="32"/>
        </w:rPr>
        <w:t>党的重要会议精神专题研讨班、局级领导干部进修班、创新驱动发展与园区建设专题培训班、国际交往中心建设与国际化素质提升专题培训班及其他培训活动等，全年预计约15人次左右。</w:t>
      </w:r>
    </w:p>
    <w:p>
      <w:pPr>
        <w:spacing w:line="580" w:lineRule="exact"/>
        <w:ind w:firstLine="643" w:firstLineChars="200"/>
        <w:rPr>
          <w:rFonts w:ascii="仿宋" w:hAnsi="仿宋" w:eastAsia="仿宋"/>
          <w:sz w:val="32"/>
          <w:szCs w:val="32"/>
        </w:rPr>
      </w:pPr>
      <w:r>
        <w:rPr>
          <w:rFonts w:hint="eastAsia" w:ascii="仿宋" w:hAnsi="仿宋" w:eastAsia="仿宋" w:cs="宋体"/>
          <w:b/>
          <w:color w:val="000000"/>
          <w:sz w:val="32"/>
          <w:szCs w:val="32"/>
        </w:rPr>
        <w:t>2.集团举办的教育培训活动。</w:t>
      </w:r>
      <w:r>
        <w:rPr>
          <w:rFonts w:hint="eastAsia" w:ascii="仿宋" w:hAnsi="仿宋" w:eastAsia="仿宋" w:cs="宋体"/>
          <w:color w:val="000000"/>
          <w:sz w:val="32"/>
          <w:szCs w:val="32"/>
        </w:rPr>
        <w:t>集团党委举办的教育培训项目，主要是针对集团班子成员、集团中层干部（含总部及子公司）、总部全体员工的培训活动，一般包括：集团学习宣传贯彻党的“十九大”精神专题培训、集团党委理论学习中心组（扩大）会议集体学习</w:t>
      </w:r>
      <w:r>
        <w:rPr>
          <w:rFonts w:hint="eastAsia" w:ascii="仿宋" w:hAnsi="仿宋" w:eastAsia="仿宋"/>
          <w:sz w:val="32"/>
          <w:szCs w:val="32"/>
        </w:rPr>
        <w:t>、</w:t>
      </w:r>
      <w:r>
        <w:rPr>
          <w:rFonts w:hint="eastAsia" w:ascii="仿宋" w:hAnsi="仿宋" w:eastAsia="仿宋" w:cs="宋体"/>
          <w:color w:val="000000"/>
          <w:sz w:val="32"/>
          <w:szCs w:val="32"/>
        </w:rPr>
        <w:t>“不忘初心、牢记使命”主题教育系列培训、</w:t>
      </w:r>
      <w:r>
        <w:rPr>
          <w:rFonts w:hint="eastAsia" w:ascii="仿宋" w:hAnsi="仿宋" w:eastAsia="仿宋"/>
          <w:sz w:val="32"/>
          <w:szCs w:val="32"/>
        </w:rPr>
        <w:t>优秀党员干部赴红色教育基地专项培训、党支部书记及党务工作者专题培训、党风廉政建设专题培训</w:t>
      </w:r>
      <w:r>
        <w:rPr>
          <w:rFonts w:hint="eastAsia" w:ascii="仿宋" w:hAnsi="仿宋" w:eastAsia="仿宋" w:cs="宋体"/>
          <w:color w:val="000000"/>
          <w:sz w:val="32"/>
          <w:szCs w:val="32"/>
        </w:rPr>
        <w:t>活动、</w:t>
      </w:r>
      <w:r>
        <w:rPr>
          <w:rFonts w:hint="eastAsia" w:ascii="仿宋" w:hAnsi="仿宋" w:eastAsia="仿宋"/>
          <w:sz w:val="32"/>
          <w:szCs w:val="32"/>
        </w:rPr>
        <w:t>指导基层党组织开展政治理论学习</w:t>
      </w:r>
      <w:r>
        <w:rPr>
          <w:rFonts w:hint="eastAsia" w:ascii="仿宋" w:hAnsi="仿宋" w:eastAsia="仿宋" w:cs="宋体"/>
          <w:color w:val="000000"/>
          <w:sz w:val="32"/>
          <w:szCs w:val="32"/>
        </w:rPr>
        <w:t>等；集团举办的教育培训项目，一般包括：集团党委理论学习中心组（扩大）会议集体学习、</w:t>
      </w:r>
      <w:r>
        <w:rPr>
          <w:rFonts w:hint="eastAsia" w:ascii="仿宋" w:hAnsi="仿宋" w:eastAsia="仿宋"/>
          <w:sz w:val="32"/>
          <w:szCs w:val="32"/>
        </w:rPr>
        <w:t>市属国有企业混合所有制改革探索和实践、大型国有企业分类管理模式及激励机制探索研究等综合素质能力提升系列培训、境外服务科技创新专题考察培训、集团校园招聘青年人才的入职培训、“中发展服务科技创新主题讲坛”系列讲座、</w:t>
      </w:r>
      <w:r>
        <w:rPr>
          <w:rFonts w:hint="eastAsia" w:ascii="仿宋" w:hAnsi="仿宋" w:eastAsia="仿宋" w:cs="宋体"/>
          <w:color w:val="000000"/>
          <w:sz w:val="32"/>
          <w:szCs w:val="32"/>
        </w:rPr>
        <w:t>素质拓展与团队建设活动</w:t>
      </w:r>
      <w:r>
        <w:rPr>
          <w:rFonts w:hint="eastAsia" w:ascii="仿宋" w:hAnsi="仿宋" w:eastAsia="仿宋"/>
          <w:sz w:val="32"/>
          <w:szCs w:val="32"/>
        </w:rPr>
        <w:t>等。</w:t>
      </w:r>
    </w:p>
    <w:p>
      <w:pPr>
        <w:spacing w:line="580" w:lineRule="exact"/>
        <w:ind w:firstLine="643" w:firstLineChars="200"/>
        <w:rPr>
          <w:rFonts w:ascii="仿宋" w:hAnsi="仿宋" w:eastAsia="仿宋" w:cs="宋体"/>
          <w:color w:val="000000"/>
          <w:sz w:val="32"/>
          <w:szCs w:val="32"/>
        </w:rPr>
      </w:pPr>
      <w:r>
        <w:rPr>
          <w:rFonts w:hint="eastAsia" w:ascii="仿宋" w:hAnsi="仿宋" w:eastAsia="仿宋" w:cs="宋体"/>
          <w:b/>
          <w:color w:val="000000"/>
          <w:sz w:val="32"/>
          <w:szCs w:val="32"/>
        </w:rPr>
        <w:t>3.集团相关部门举办的教育培训活动。</w:t>
      </w:r>
      <w:r>
        <w:rPr>
          <w:rFonts w:hint="eastAsia" w:ascii="仿宋" w:hAnsi="仿宋" w:eastAsia="仿宋" w:cs="宋体"/>
          <w:color w:val="000000"/>
          <w:sz w:val="32"/>
          <w:szCs w:val="32"/>
        </w:rPr>
        <w:t>集团相关部门举办的教育培训项目，主要是</w:t>
      </w:r>
      <w:r>
        <w:rPr>
          <w:rFonts w:hint="eastAsia" w:ascii="仿宋" w:hAnsi="仿宋" w:eastAsia="仿宋"/>
          <w:sz w:val="32"/>
          <w:szCs w:val="32"/>
        </w:rPr>
        <w:t>以建设创新型、学习型组织为目标，各部门定期、不定期以不同形式组织开展，针对部门专业业务领域的培训活动和学习交流等。一般包括：子公司董监事履职能力培训、高端投行专业培训、私募基金法律实务培训、审计案例剖析、金融控股公司的内控体系建设、科技园区发展专题培训、建设单位法律责任及信息化培训、区域协同创新共同体建设实务培训、中关村海外创新中心负责人工作培训等，以及中关村精神系列宣讲、“三八”妇女节女性养生与健康讲座等加强企业文化建设的相关培训活动。</w:t>
      </w:r>
    </w:p>
    <w:p>
      <w:pPr>
        <w:spacing w:line="580" w:lineRule="exact"/>
        <w:ind w:firstLine="643" w:firstLineChars="200"/>
        <w:rPr>
          <w:rFonts w:ascii="楷体" w:hAnsi="楷体" w:eastAsia="楷体"/>
          <w:b/>
          <w:sz w:val="32"/>
          <w:szCs w:val="32"/>
        </w:rPr>
      </w:pPr>
      <w:r>
        <w:rPr>
          <w:rFonts w:hint="eastAsia" w:ascii="楷体" w:hAnsi="楷体" w:eastAsia="楷体"/>
          <w:b/>
          <w:sz w:val="32"/>
          <w:szCs w:val="32"/>
        </w:rPr>
        <w:t>（二）根据教育培训内容分类</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根据项目情况分为四类：</w:t>
      </w:r>
      <w:r>
        <w:rPr>
          <w:rFonts w:hint="eastAsia" w:ascii="仿宋" w:hAnsi="仿宋" w:eastAsia="仿宋"/>
          <w:b/>
          <w:sz w:val="32"/>
          <w:szCs w:val="32"/>
        </w:rPr>
        <w:t>一是</w:t>
      </w:r>
      <w:r>
        <w:rPr>
          <w:rFonts w:hint="eastAsia" w:ascii="仿宋" w:hAnsi="仿宋" w:eastAsia="仿宋"/>
          <w:sz w:val="32"/>
          <w:szCs w:val="32"/>
        </w:rPr>
        <w:t>加强党建及政治理论教育的培训活动，主要包括</w:t>
      </w:r>
      <w:r>
        <w:rPr>
          <w:rFonts w:hint="eastAsia" w:ascii="仿宋" w:hAnsi="仿宋" w:eastAsia="仿宋" w:cs="宋体"/>
          <w:color w:val="000000"/>
          <w:sz w:val="32"/>
          <w:szCs w:val="32"/>
        </w:rPr>
        <w:t>市委组织部、市委党校、集团党委举办的以政治建设和思想建设为主的教育培训活动</w:t>
      </w:r>
      <w:r>
        <w:rPr>
          <w:rFonts w:hint="eastAsia" w:ascii="仿宋" w:hAnsi="仿宋" w:eastAsia="仿宋"/>
          <w:sz w:val="32"/>
          <w:szCs w:val="32"/>
        </w:rPr>
        <w:t>；</w:t>
      </w:r>
      <w:r>
        <w:rPr>
          <w:rFonts w:hint="eastAsia" w:ascii="仿宋" w:hAnsi="仿宋" w:eastAsia="仿宋"/>
          <w:b/>
          <w:sz w:val="32"/>
          <w:szCs w:val="32"/>
        </w:rPr>
        <w:t>二是</w:t>
      </w:r>
      <w:r>
        <w:rPr>
          <w:rFonts w:hint="eastAsia" w:ascii="仿宋" w:hAnsi="仿宋" w:eastAsia="仿宋"/>
          <w:sz w:val="32"/>
          <w:szCs w:val="32"/>
        </w:rPr>
        <w:t>促进综合素质能力提升的培训活动，包括</w:t>
      </w:r>
      <w:r>
        <w:rPr>
          <w:rFonts w:hint="eastAsia" w:ascii="仿宋" w:hAnsi="仿宋" w:eastAsia="仿宋" w:cs="宋体"/>
          <w:color w:val="000000"/>
          <w:sz w:val="32"/>
          <w:szCs w:val="32"/>
        </w:rPr>
        <w:t>市委组织部、市委党校、集团党委、集团等举办的以提升综合业务能力和管理能力为目的的教育培训活动</w:t>
      </w:r>
      <w:r>
        <w:rPr>
          <w:rFonts w:hint="eastAsia" w:ascii="仿宋" w:hAnsi="仿宋" w:eastAsia="仿宋"/>
          <w:sz w:val="32"/>
          <w:szCs w:val="32"/>
        </w:rPr>
        <w:t>；</w:t>
      </w:r>
      <w:r>
        <w:rPr>
          <w:rFonts w:hint="eastAsia" w:ascii="仿宋" w:hAnsi="仿宋" w:eastAsia="仿宋"/>
          <w:b/>
          <w:sz w:val="32"/>
          <w:szCs w:val="32"/>
        </w:rPr>
        <w:t>三是</w:t>
      </w:r>
      <w:r>
        <w:rPr>
          <w:rFonts w:hint="eastAsia" w:ascii="仿宋" w:hAnsi="仿宋" w:eastAsia="仿宋"/>
          <w:sz w:val="32"/>
          <w:szCs w:val="32"/>
        </w:rPr>
        <w:t>促进专业能力提升的培训活动，主要包括</w:t>
      </w:r>
      <w:r>
        <w:rPr>
          <w:rFonts w:hint="eastAsia" w:ascii="仿宋" w:hAnsi="仿宋" w:eastAsia="仿宋" w:cs="宋体"/>
          <w:color w:val="000000"/>
          <w:sz w:val="32"/>
          <w:szCs w:val="32"/>
        </w:rPr>
        <w:t>集团以及各部门举办的以进一步增强岗位匹配度为目的的教育培训活动；</w:t>
      </w:r>
      <w:r>
        <w:rPr>
          <w:rFonts w:hint="eastAsia" w:ascii="仿宋" w:hAnsi="仿宋" w:eastAsia="仿宋" w:cs="宋体"/>
          <w:b/>
          <w:color w:val="000000"/>
          <w:sz w:val="32"/>
          <w:szCs w:val="32"/>
        </w:rPr>
        <w:t>四是</w:t>
      </w:r>
      <w:r>
        <w:rPr>
          <w:rFonts w:hint="eastAsia" w:ascii="仿宋" w:hAnsi="仿宋" w:eastAsia="仿宋"/>
          <w:sz w:val="32"/>
          <w:szCs w:val="32"/>
        </w:rPr>
        <w:t>加强企业文化建设的培训活动，主要包括集团相关部门组织开展的凝练集团企业文化、构建核心价值观等方面的培训活动。</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四、2018年拟开展的教育培训项目</w:t>
      </w:r>
    </w:p>
    <w:p>
      <w:pPr>
        <w:spacing w:line="58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（一）集团层面的项目。</w:t>
      </w:r>
      <w:r>
        <w:rPr>
          <w:rFonts w:hint="eastAsia" w:ascii="仿宋" w:hAnsi="仿宋" w:eastAsia="仿宋" w:cs="宋体"/>
          <w:color w:val="000000"/>
          <w:sz w:val="32"/>
          <w:szCs w:val="32"/>
        </w:rPr>
        <w:t>根据集团各部门申报和总体统筹情况，2018年拟开展教育培训项目共48项（附件1）。根据主办单位层级分类，市委组织部、市委党校等举办的教育培训项目约5项，集团党委、集团举办的教育培训项目23项，集团相关部门举办的教育培训项目20项；根据教育培训内容分类，加强党建及政治理论教育的培训项目9项，促进综合素质能力提升的培训项目18项，促进专业能力提升的培训项目17项，加强企业文化建设的培训项目4项。以上项目按季度分别组织开展。</w:t>
      </w:r>
    </w:p>
    <w:p>
      <w:pPr>
        <w:spacing w:line="58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（二）集团部门层面的项目。</w:t>
      </w:r>
      <w:r>
        <w:rPr>
          <w:rFonts w:hint="eastAsia" w:ascii="仿宋" w:hAnsi="仿宋" w:eastAsia="仿宋" w:cs="宋体"/>
          <w:color w:val="000000"/>
          <w:sz w:val="32"/>
          <w:szCs w:val="32"/>
        </w:rPr>
        <w:t>集团相关部门申报的部分</w:t>
      </w:r>
      <w:r>
        <w:rPr>
          <w:rFonts w:hint="eastAsia" w:ascii="仿宋" w:hAnsi="仿宋" w:eastAsia="仿宋"/>
          <w:sz w:val="32"/>
          <w:szCs w:val="32"/>
        </w:rPr>
        <w:t>促进专业能力提升的培训项目10项（附件2），考虑到培训项目的延续性，同时能够有效地促进工作开展，一并纳入集团2018年度教育培训计划。</w:t>
      </w:r>
    </w:p>
    <w:p>
      <w:pPr>
        <w:spacing w:line="580" w:lineRule="exact"/>
        <w:ind w:firstLine="640" w:firstLineChars="200"/>
        <w:rPr>
          <w:rFonts w:ascii="黑体" w:hAnsi="黑体" w:eastAsia="黑体" w:cs="宋体"/>
          <w:color w:val="000000"/>
          <w:sz w:val="32"/>
          <w:szCs w:val="32"/>
        </w:rPr>
      </w:pPr>
      <w:r>
        <w:rPr>
          <w:rFonts w:hint="eastAsia" w:ascii="黑体" w:hAnsi="黑体" w:eastAsia="黑体" w:cs="宋体"/>
          <w:color w:val="000000"/>
          <w:sz w:val="32"/>
          <w:szCs w:val="32"/>
        </w:rPr>
        <w:t>五、工作分工</w:t>
      </w:r>
    </w:p>
    <w:p>
      <w:pPr>
        <w:spacing w:line="58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对于市委组织部、市委党校等举办的教育培训项目，组织部/人力资源部配合做好培训筹备、学员推荐、培训组织和效果评价等工作；对于集团党委、集团举办的教育培训项目，组织部/人力资源部牵头，相关部门做好配合，确保培训工作取得实效；对于集团相关部门举办的教育培训项目，各部门各自牵头，组织部/人力资源部配合提前研究形成具体的培训工作方案，按计划组织实施；对于集团部门层面统筹的项目，各部门自行组织开展。</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六、相关保障措施</w:t>
      </w:r>
    </w:p>
    <w:p>
      <w:pPr>
        <w:spacing w:line="580" w:lineRule="exact"/>
        <w:ind w:firstLine="640" w:firstLineChars="200"/>
        <w:rPr>
          <w:rFonts w:ascii="仿宋" w:hAnsi="仿宋" w:eastAsia="仿宋"/>
          <w:sz w:val="32"/>
          <w:szCs w:val="32"/>
        </w:rPr>
      </w:pPr>
      <w:r>
        <w:rPr>
          <w:rFonts w:hint="eastAsia" w:ascii="楷体" w:hAnsi="楷体" w:eastAsia="楷体"/>
          <w:sz w:val="32"/>
          <w:szCs w:val="32"/>
        </w:rPr>
        <w:t>（一）科学合理做好培训预算。</w:t>
      </w:r>
      <w:r>
        <w:rPr>
          <w:rFonts w:hint="eastAsia" w:ascii="仿宋" w:hAnsi="仿宋" w:eastAsia="仿宋"/>
          <w:sz w:val="32"/>
          <w:szCs w:val="32"/>
        </w:rPr>
        <w:t>组织部/人力资源部负责统筹上级组织的各类培训活动以及集团举办的重点培训活动的经费预算，相关部门按照惯例做好各自培训项目的经费预算，科学合理保障培训项目开展。</w:t>
      </w:r>
    </w:p>
    <w:p>
      <w:pPr>
        <w:spacing w:line="580" w:lineRule="exact"/>
        <w:ind w:firstLine="640" w:firstLineChars="200"/>
        <w:rPr>
          <w:rFonts w:ascii="仿宋" w:hAnsi="仿宋" w:eastAsia="仿宋"/>
          <w:sz w:val="32"/>
          <w:szCs w:val="32"/>
        </w:rPr>
      </w:pPr>
      <w:r>
        <w:rPr>
          <w:rFonts w:hint="eastAsia" w:ascii="楷体" w:hAnsi="楷体" w:eastAsia="楷体"/>
          <w:sz w:val="32"/>
          <w:szCs w:val="32"/>
        </w:rPr>
        <w:t>（二）精心策划做好培训组织。</w:t>
      </w:r>
      <w:r>
        <w:rPr>
          <w:rFonts w:hint="eastAsia" w:ascii="仿宋" w:hAnsi="仿宋" w:eastAsia="仿宋"/>
          <w:sz w:val="32"/>
          <w:szCs w:val="32"/>
        </w:rPr>
        <w:t>集团组织的培训项目工作基础和实施效果比较好，要提前进行筹划，提前做好实施方案，提前通知培训对象，开展培训签到与学时管理，争取培训活动取得更好的效果。</w:t>
      </w:r>
    </w:p>
    <w:p>
      <w:pPr>
        <w:spacing w:line="580" w:lineRule="exact"/>
        <w:ind w:firstLine="640" w:firstLineChars="200"/>
        <w:rPr>
          <w:rFonts w:ascii="仿宋" w:hAnsi="仿宋" w:eastAsia="仿宋"/>
          <w:sz w:val="32"/>
          <w:szCs w:val="32"/>
        </w:rPr>
      </w:pPr>
      <w:r>
        <w:rPr>
          <w:rFonts w:hint="eastAsia" w:ascii="楷体" w:hAnsi="楷体" w:eastAsia="楷体"/>
          <w:sz w:val="32"/>
          <w:szCs w:val="32"/>
        </w:rPr>
        <w:t>（三）主动对接做好部门协同。</w:t>
      </w:r>
      <w:r>
        <w:rPr>
          <w:rFonts w:hint="eastAsia" w:ascii="仿宋" w:hAnsi="仿宋" w:eastAsia="仿宋"/>
          <w:sz w:val="32"/>
          <w:szCs w:val="32"/>
        </w:rPr>
        <w:t>对于在集团层面比较重要的、覆盖面较大的、层面比较高的培训项目，要注重调动其他相关部门、子公司的力量，主动做好协同，争取更大范围对教育培训工作的关注和理解，进一步提高教育培训活动的质量和影响力。</w:t>
      </w:r>
    </w:p>
    <w:p>
      <w:pPr>
        <w:spacing w:line="600" w:lineRule="exact"/>
        <w:ind w:firstLine="640" w:firstLineChars="200"/>
        <w:rPr>
          <w:rFonts w:ascii="仿宋" w:hAnsi="仿宋" w:eastAsia="仿宋"/>
          <w:sz w:val="32"/>
          <w:szCs w:val="32"/>
        </w:rPr>
      </w:pPr>
    </w:p>
    <w:p>
      <w:pPr>
        <w:spacing w:line="600" w:lineRule="exact"/>
        <w:ind w:left="1758" w:leftChars="304" w:hanging="1120" w:hangingChars="400"/>
        <w:rPr>
          <w:rFonts w:ascii="仿宋" w:hAnsi="仿宋" w:eastAsia="仿宋"/>
          <w:spacing w:val="-20"/>
          <w:sz w:val="32"/>
          <w:szCs w:val="32"/>
        </w:rPr>
      </w:pPr>
      <w:r>
        <w:rPr>
          <w:rFonts w:hint="eastAsia" w:ascii="仿宋" w:hAnsi="仿宋" w:eastAsia="仿宋"/>
          <w:spacing w:val="-20"/>
          <w:sz w:val="32"/>
          <w:szCs w:val="32"/>
        </w:rPr>
        <w:t>附件：1.中关村发展集团2018年度教育培训计划汇总表（集团层面）</w:t>
      </w:r>
    </w:p>
    <w:p>
      <w:pPr>
        <w:spacing w:line="600" w:lineRule="exact"/>
        <w:ind w:firstLine="1360" w:firstLineChars="500"/>
        <w:rPr>
          <w:rFonts w:ascii="仿宋" w:hAnsi="仿宋" w:eastAsia="仿宋"/>
          <w:spacing w:val="-24"/>
          <w:sz w:val="32"/>
          <w:szCs w:val="32"/>
        </w:rPr>
      </w:pPr>
      <w:r>
        <w:rPr>
          <w:rFonts w:hint="eastAsia" w:ascii="仿宋" w:hAnsi="仿宋" w:eastAsia="仿宋"/>
          <w:spacing w:val="-24"/>
          <w:sz w:val="32"/>
          <w:szCs w:val="32"/>
        </w:rPr>
        <w:t>2.中关村发展集团2018年度教育培训计划汇总表（各部门组织</w:t>
      </w:r>
      <w:r>
        <w:rPr>
          <w:rFonts w:ascii="仿宋" w:hAnsi="仿宋" w:eastAsia="仿宋"/>
          <w:spacing w:val="-24"/>
          <w:sz w:val="32"/>
          <w:szCs w:val="32"/>
        </w:rPr>
        <w:t>）</w:t>
      </w:r>
    </w:p>
    <w:p>
      <w:pPr>
        <w:spacing w:line="600" w:lineRule="exact"/>
        <w:rPr>
          <w:rFonts w:ascii="仿宋" w:hAnsi="仿宋" w:eastAsia="仿宋"/>
          <w:sz w:val="32"/>
          <w:szCs w:val="32"/>
        </w:rPr>
      </w:pPr>
    </w:p>
    <w:p>
      <w:pPr>
        <w:spacing w:line="600" w:lineRule="exact"/>
        <w:ind w:firstLine="280" w:firstLineChars="100"/>
        <w:jc w:val="left"/>
        <w:rPr>
          <w:rFonts w:ascii="仿宋" w:hAnsi="仿宋" w:eastAsia="仿宋"/>
          <w:w w:val="95"/>
          <w:sz w:val="28"/>
          <w:szCs w:val="28"/>
        </w:rPr>
      </w:pPr>
      <w:r>
        <w:rPr>
          <w:rFonts w:ascii="仿宋" w:hAnsi="仿宋" w:eastAsia="仿宋"/>
          <w:sz w:val="28"/>
          <w:szCs w:val="28"/>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412750</wp:posOffset>
                </wp:positionV>
                <wp:extent cx="5619750" cy="0"/>
                <wp:effectExtent l="0" t="0" r="0" b="0"/>
                <wp:wrapNone/>
                <wp:docPr id="5" name="自选图形 4"/>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4" o:spid="_x0000_s1026" o:spt="32" type="#_x0000_t32" style="position:absolute;left:0pt;margin-left:-1pt;margin-top:32.5pt;height:0pt;width:442.5pt;z-index:251660288;mso-width-relative:page;mso-height-relative:page;" filled="f" stroked="t" coordsize="21600,21600" o:gfxdata="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Pe3ZbUAAAACAEAAA8AAAAA&#10;AAAAAQAgAAAAIgAAAGRycy9kb3ducmV2LnhtbFBLAQIUABQAAAAIAIdO4kAmToq23wEAAKQDAAAO&#10;AAAAAAAAAAEAIAAAACMBAABkcnMvZTJvRG9jLnhtbFBLBQYAAAAABgAGAFkBAAB0BQAAAAA=&#10;">
                <v:fill on="f" focussize="0,0"/>
                <v:stroke weight="1pt" color="#000000" joinstyle="round"/>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86995</wp:posOffset>
                </wp:positionV>
                <wp:extent cx="5619750" cy="0"/>
                <wp:effectExtent l="0" t="0" r="0" b="0"/>
                <wp:wrapNone/>
                <wp:docPr id="4" name="自选图形 5"/>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5" o:spid="_x0000_s1026" o:spt="32" type="#_x0000_t32" style="position:absolute;left:0pt;margin-left:-1pt;margin-top:6.85pt;height:0pt;width:442.5pt;z-index:251661312;mso-width-relative:page;mso-height-relative:page;" filled="f" stroked="t" coordsize="21600,21600" o:gfxdata="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O4Nz9MAAAAIAQAADwAAAAAA&#10;AAABACAAAAAiAAAAZHJzL2Rvd25yZXYueG1sUEsBAhQAFAAAAAgAh07iQDz6D3ffAQAApAMAAA4A&#10;AAAAAAAAAQAgAAAAIgEAAGRycy9lMm9Eb2MueG1sUEsFBgAAAAAGAAYAWQEAAHMFA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2018年4月18日印发</w:t>
      </w:r>
    </w:p>
    <w:sectPr>
      <w:footerReference r:id="rId3" w:type="default"/>
      <w:footerReference r:id="rId4" w:type="even"/>
      <w:pgSz w:w="11906" w:h="16838"/>
      <w:pgMar w:top="2098" w:right="1474" w:bottom="1588"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0000000" w:usb2="00000012"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280"/>
      <w:jc w:val="right"/>
      <w:rPr>
        <w:rFonts w:ascii="宋体" w:hAnsi="宋体"/>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rPr>
        <w:rFonts w:ascii="宋体" w:hAnsi="宋体"/>
        <w:sz w:val="28"/>
        <w:szCs w:val="28"/>
      </w:rPr>
    </w:pPr>
    <w:r>
      <w:rPr>
        <w:rFonts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6 -</w:t>
    </w:r>
    <w:r>
      <w:rPr>
        <w:rFonts w:ascii="宋体" w:hAnsi="宋体"/>
        <w:sz w:val="28"/>
        <w:szCs w:val="28"/>
      </w:rPr>
      <w:fldChar w:fldCharType="end"/>
    </w:r>
    <w:r>
      <w:rPr>
        <w:rFonts w:ascii="宋体" w:hAnsi="宋体"/>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100000" w:hash="IpSWYspCOYjx/cV1vwrqO0mvopQ=" w:salt="zs56jOIo2v/qU5eDKMPIsg=="/>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450EF"/>
    <w:rsid w:val="0005476C"/>
    <w:rsid w:val="00085AA0"/>
    <w:rsid w:val="000C2CB0"/>
    <w:rsid w:val="000C4B9D"/>
    <w:rsid w:val="000D7743"/>
    <w:rsid w:val="00115E4D"/>
    <w:rsid w:val="001236EE"/>
    <w:rsid w:val="00187EDF"/>
    <w:rsid w:val="001D1C69"/>
    <w:rsid w:val="00204C4F"/>
    <w:rsid w:val="0021553C"/>
    <w:rsid w:val="00217E5F"/>
    <w:rsid w:val="002527ED"/>
    <w:rsid w:val="002929F2"/>
    <w:rsid w:val="00295E51"/>
    <w:rsid w:val="002A43C4"/>
    <w:rsid w:val="002F1E4D"/>
    <w:rsid w:val="00365D98"/>
    <w:rsid w:val="00381B9D"/>
    <w:rsid w:val="003F16B9"/>
    <w:rsid w:val="003F19CF"/>
    <w:rsid w:val="00402A7A"/>
    <w:rsid w:val="00406720"/>
    <w:rsid w:val="00472DE5"/>
    <w:rsid w:val="00490092"/>
    <w:rsid w:val="00492E83"/>
    <w:rsid w:val="004975B0"/>
    <w:rsid w:val="004A3A15"/>
    <w:rsid w:val="004B0196"/>
    <w:rsid w:val="004F1575"/>
    <w:rsid w:val="00507763"/>
    <w:rsid w:val="0052341A"/>
    <w:rsid w:val="00553763"/>
    <w:rsid w:val="00561894"/>
    <w:rsid w:val="005A6F69"/>
    <w:rsid w:val="005B4A0F"/>
    <w:rsid w:val="00605BAE"/>
    <w:rsid w:val="00640838"/>
    <w:rsid w:val="006F010D"/>
    <w:rsid w:val="00705335"/>
    <w:rsid w:val="00726B18"/>
    <w:rsid w:val="00735751"/>
    <w:rsid w:val="00751751"/>
    <w:rsid w:val="00763467"/>
    <w:rsid w:val="00793723"/>
    <w:rsid w:val="007B7E2C"/>
    <w:rsid w:val="007D069C"/>
    <w:rsid w:val="007E2989"/>
    <w:rsid w:val="00825644"/>
    <w:rsid w:val="00863C83"/>
    <w:rsid w:val="00892034"/>
    <w:rsid w:val="008D4FAF"/>
    <w:rsid w:val="008F0027"/>
    <w:rsid w:val="008F7087"/>
    <w:rsid w:val="00924C09"/>
    <w:rsid w:val="0094619A"/>
    <w:rsid w:val="0095729C"/>
    <w:rsid w:val="00997A7F"/>
    <w:rsid w:val="009C0CEE"/>
    <w:rsid w:val="009F43AD"/>
    <w:rsid w:val="00A37782"/>
    <w:rsid w:val="00A47382"/>
    <w:rsid w:val="00A539F5"/>
    <w:rsid w:val="00A54B38"/>
    <w:rsid w:val="00A627A0"/>
    <w:rsid w:val="00AE6E57"/>
    <w:rsid w:val="00AF68E0"/>
    <w:rsid w:val="00B00321"/>
    <w:rsid w:val="00B041EB"/>
    <w:rsid w:val="00B13502"/>
    <w:rsid w:val="00B17AC0"/>
    <w:rsid w:val="00B600CD"/>
    <w:rsid w:val="00B67AB6"/>
    <w:rsid w:val="00B73978"/>
    <w:rsid w:val="00BF01A1"/>
    <w:rsid w:val="00C20CFD"/>
    <w:rsid w:val="00C212D3"/>
    <w:rsid w:val="00C56C47"/>
    <w:rsid w:val="00C7285A"/>
    <w:rsid w:val="00CA7F16"/>
    <w:rsid w:val="00CD1726"/>
    <w:rsid w:val="00CE1BC0"/>
    <w:rsid w:val="00CF658D"/>
    <w:rsid w:val="00CF76F0"/>
    <w:rsid w:val="00D00676"/>
    <w:rsid w:val="00D17847"/>
    <w:rsid w:val="00D25606"/>
    <w:rsid w:val="00D34A71"/>
    <w:rsid w:val="00D45352"/>
    <w:rsid w:val="00D51CCE"/>
    <w:rsid w:val="00D53FE6"/>
    <w:rsid w:val="00D61CC8"/>
    <w:rsid w:val="00D66C48"/>
    <w:rsid w:val="00D847A0"/>
    <w:rsid w:val="00D8773D"/>
    <w:rsid w:val="00DB3715"/>
    <w:rsid w:val="00DD46BF"/>
    <w:rsid w:val="00DD75A4"/>
    <w:rsid w:val="00E43492"/>
    <w:rsid w:val="00E54E30"/>
    <w:rsid w:val="00E70EA7"/>
    <w:rsid w:val="00E778B7"/>
    <w:rsid w:val="00E8467B"/>
    <w:rsid w:val="00E84FF1"/>
    <w:rsid w:val="00EB7FFC"/>
    <w:rsid w:val="00EC3BC9"/>
    <w:rsid w:val="00EF47C4"/>
    <w:rsid w:val="00F02924"/>
    <w:rsid w:val="00F1667E"/>
    <w:rsid w:val="00F419B7"/>
    <w:rsid w:val="00F55CFB"/>
    <w:rsid w:val="00F568D1"/>
    <w:rsid w:val="00F63348"/>
    <w:rsid w:val="00FD78F5"/>
    <w:rsid w:val="00FE04BC"/>
    <w:rsid w:val="3742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4"/>
    <w:uiPriority w:val="0"/>
    <w:pPr>
      <w:ind w:left="100" w:leftChars="2500"/>
    </w:p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Title"/>
    <w:basedOn w:val="1"/>
    <w:next w:val="1"/>
    <w:link w:val="20"/>
    <w:qFormat/>
    <w:uiPriority w:val="10"/>
    <w:pPr>
      <w:spacing w:before="240" w:after="60"/>
      <w:jc w:val="center"/>
      <w:outlineLvl w:val="0"/>
    </w:pPr>
    <w:rPr>
      <w:rFonts w:ascii="Cambria" w:hAnsi="Cambria" w:eastAsia="仿宋_GB2312"/>
      <w:b/>
      <w:bCs/>
      <w:sz w:val="32"/>
      <w:szCs w:val="32"/>
    </w:rPr>
  </w:style>
  <w:style w:type="character" w:styleId="13">
    <w:name w:val="Strong"/>
    <w:basedOn w:val="12"/>
    <w:qFormat/>
    <w:uiPriority w:val="22"/>
    <w:rPr>
      <w:b/>
      <w:bCs/>
    </w:rPr>
  </w:style>
  <w:style w:type="paragraph" w:customStyle="1" w:styleId="15">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16">
    <w:name w:val="标头"/>
    <w:basedOn w:val="1"/>
    <w:uiPriority w:val="0"/>
    <w:rPr>
      <w:sz w:val="52"/>
      <w:u w:val="single"/>
    </w:rPr>
  </w:style>
  <w:style w:type="character" w:customStyle="1" w:styleId="17">
    <w:name w:val="页眉 Char"/>
    <w:basedOn w:val="12"/>
    <w:link w:val="8"/>
    <w:uiPriority w:val="99"/>
    <w:rPr>
      <w:kern w:val="2"/>
      <w:sz w:val="18"/>
      <w:szCs w:val="18"/>
    </w:rPr>
  </w:style>
  <w:style w:type="character" w:customStyle="1" w:styleId="18">
    <w:name w:val="页脚 Char"/>
    <w:basedOn w:val="12"/>
    <w:link w:val="7"/>
    <w:uiPriority w:val="99"/>
    <w:rPr>
      <w:kern w:val="2"/>
      <w:sz w:val="18"/>
      <w:szCs w:val="18"/>
    </w:rPr>
  </w:style>
  <w:style w:type="paragraph" w:styleId="19">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0">
    <w:name w:val="标题 Char"/>
    <w:basedOn w:val="12"/>
    <w:link w:val="11"/>
    <w:qFormat/>
    <w:uiPriority w:val="10"/>
    <w:rPr>
      <w:rFonts w:ascii="Cambria" w:hAnsi="Cambria" w:eastAsia="仿宋_GB2312"/>
      <w:b/>
      <w:bCs/>
      <w:kern w:val="2"/>
      <w:sz w:val="32"/>
      <w:szCs w:val="32"/>
    </w:rPr>
  </w:style>
  <w:style w:type="character" w:customStyle="1" w:styleId="21">
    <w:name w:val="font11"/>
    <w:basedOn w:val="12"/>
    <w:qFormat/>
    <w:uiPriority w:val="0"/>
    <w:rPr>
      <w:rFonts w:hint="eastAsia" w:ascii="仿宋_GB2312" w:eastAsia="仿宋_GB2312"/>
      <w:b/>
      <w:bCs/>
      <w:color w:val="000000"/>
      <w:sz w:val="32"/>
      <w:szCs w:val="32"/>
      <w:u w:val="none"/>
    </w:rPr>
  </w:style>
  <w:style w:type="character" w:customStyle="1" w:styleId="22">
    <w:name w:val="font21"/>
    <w:basedOn w:val="12"/>
    <w:qFormat/>
    <w:uiPriority w:val="0"/>
    <w:rPr>
      <w:rFonts w:hint="eastAsia" w:ascii="仿宋_GB2312" w:eastAsia="仿宋_GB2312"/>
      <w:color w:val="000000"/>
      <w:sz w:val="32"/>
      <w:szCs w:val="32"/>
      <w:u w:val="none"/>
    </w:rPr>
  </w:style>
  <w:style w:type="paragraph" w:styleId="23">
    <w:name w:val="List Paragraph"/>
    <w:basedOn w:val="1"/>
    <w:qFormat/>
    <w:uiPriority w:val="34"/>
    <w:pPr>
      <w:ind w:firstLine="420" w:firstLineChars="200"/>
    </w:pPr>
  </w:style>
  <w:style w:type="character" w:customStyle="1" w:styleId="24">
    <w:name w:val="日期 Char"/>
    <w:basedOn w:val="12"/>
    <w:link w:val="6"/>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03C57-9383-440F-AFF1-4967DB99FA4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431</Words>
  <Characters>2459</Characters>
  <Lines>20</Lines>
  <Paragraphs>5</Paragraphs>
  <TotalTime>173</TotalTime>
  <ScaleCrop>false</ScaleCrop>
  <LinksUpToDate>false</LinksUpToDate>
  <CharactersWithSpaces>2885</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2017-08-23T07:23:00Z</dcterms:created>
  <dc:creator>陈小龙</dc:creator>
  <cp:lastModifiedBy>杨静</cp:lastModifiedBy>
  <cp:lastPrinted>2018-04-18T00:58:00Z</cp:lastPrinted>
  <dcterms:modified xsi:type="dcterms:W3CDTF">2018-11-15T10:33:38Z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