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p>
    <w:p>
      <w:r>
        <mc:AlternateContent>
          <mc:Choice Requires="wps">
            <w:drawing>
              <wp:anchor distT="0" distB="0" distL="114300" distR="114300" simplePos="0" relativeHeight="251656192" behindDoc="0" locked="0" layoutInCell="1" allowOverlap="1">
                <wp:simplePos x="0" y="0"/>
                <wp:positionH relativeFrom="column">
                  <wp:posOffset>-217805</wp:posOffset>
                </wp:positionH>
                <wp:positionV relativeFrom="paragraph">
                  <wp:posOffset>93980</wp:posOffset>
                </wp:positionV>
                <wp:extent cx="6429375" cy="1152525"/>
                <wp:effectExtent l="0" t="0" r="0" b="0"/>
                <wp:wrapNone/>
                <wp:docPr id="1" name="文本框 8"/>
                <wp:cNvGraphicFramePr/>
                <a:graphic xmlns:a="http://schemas.openxmlformats.org/drawingml/2006/main">
                  <a:graphicData uri="http://schemas.microsoft.com/office/word/2010/wordprocessingShape">
                    <wps:wsp>
                      <wps:cNvSpPr txBox="1"/>
                      <wps:spPr>
                        <a:xfrm>
                          <a:off x="0" y="0"/>
                          <a:ext cx="6429375" cy="1152525"/>
                        </a:xfrm>
                        <a:prstGeom prst="rect">
                          <a:avLst/>
                        </a:prstGeom>
                        <a:noFill/>
                        <a:ln w="9525">
                          <a:noFill/>
                        </a:ln>
                      </wps:spPr>
                      <wps:txbx>
                        <w:txbxContent>
                          <w:p>
                            <w:pPr>
                              <w:rPr>
                                <w:rFonts w:ascii="方正小标宋简体" w:hAnsi="华文中宋" w:eastAsia="方正小标宋简体"/>
                                <w:snapToGrid w:val="0"/>
                                <w:color w:val="FF0000"/>
                                <w:spacing w:val="-14"/>
                                <w:w w:val="50"/>
                                <w:kern w:val="0"/>
                                <w:sz w:val="98"/>
                                <w:szCs w:val="98"/>
                              </w:rPr>
                            </w:pPr>
                            <w:r>
                              <w:rPr>
                                <w:rFonts w:hint="eastAsia" w:ascii="方正小标宋简体" w:hAnsi="华文中宋" w:eastAsia="方正小标宋简体"/>
                                <w:snapToGrid w:val="0"/>
                                <w:color w:val="FF0000"/>
                                <w:spacing w:val="-14"/>
                                <w:w w:val="50"/>
                                <w:kern w:val="0"/>
                                <w:position w:val="-2"/>
                                <w:sz w:val="98"/>
                                <w:szCs w:val="98"/>
                              </w:rPr>
                              <w:t>中共中关村发展集团股份有限公司委员会文件</w:t>
                            </w:r>
                          </w:p>
                          <w:p>
                            <w:pPr>
                              <w:rPr>
                                <w:szCs w:val="72"/>
                              </w:rPr>
                            </w:pPr>
                          </w:p>
                        </w:txbxContent>
                      </wps:txbx>
                      <wps:bodyPr upright="1"/>
                    </wps:wsp>
                  </a:graphicData>
                </a:graphic>
              </wp:anchor>
            </w:drawing>
          </mc:Choice>
          <mc:Fallback>
            <w:pict>
              <v:shape id="文本框 8" o:spid="_x0000_s1026" o:spt="202" type="#_x0000_t202" style="position:absolute;left:0pt;margin-left:-17.15pt;margin-top:7.4pt;height:90.75pt;width:506.25pt;z-index:251656192;mso-width-relative:page;mso-height-relative:page;" filled="f" stroked="f" coordsize="21600,21600" o:gfxdata="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BYd+VU2AAAAAoBAAAPAAAAAAAAAAEAIAAAACIAAABk&#10;cnMvZG93bnJldi54bWxQSwECFAAUAAAACACHTuJAMZOsc5QBAAAKAwAADgAAAAAAAAABACAAAAAn&#10;AQAAZHJzL2Uyb0RvYy54bWxQSwUGAAAAAAYABgBZAQAALQUAAAAA&#10;">
                <v:fill on="f" focussize="0,0"/>
                <v:stroke on="f"/>
                <v:imagedata o:title=""/>
                <o:lock v:ext="edit" aspectratio="f"/>
                <v:textbox>
                  <w:txbxContent>
                    <w:p>
                      <w:pPr>
                        <w:rPr>
                          <w:rFonts w:ascii="方正小标宋简体" w:hAnsi="华文中宋" w:eastAsia="方正小标宋简体"/>
                          <w:snapToGrid w:val="0"/>
                          <w:color w:val="FF0000"/>
                          <w:spacing w:val="-14"/>
                          <w:w w:val="50"/>
                          <w:kern w:val="0"/>
                          <w:sz w:val="98"/>
                          <w:szCs w:val="98"/>
                        </w:rPr>
                      </w:pPr>
                      <w:r>
                        <w:rPr>
                          <w:rFonts w:hint="eastAsia" w:ascii="方正小标宋简体" w:hAnsi="华文中宋" w:eastAsia="方正小标宋简体"/>
                          <w:snapToGrid w:val="0"/>
                          <w:color w:val="FF0000"/>
                          <w:spacing w:val="-14"/>
                          <w:w w:val="50"/>
                          <w:kern w:val="0"/>
                          <w:position w:val="-2"/>
                          <w:sz w:val="98"/>
                          <w:szCs w:val="98"/>
                        </w:rPr>
                        <w:t>中共中关村发展集团股份有限公司委员会文件</w:t>
                      </w:r>
                    </w:p>
                    <w:p>
                      <w:pPr>
                        <w:rPr>
                          <w:szCs w:val="72"/>
                        </w:rPr>
                      </w:pPr>
                    </w:p>
                  </w:txbxContent>
                </v:textbox>
              </v:shape>
            </w:pict>
          </mc:Fallback>
        </mc:AlternateContent>
      </w:r>
    </w:p>
    <w:p/>
    <w:p/>
    <w:p/>
    <w:p/>
    <w:p/>
    <w:p/>
    <w:p/>
    <w:p>
      <w:pPr>
        <w:spacing w:line="600" w:lineRule="exact"/>
        <w:ind w:right="311" w:rightChars="148" w:firstLine="160" w:firstLineChars="50"/>
        <w:jc w:val="center"/>
        <w:rPr>
          <w:rFonts w:ascii="楷体_GB2312" w:eastAsia="楷体_GB2312"/>
          <w:sz w:val="32"/>
          <w:szCs w:val="32"/>
        </w:rPr>
      </w:pPr>
      <w:r>
        <w:rPr>
          <w:rFonts w:hint="eastAsia" w:ascii="仿宋_GB2312" w:eastAsia="仿宋_GB2312"/>
          <w:sz w:val="32"/>
          <w:szCs w:val="32"/>
        </w:rPr>
        <w:t>中发展党办〔2018〕3号</w:t>
      </w:r>
    </w:p>
    <w:p>
      <w:pPr>
        <w:jc w:val="center"/>
        <w:rPr>
          <w:color w:val="FF0000"/>
          <w:sz w:val="44"/>
          <w:szCs w:val="44"/>
        </w:rPr>
      </w:pPr>
      <w:r>
        <w:rPr>
          <w:sz w:val="44"/>
          <w:szCs w:val="44"/>
        </w:rPr>
        <mc:AlternateContent>
          <mc:Choice Requires="wps">
            <w:drawing>
              <wp:anchor distT="0" distB="0" distL="114300" distR="114300" simplePos="0" relativeHeight="251658240" behindDoc="0" locked="0" layoutInCell="1" allowOverlap="1">
                <wp:simplePos x="0" y="0"/>
                <wp:positionH relativeFrom="column">
                  <wp:posOffset>3001645</wp:posOffset>
                </wp:positionH>
                <wp:positionV relativeFrom="paragraph">
                  <wp:posOffset>208280</wp:posOffset>
                </wp:positionV>
                <wp:extent cx="2638425" cy="0"/>
                <wp:effectExtent l="0" t="0" r="0" b="0"/>
                <wp:wrapNone/>
                <wp:docPr id="3" name="直线 13"/>
                <wp:cNvGraphicFramePr/>
                <a:graphic xmlns:a="http://schemas.openxmlformats.org/drawingml/2006/main">
                  <a:graphicData uri="http://schemas.microsoft.com/office/word/2010/wordprocessingShape">
                    <wps:wsp>
                      <wps:cNvSpPr/>
                      <wps:spPr>
                        <a:xfrm>
                          <a:off x="0" y="0"/>
                          <a:ext cx="2638425" cy="0"/>
                        </a:xfrm>
                        <a:prstGeom prst="line">
                          <a:avLst/>
                        </a:prstGeom>
                        <a:ln w="25400" cap="flat" cmpd="sng">
                          <a:solidFill>
                            <a:srgbClr val="FF0000"/>
                          </a:solidFill>
                          <a:prstDash val="solid"/>
                          <a:headEnd type="none" w="med" len="med"/>
                          <a:tailEnd type="none" w="med" len="med"/>
                        </a:ln>
                      </wps:spPr>
                      <wps:bodyPr upright="1"/>
                    </wps:wsp>
                  </a:graphicData>
                </a:graphic>
              </wp:anchor>
            </w:drawing>
          </mc:Choice>
          <mc:Fallback>
            <w:pict>
              <v:line id="直线 13" o:spid="_x0000_s1026" o:spt="20" style="position:absolute;left:0pt;margin-left:236.35pt;margin-top:16.4pt;height:0pt;width:207.75pt;z-index:251658240;mso-width-relative:page;mso-height-relative:page;" filled="f" stroked="t" coordsize="21600,21600" o:gfxdata="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GVwY3vWAAAACQEAAA8AAAAAAAAAAQAgAAAAIgAA&#10;AGRycy9kb3ducmV2LnhtbFBLAQIUABQAAAAIAIdO4kDQYWYv0QEAAI8DAAAOAAAAAAAAAAEAIAAA&#10;ACUBAABkcnMvZTJvRG9jLnhtbFBLBQYAAAAABgAGAFkBAABoBQAAAAA=&#10;">
                <v:fill on="f" focussize="0,0"/>
                <v:stroke weight="2pt" color="#FF0000" joinstyle="round"/>
                <v:imagedata o:title=""/>
                <o:lock v:ext="edit" aspectratio="f"/>
              </v:line>
            </w:pict>
          </mc:Fallback>
        </mc:AlternateContent>
      </w:r>
      <w:r>
        <w:rPr>
          <w:sz w:val="44"/>
          <w:szCs w:val="44"/>
        </w:rPr>
        <mc:AlternateContent>
          <mc:Choice Requires="wps">
            <w:drawing>
              <wp:anchor distT="0" distB="0" distL="114300" distR="114300" simplePos="0" relativeHeight="251657216" behindDoc="0" locked="0" layoutInCell="1" allowOverlap="1">
                <wp:simplePos x="0" y="0"/>
                <wp:positionH relativeFrom="column">
                  <wp:posOffset>-36195</wp:posOffset>
                </wp:positionH>
                <wp:positionV relativeFrom="paragraph">
                  <wp:posOffset>208280</wp:posOffset>
                </wp:positionV>
                <wp:extent cx="2647315" cy="0"/>
                <wp:effectExtent l="0" t="0" r="0" b="0"/>
                <wp:wrapNone/>
                <wp:docPr id="2" name="直线 10"/>
                <wp:cNvGraphicFramePr/>
                <a:graphic xmlns:a="http://schemas.openxmlformats.org/drawingml/2006/main">
                  <a:graphicData uri="http://schemas.microsoft.com/office/word/2010/wordprocessingShape">
                    <wps:wsp>
                      <wps:cNvSpPr/>
                      <wps:spPr>
                        <a:xfrm>
                          <a:off x="0" y="0"/>
                          <a:ext cx="2647315" cy="0"/>
                        </a:xfrm>
                        <a:prstGeom prst="line">
                          <a:avLst/>
                        </a:prstGeom>
                        <a:ln w="25400" cap="flat" cmpd="sng">
                          <a:solidFill>
                            <a:srgbClr val="FF0000"/>
                          </a:solidFill>
                          <a:prstDash val="solid"/>
                          <a:headEnd type="none" w="med" len="med"/>
                          <a:tailEnd type="none" w="med" len="med"/>
                        </a:ln>
                      </wps:spPr>
                      <wps:bodyPr upright="1"/>
                    </wps:wsp>
                  </a:graphicData>
                </a:graphic>
              </wp:anchor>
            </w:drawing>
          </mc:Choice>
          <mc:Fallback>
            <w:pict>
              <v:line id="直线 10" o:spid="_x0000_s1026" o:spt="20" style="position:absolute;left:0pt;margin-left:-2.85pt;margin-top:16.4pt;height:0pt;width:208.45pt;z-index:251657216;mso-width-relative:page;mso-height-relative:page;" filled="f" stroked="t" coordsize="21600,21600" o:gfxdata="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NEDUQ1gAAAAgBAAAPAAAAAAAAAAEAIAAAACIAAABk&#10;cnMvZG93bnJldi54bWxQSwECFAAUAAAACACHTuJAHltSk88BAACPAwAADgAAAAAAAAABACAAAAAl&#10;AQAAZHJzL2Uyb0RvYy54bWxQSwUGAAAAAAYABgBZAQAAZgUAAAAA&#10;">
                <v:fill on="f" focussize="0,0"/>
                <v:stroke weight="2pt" color="#FF0000" joinstyle="round"/>
                <v:imagedata o:title=""/>
                <o:lock v:ext="edit" aspectratio="f"/>
              </v:line>
            </w:pict>
          </mc:Fallback>
        </mc:AlternateContent>
      </w:r>
      <w:r>
        <w:rPr>
          <w:rFonts w:hint="eastAsia"/>
          <w:color w:val="FF0000"/>
          <w:sz w:val="44"/>
          <w:szCs w:val="44"/>
        </w:rPr>
        <w:t>★</w:t>
      </w:r>
    </w:p>
    <w:p>
      <w:pPr>
        <w:jc w:val="center"/>
        <w:rPr>
          <w:color w:val="FF0000"/>
          <w:sz w:val="44"/>
          <w:szCs w:val="44"/>
        </w:rPr>
      </w:pPr>
    </w:p>
    <w:p>
      <w:pPr>
        <w:spacing w:line="600" w:lineRule="exact"/>
        <w:jc w:val="center"/>
        <w:rPr>
          <w:rFonts w:ascii="方正小标宋简体" w:hAnsi="方正小标宋简体" w:eastAsia="方正小标宋简体" w:cs="方正小标宋简体"/>
          <w:sz w:val="44"/>
          <w:szCs w:val="44"/>
        </w:rPr>
      </w:pPr>
      <w:r>
        <w:rPr>
          <w:rFonts w:hint="eastAsia" w:ascii="方正小标宋简体" w:hAnsi="方正小标宋简体" w:eastAsia="方正小标宋简体" w:cs="方正小标宋简体"/>
          <w:sz w:val="44"/>
          <w:szCs w:val="44"/>
        </w:rPr>
        <w:t>中共中关村发展集团委员会办公室</w:t>
      </w:r>
    </w:p>
    <w:p>
      <w:pPr>
        <w:spacing w:line="600" w:lineRule="exact"/>
        <w:jc w:val="center"/>
        <w:rPr>
          <w:rFonts w:ascii="方正小标宋简体" w:hAnsi="方正小标宋简体" w:eastAsia="方正小标宋简体" w:cs="方正小标宋简体"/>
          <w:sz w:val="44"/>
          <w:szCs w:val="44"/>
        </w:rPr>
      </w:pPr>
      <w:r>
        <w:rPr>
          <w:rFonts w:hint="eastAsia" w:ascii="方正小标宋简体" w:hAnsi="方正小标宋简体" w:eastAsia="方正小标宋简体" w:cs="方正小标宋简体"/>
          <w:sz w:val="44"/>
          <w:szCs w:val="44"/>
        </w:rPr>
        <w:t>关于印发《2018年中关村发展集团党委理论学习中心组学习计划》的通知</w:t>
      </w:r>
    </w:p>
    <w:p>
      <w:pPr>
        <w:spacing w:line="600" w:lineRule="exact"/>
      </w:pPr>
    </w:p>
    <w:p>
      <w:pPr>
        <w:spacing w:line="600" w:lineRule="exact"/>
        <w:rPr>
          <w:rFonts w:ascii="楷体" w:hAnsi="楷体" w:eastAsia="楷体" w:cs="仿宋_GB2312"/>
          <w:sz w:val="32"/>
          <w:szCs w:val="32"/>
        </w:rPr>
      </w:pPr>
      <w:r>
        <w:rPr>
          <w:rFonts w:hint="eastAsia" w:ascii="楷体" w:hAnsi="楷体" w:eastAsia="楷体" w:cs="仿宋_GB2312"/>
          <w:sz w:val="32"/>
          <w:szCs w:val="32"/>
        </w:rPr>
        <w:t>集团各部（室）、各子公司：</w:t>
      </w:r>
    </w:p>
    <w:p>
      <w:pPr>
        <w:spacing w:line="600" w:lineRule="exact"/>
        <w:ind w:firstLine="640" w:firstLineChars="200"/>
        <w:rPr>
          <w:rFonts w:ascii="楷体" w:hAnsi="楷体" w:eastAsia="楷体" w:cs="仿宋_GB2312"/>
          <w:sz w:val="32"/>
          <w:szCs w:val="32"/>
        </w:rPr>
      </w:pPr>
      <w:r>
        <w:rPr>
          <w:rFonts w:hint="eastAsia" w:ascii="楷体" w:hAnsi="楷体" w:eastAsia="楷体" w:cs="仿宋_GB2312"/>
          <w:sz w:val="32"/>
          <w:szCs w:val="32"/>
        </w:rPr>
        <w:t>经2018年第5次党委会研究同意，现将《2018年中关村发展集团党委理论学习中心组学习计划》印发给你们，请结合实际认真贯彻落实。</w:t>
      </w:r>
    </w:p>
    <w:p>
      <w:pPr>
        <w:spacing w:line="600" w:lineRule="exact"/>
        <w:rPr>
          <w:rFonts w:ascii="楷体" w:hAnsi="楷体" w:eastAsia="楷体" w:cs="仿宋_GB2312"/>
          <w:sz w:val="32"/>
          <w:szCs w:val="32"/>
        </w:rPr>
      </w:pPr>
    </w:p>
    <w:p>
      <w:pPr>
        <w:spacing w:line="600" w:lineRule="exact"/>
        <w:rPr>
          <w:rFonts w:ascii="楷体" w:hAnsi="楷体" w:eastAsia="楷体" w:cs="仿宋_GB2312"/>
          <w:sz w:val="32"/>
          <w:szCs w:val="32"/>
        </w:rPr>
      </w:pPr>
    </w:p>
    <w:p>
      <w:pPr>
        <w:spacing w:line="600" w:lineRule="exact"/>
        <w:rPr>
          <w:rFonts w:ascii="楷体" w:hAnsi="楷体" w:eastAsia="楷体" w:cs="仿宋_GB2312"/>
          <w:sz w:val="32"/>
          <w:szCs w:val="32"/>
        </w:rPr>
      </w:pPr>
      <w:r>
        <w:rPr>
          <w:rFonts w:hint="eastAsia" w:ascii="楷体" w:hAnsi="楷体" w:eastAsia="楷体" w:cs="仿宋_GB2312"/>
          <w:sz w:val="32"/>
          <w:szCs w:val="32"/>
        </w:rPr>
        <w:t xml:space="preserve">                     中关村发展集团委员会办公室                                         </w:t>
      </w:r>
    </w:p>
    <w:p>
      <w:pPr>
        <w:widowControl/>
        <w:jc w:val="left"/>
        <w:rPr>
          <w:rFonts w:ascii="楷体" w:hAnsi="楷体" w:eastAsia="楷体" w:cs="仿宋_GB2312"/>
          <w:sz w:val="32"/>
          <w:szCs w:val="32"/>
        </w:rPr>
      </w:pPr>
      <w:r>
        <w:rPr>
          <w:rFonts w:hint="eastAsia" w:ascii="楷体" w:hAnsi="楷体" w:eastAsia="楷体" w:cs="仿宋_GB2312"/>
          <w:sz w:val="32"/>
          <w:szCs w:val="32"/>
        </w:rPr>
        <w:t xml:space="preserve">                             2018年3月16日</w:t>
      </w:r>
    </w:p>
    <w:p>
      <w:pPr>
        <w:widowControl/>
        <w:jc w:val="left"/>
        <w:rPr>
          <w:rFonts w:ascii="方正小标宋简体" w:hAnsi="Cambria" w:eastAsia="方正小标宋简体"/>
          <w:bCs/>
          <w:sz w:val="44"/>
          <w:szCs w:val="44"/>
        </w:rPr>
      </w:pPr>
      <w:r>
        <w:rPr>
          <w:rFonts w:ascii="方正小标宋简体" w:eastAsia="方正小标宋简体"/>
          <w:b/>
          <w:sz w:val="44"/>
          <w:szCs w:val="44"/>
        </w:rPr>
        <w:br w:type="page"/>
      </w:r>
    </w:p>
    <w:p>
      <w:pPr>
        <w:spacing w:line="600" w:lineRule="exact"/>
        <w:jc w:val="center"/>
        <w:rPr>
          <w:rFonts w:ascii="方正小标宋简体" w:hAnsi="方正小标宋简体" w:eastAsia="方正小标宋简体" w:cs="方正小标宋简体"/>
          <w:sz w:val="44"/>
          <w:szCs w:val="44"/>
        </w:rPr>
      </w:pPr>
      <w:r>
        <w:rPr>
          <w:rFonts w:hint="eastAsia" w:ascii="方正小标宋简体" w:hAnsi="方正小标宋简体" w:eastAsia="方正小标宋简体" w:cs="方正小标宋简体"/>
          <w:sz w:val="44"/>
          <w:szCs w:val="44"/>
        </w:rPr>
        <w:t>2018年中关村发展集团</w:t>
      </w:r>
    </w:p>
    <w:p>
      <w:pPr>
        <w:spacing w:line="600" w:lineRule="exact"/>
        <w:jc w:val="center"/>
        <w:rPr>
          <w:rFonts w:ascii="方正小标宋简体" w:hAnsi="方正小标宋简体" w:eastAsia="方正小标宋简体" w:cs="方正小标宋简体"/>
          <w:sz w:val="44"/>
          <w:szCs w:val="44"/>
        </w:rPr>
      </w:pPr>
      <w:r>
        <w:rPr>
          <w:rFonts w:hint="eastAsia" w:ascii="方正小标宋简体" w:hAnsi="方正小标宋简体" w:eastAsia="方正小标宋简体" w:cs="方正小标宋简体"/>
          <w:sz w:val="44"/>
          <w:szCs w:val="44"/>
        </w:rPr>
        <w:t>党委理论学习中心组学习计划</w:t>
      </w:r>
    </w:p>
    <w:p>
      <w:pPr>
        <w:spacing w:line="600" w:lineRule="exact"/>
        <w:ind w:firstLine="640" w:firstLineChars="200"/>
        <w:rPr>
          <w:rFonts w:ascii="仿宋_GB2312" w:hAnsi="仿宋_GB2312" w:eastAsia="仿宋_GB2312" w:cs="仿宋_GB2312"/>
          <w:sz w:val="32"/>
          <w:szCs w:val="32"/>
        </w:rPr>
      </w:pPr>
    </w:p>
    <w:p>
      <w:pPr>
        <w:spacing w:line="600" w:lineRule="exact"/>
        <w:ind w:firstLine="640" w:firstLineChars="200"/>
        <w:rPr>
          <w:rFonts w:ascii="仿宋" w:hAnsi="仿宋" w:eastAsia="仿宋" w:cs="仿宋_GB2312"/>
          <w:sz w:val="32"/>
          <w:szCs w:val="32"/>
        </w:rPr>
      </w:pPr>
      <w:r>
        <w:rPr>
          <w:rFonts w:hint="eastAsia" w:ascii="仿宋" w:hAnsi="仿宋" w:eastAsia="仿宋" w:cs="仿宋_GB2312"/>
          <w:sz w:val="32"/>
          <w:szCs w:val="32"/>
        </w:rPr>
        <w:t>2018年是贯彻党的十九大精神的开局之年，是改革开放40周年，是决胜全面建成小康社会、实施“十三五”规划承上启下的关键一年。为深入推进学习贯彻习近平新时代中国特色社会主义思想和党的十九大精神，落实《中国共产党党委（党组）理论学习中心组学习规则》《北京市关于贯彻&lt;中国共产党党委（党组）理论学习中心组学习规则的实施办法&gt;》《中关村发展集团党委理论学习中心组学习制度》，进一步加强学习型党组织、学习型领导班子建设，提高集团领导班子成员理论素养，发挥领导干部的示范带头作用，按照中宣部和市委精神，对2018年度中关村发展集团党委理论学习中心组学习计划作出如下安排。</w:t>
      </w:r>
    </w:p>
    <w:p>
      <w:pPr>
        <w:spacing w:line="600" w:lineRule="exact"/>
        <w:ind w:firstLine="640" w:firstLineChars="200"/>
        <w:rPr>
          <w:rFonts w:ascii="黑体" w:hAnsi="黑体" w:eastAsia="黑体" w:cs="黑体"/>
          <w:sz w:val="32"/>
          <w:szCs w:val="32"/>
        </w:rPr>
      </w:pPr>
      <w:r>
        <w:rPr>
          <w:rFonts w:hint="eastAsia" w:ascii="黑体" w:hAnsi="黑体" w:eastAsia="黑体" w:cs="黑体"/>
          <w:sz w:val="32"/>
          <w:szCs w:val="32"/>
        </w:rPr>
        <w:t>一、指导思想</w:t>
      </w:r>
    </w:p>
    <w:p>
      <w:pPr>
        <w:spacing w:line="600" w:lineRule="exact"/>
        <w:ind w:firstLine="640" w:firstLineChars="200"/>
        <w:rPr>
          <w:rFonts w:ascii="仿宋" w:hAnsi="仿宋" w:eastAsia="仿宋" w:cs="仿宋_GB2312"/>
          <w:sz w:val="32"/>
          <w:szCs w:val="32"/>
        </w:rPr>
      </w:pPr>
      <w:r>
        <w:rPr>
          <w:rFonts w:hint="eastAsia" w:ascii="仿宋" w:hAnsi="仿宋" w:eastAsia="仿宋" w:cs="仿宋_GB2312"/>
          <w:sz w:val="32"/>
          <w:szCs w:val="32"/>
        </w:rPr>
        <w:t>全面深入学习贯彻党的十九大精神，以习近平新时代中国特色社会主义思想为指引，深刻领会习近平总书记对北京重要讲话精神，结合工作实际和年度重点工作，深入学习理论知识，积极创新学习方式，大力提升学习效果，不断提高领导班子和领导干部的理论水平和工作能力，为全力服务支撑全国科技创新中心建设提供思想保证和理论支持。</w:t>
      </w:r>
    </w:p>
    <w:p>
      <w:pPr>
        <w:spacing w:line="600" w:lineRule="exact"/>
        <w:ind w:firstLine="640" w:firstLineChars="200"/>
        <w:rPr>
          <w:rFonts w:ascii="黑体" w:hAnsi="黑体" w:eastAsia="黑体" w:cs="黑体"/>
          <w:sz w:val="32"/>
          <w:szCs w:val="32"/>
        </w:rPr>
      </w:pPr>
      <w:r>
        <w:rPr>
          <w:rFonts w:hint="eastAsia" w:ascii="黑体" w:hAnsi="黑体" w:eastAsia="黑体" w:cs="黑体"/>
          <w:sz w:val="32"/>
          <w:szCs w:val="32"/>
        </w:rPr>
        <w:t>二、学习重点</w:t>
      </w:r>
    </w:p>
    <w:p>
      <w:pPr>
        <w:spacing w:line="600" w:lineRule="exact"/>
        <w:ind w:firstLine="640" w:firstLineChars="200"/>
        <w:rPr>
          <w:rFonts w:ascii="仿宋" w:hAnsi="仿宋" w:eastAsia="仿宋" w:cs="仿宋_GB2312"/>
          <w:sz w:val="32"/>
          <w:szCs w:val="32"/>
        </w:rPr>
      </w:pPr>
      <w:r>
        <w:rPr>
          <w:rFonts w:hint="eastAsia" w:ascii="仿宋" w:hAnsi="仿宋" w:eastAsia="仿宋" w:cs="仿宋_GB2312"/>
          <w:sz w:val="32"/>
          <w:szCs w:val="32"/>
        </w:rPr>
        <w:t>1.学习领会习近平新时代中国特色社会主义思想是一个系统完整、内涵丰富、逻辑严密的科学理论体系。深刻认识党的十八大以来党和国家事业之所以取得历史性成就和变革，根本在于以习近平同志为核心的党中央的坚强领导，在于习近平新时代中国特色社会主义思想和科学指导；深刻认识习近平新时代中国特色社会主义思想以一系列相互联系、相互贯通的创新观点、重大战略，从理论和实践结合上系统回答了新时代坚持和发展什么样的中国特色社会主义、怎样坚持和发展中国特色社会主义这个重大时代课题，回答了新时代党和国家事业发展的一系列基本问题，为发展马克思主义作出了中国的原创性贡献；深刻认识这一重要思想内容丰富、内涵深刻，涉及生产力和生产关系、经济基础和上层建筑各个环节，涵盖改革发展稳定、治党治国治军、内政外交国防各个领域各个方面，为全面建成社会主义现代化强国、实现中华民族伟大复兴提供了科学理论指导和行动指南；深刻认识习近平新时代中国特色社会主义思想是21世纪马克思主义、当代中国马克思主义，是走好新时代长征路的主心骨、定盘星、度量衡，是全体党员干部必须念好的马克思主义“真经”。实践证明并将继续证明，只有习近平新时代中国特色社会主义思想，而没有别的什么思想，能够解决中国特色社会主义、中华民族的前途命运问题。通过系统深入学习，从整体上理解把握这一科学理论体系的思想精髓和精神实质，进一步坚定对马克思主义和中国特色社会主义的信仰信念，进一步增强对全面建成社会主义现代化强国、实现中华民族伟大复兴的强大信心，进一步增强对习近平总书记和党中央的绝对信任，切实把思想和行动统一到习近平新时代中国特色社会主义思想上来。必须提高政治站位、树立历史眼光、强化理论思维、增强大局观念、丰富知识素养、坚持问题导向，从历史和现实相贯通、国际和国内相关联、理论和实践相结合的宽广视角进行思考和把握，做到坚持和发展中国特色社会主义要一以贯之，推动党的建设伟大工程要一以贯之，增强忧患意识、防范风险挑战要一以贯之，以时不我待、只争朝夕的精神，不断开创新时代中国特色社会主义事业新局面。</w:t>
      </w:r>
    </w:p>
    <w:p>
      <w:pPr>
        <w:spacing w:line="600" w:lineRule="exact"/>
        <w:ind w:firstLine="640" w:firstLineChars="200"/>
        <w:rPr>
          <w:rFonts w:ascii="仿宋" w:hAnsi="仿宋" w:eastAsia="仿宋" w:cs="仿宋_GB2312"/>
          <w:sz w:val="32"/>
          <w:szCs w:val="32"/>
        </w:rPr>
      </w:pPr>
      <w:r>
        <w:rPr>
          <w:rFonts w:hint="eastAsia" w:ascii="仿宋" w:hAnsi="仿宋" w:eastAsia="仿宋" w:cs="仿宋_GB2312"/>
          <w:sz w:val="32"/>
          <w:szCs w:val="32"/>
        </w:rPr>
        <w:t>2.学习领会中国特色社会主义进入新时代和我国社会主要矛盾发生历史性变化的重大政治判断。深刻认识中国特色社会主义进入新时代，是当代中国发展新的历史方位，是关系全局的战略考量；这个新时代是中国特色社会主义新时代，而不是别的什么新时代；深刻认识我国社会主要矛盾转化为人民日益增长的美好生活需要和不平衡不充分的发展之间的矛盾，是关系全局的历史性变化，是全党工作的战略重点和主攻方向；准确把握提出新时代的重大意义、丰富内涵和战略部署；准确把握我国处于并将长期处于社会主义初级阶段的基本国情没有变，我国作为世界上最大的发展中国家的国际地位没有变。通过系统深入学习，全面把握新时代的新要求，进一步坚持以人民为中心的发展理念，坚定不移把发展作为党执政兴国的第一要务，毫不动摇把经济建设作为中心任务，更加注重全面协调可持续发展，更加注重解决好发展不平衡不充分的问题，更加注重保障和改善民生水平，不断促进社会公平正义，推动全体人民走向共同富裕。</w:t>
      </w:r>
    </w:p>
    <w:p>
      <w:pPr>
        <w:spacing w:line="600" w:lineRule="exact"/>
        <w:ind w:firstLine="640" w:firstLineChars="200"/>
        <w:rPr>
          <w:rFonts w:ascii="仿宋" w:hAnsi="仿宋" w:eastAsia="仿宋" w:cs="仿宋_GB2312"/>
          <w:sz w:val="32"/>
          <w:szCs w:val="32"/>
        </w:rPr>
      </w:pPr>
      <w:r>
        <w:rPr>
          <w:rFonts w:hint="eastAsia" w:ascii="仿宋" w:hAnsi="仿宋" w:eastAsia="仿宋" w:cs="仿宋_GB2312"/>
          <w:sz w:val="32"/>
          <w:szCs w:val="32"/>
        </w:rPr>
        <w:t>3.学习领会新时代中国共产党的初心和使命是“为中国人民谋幸福，为中华民族谋复兴”的重要论断。结合开展“不忘初心、牢记使命”主题教育，深刻认识一切为了人民、一切依靠人民，让老百姓过上好日子是我们一切工作的根本出发点和落脚点；深刻认识实现中华民族伟大复兴是近代以来中华民族最伟大的梦想，是新时代中国共产党最为光荣而艰巨的历史使命；深刻认识不忘初心，牢记使命，就不要忘记我们是共产党人，我们是革命者，不要丧失了革命精神；昨天的成功并不代表着今后能够永远成功，过去的辉煌并不意味着未来可以永远辉煌；时代是出卷人，我们是答卷人，人民是阅卷人。通过系统深入学习，永远把人民对美好生活的向往作为奋斗目标，始终把实现好、维护好、发展好最广大人民根本利益作为最高标准，践行全心全意为人民服务的根本宗旨，以永不懈怠的精神状态和一往无前的奋斗姿态，付出更为艰巨、更为艰苦的努力，为谱写中华民族伟大复兴的中国梦的北京篇章而奋斗。</w:t>
      </w:r>
    </w:p>
    <w:p>
      <w:pPr>
        <w:spacing w:line="600" w:lineRule="exact"/>
        <w:ind w:firstLine="640" w:firstLineChars="200"/>
        <w:rPr>
          <w:rFonts w:ascii="仿宋" w:hAnsi="仿宋" w:eastAsia="仿宋" w:cs="仿宋_GB2312"/>
          <w:sz w:val="32"/>
          <w:szCs w:val="32"/>
        </w:rPr>
      </w:pPr>
      <w:r>
        <w:rPr>
          <w:rFonts w:hint="eastAsia" w:ascii="仿宋" w:hAnsi="仿宋" w:eastAsia="仿宋" w:cs="仿宋_GB2312"/>
          <w:sz w:val="32"/>
          <w:szCs w:val="32"/>
        </w:rPr>
        <w:t>4.学习领会习近平新时代中国特色社会主义经济思想。结合学习贯彻中央经济工作会议精神，深刻认识牢固树立创新、协调、绿色、开放、共享的新发展理念是关系我国发展全局的一场深刻变革，是习近平新时代中国特色社会主义思想的重要内容；深刻认识中国特色社会主义进入新时代，我国经济发展也进入了新时代，其基本特征就是我国经济已由高速增长阶段转向高质量发展阶段；深刻认识习近平新时代中国特色社会主义经济思想是5年来推动我国经济发展实践的理论结晶，是中国特色社会主义政治经济学的最新成果，是党和国家十分宝贵的精神财富。通过系统深入学习，深刻理解和把握习近平新时代中国特色社会主义经济思想的重大意义、突出贡献、丰富内涵和实践要求，坚持以新发展理念统领现代化经济体系建设，以首善标准推动北京在实现高质量发展上不断取得新进展</w:t>
      </w:r>
      <w:r>
        <w:rPr>
          <w:rFonts w:ascii="仿宋" w:hAnsi="仿宋" w:eastAsia="仿宋" w:cs="仿宋_GB2312"/>
          <w:sz w:val="32"/>
          <w:szCs w:val="32"/>
        </w:rPr>
        <w:t>。</w:t>
      </w:r>
    </w:p>
    <w:p>
      <w:pPr>
        <w:spacing w:line="600" w:lineRule="exact"/>
        <w:ind w:firstLine="640" w:firstLineChars="200"/>
        <w:rPr>
          <w:rFonts w:ascii="仿宋" w:hAnsi="仿宋" w:eastAsia="仿宋" w:cs="仿宋_GB2312"/>
          <w:sz w:val="32"/>
          <w:szCs w:val="32"/>
        </w:rPr>
      </w:pPr>
      <w:r>
        <w:rPr>
          <w:rFonts w:hint="eastAsia" w:ascii="仿宋" w:hAnsi="仿宋" w:eastAsia="仿宋" w:cs="仿宋_GB2312"/>
          <w:sz w:val="32"/>
          <w:szCs w:val="32"/>
        </w:rPr>
        <w:t>5.学习领会习近平总书记关于坚持党对一切工作的领导的重要思想。结合认真学习贯彻党章，深刻认识中国共产党是我们事业的坚强领导核心，党政军民学、东西南北中，党是领导一切的，是最高的政治领导力量，各个领域各个方面都必须坚定自觉坚持党的领导；深刻认识中国共产党的领导是中国特色社会主义最本质的特征，是中国特色社会主义制度的最大优势，新时代中国特色社会主义是党领导人民进行伟大社会革命的成果，也是党领导人民进行伟大社会革命的继续，要把新时代坚持和发展中国特色社会主义这场伟大社会革命进行好，党必须勇于进行自我革命，把党建设得更加坚强有力；深刻认识政治建设是党的根本性建设，决定党的建设方向和效果，必须坚定执行党的政治路线，严格遵守政治纪律和政治规矩；深刻认识全面从严治党永远在路上，必须坚持问题导向，保持战略定力，一刻不停歇地推动全面从严治党向纵深发展。通过系统深入学习，准确把握新时代党的建设总要求，坚持和加强党的全面领导，增强“四个自信”，进一步增强维护习近平总书记全党的核心、党中央的核心地位的思想和行动自觉，坚决维护以习近平同志为核心的党中央的权威和集中统一领导，自觉在思想上政治上行动上同党中央保持高度一致，不断开创首都党的建设新局面。</w:t>
      </w:r>
    </w:p>
    <w:p>
      <w:pPr>
        <w:spacing w:line="600" w:lineRule="exact"/>
        <w:ind w:firstLine="640" w:firstLineChars="200"/>
        <w:rPr>
          <w:rFonts w:ascii="仿宋" w:hAnsi="仿宋" w:eastAsia="仿宋" w:cs="仿宋_GB2312"/>
          <w:sz w:val="32"/>
          <w:szCs w:val="32"/>
        </w:rPr>
      </w:pPr>
      <w:r>
        <w:rPr>
          <w:rFonts w:hint="eastAsia" w:ascii="仿宋" w:hAnsi="仿宋" w:eastAsia="仿宋" w:cs="仿宋_GB2312"/>
          <w:sz w:val="32"/>
          <w:szCs w:val="32"/>
        </w:rPr>
        <w:t>6.学习领会习近平总书记关于坚定文化自信的重要思想。深刻认识文化自信是一个国家、一个民族发展中更基本、更深沉、更持久的力量，是更基础、更广泛、更深厚的自信，没有高度的文化自信，就没有文化的繁荣兴盛，就没有中华民族的伟大复兴；深刻认识党的十九大将中国特色社会主义文化同中国特色社会主义道路、理论体系、制度一道，作为中国特色社会主义的重要组成部分，把文化自信与道路自信、理论自信、制度自信一起并列为中国特色社会主义“四个自信”，标志着我们党对文化作用的认识，对文化自信的认识提升到一个前所未有的新境界。通过系统深入学习，坚定“四个自信”，进一步推动社会主义精神文明和物质文明协调发展，培育和践行社会主义核心价值观，更好构筑中国精神、中国价值、中国力量；进一步落实意识形态工作责任制，掌握意识形态工作领导权，建设具有强大凝聚力和引领力的社会主义意识形态；传承和弘扬中华优秀传统文化，坚持创造性转化、创新性发展，让中华文化展现出永久魅力和时代风采；进一步坚定文化自信，坚持中国特色社会主义文化发展道路，推动社会主义文化繁荣兴盛，推进全国文化中心建设，做好首都文化这篇大文章。</w:t>
      </w:r>
    </w:p>
    <w:p>
      <w:pPr>
        <w:spacing w:line="600" w:lineRule="exact"/>
        <w:ind w:firstLine="640" w:firstLineChars="200"/>
        <w:rPr>
          <w:rFonts w:ascii="仿宋" w:hAnsi="仿宋" w:eastAsia="仿宋" w:cs="仿宋_GB2312"/>
          <w:sz w:val="32"/>
          <w:szCs w:val="32"/>
        </w:rPr>
      </w:pPr>
      <w:r>
        <w:rPr>
          <w:rFonts w:hint="eastAsia" w:ascii="仿宋" w:hAnsi="仿宋" w:eastAsia="仿宋" w:cs="仿宋_GB2312"/>
          <w:sz w:val="32"/>
          <w:szCs w:val="32"/>
        </w:rPr>
        <w:t>7.学习领会习近平总书记关于推进马克思主义中国化时代化大众化的重要思想。结合纪念马克思诞辰200周年系列活动，深刻认识马克思主义是科学的理论体系，为我们提供了认识和改造世界的科学方法；深刻认识马克思主义是我们共产党人理想信念的灵魂，是我们党和人民事业不断发展的参天大树之根本，是我们党和人民事业不断奋进的万里长河之源泉；深刻认识全面理解把握习近平新时代中国特色社会主义思想实现了马克思主义基本原理同中国具体实际相结合的又一次伟大飞跃，是马克思主义中国化最新成果，是21世纪马克思主义、当代中国马克思主义；深刻认识马克思主义并没有结束真理，而是不断为寻求真理开辟道路，马克思主义中国化取得了重大成果，但还远未结束。通过系统深入学习，坚持思想建党、理论强党，大力弘扬理论联系实际的优良学风，不断提高新时代坚持和发展中国特色社会主义的能力，不断推进实践基础上的理论创新，不断推进马克思主义中国化、时代化、大众化。</w:t>
      </w:r>
    </w:p>
    <w:p>
      <w:pPr>
        <w:spacing w:line="600" w:lineRule="exact"/>
        <w:ind w:firstLine="640" w:firstLineChars="200"/>
        <w:rPr>
          <w:rFonts w:ascii="仿宋" w:hAnsi="仿宋" w:eastAsia="仿宋" w:cs="仿宋_GB2312"/>
          <w:sz w:val="32"/>
          <w:szCs w:val="32"/>
        </w:rPr>
      </w:pPr>
      <w:r>
        <w:rPr>
          <w:rFonts w:hint="eastAsia" w:ascii="仿宋" w:hAnsi="仿宋" w:eastAsia="仿宋" w:cs="仿宋_GB2312"/>
          <w:sz w:val="32"/>
          <w:szCs w:val="32"/>
        </w:rPr>
        <w:t>8.学习领会习近平总书记关于脱贫攻坚的重要思想。深刻认识贫困人口的扶贫脱贫问题，始终是习近平总书记牢记在心、最为关注的问题，集中体现了我们党人民至上的根本政治立场；深刻认识消除贫困、改善民生、逐步实现共同富裕，是社会主义的本质要求，是我们党的重要使命这一重大论断的战略意义；深刻认识“小康不小康，关键看老乡，关键看贫困老乡能不能脱贫”所内蕴的深刻含义；深刻认识党的十八大以来我们党实施精准扶贫、精准脱贫所取得的历史性成就。通过系统深入学习，更加深刻理解把握习近平总书记脱贫攻坚重要思想的重大意义、丰富内涵、精神实质和基本方略，以更大的决心、更明确的思路、更精准的举措，加大力度、加快速度、加紧进度，坚决打赢脱贫攻坚战，全面建成小康社会，绝不落下一个贫困地区、一个贫苦群众。</w:t>
      </w:r>
    </w:p>
    <w:p>
      <w:pPr>
        <w:spacing w:line="600" w:lineRule="exact"/>
        <w:ind w:firstLine="640" w:firstLineChars="200"/>
        <w:rPr>
          <w:rFonts w:ascii="仿宋" w:hAnsi="仿宋" w:eastAsia="仿宋" w:cs="仿宋_GB2312"/>
          <w:sz w:val="32"/>
          <w:szCs w:val="32"/>
        </w:rPr>
      </w:pPr>
      <w:r>
        <w:rPr>
          <w:rFonts w:hint="eastAsia" w:ascii="仿宋" w:hAnsi="仿宋" w:eastAsia="仿宋" w:cs="仿宋_GB2312"/>
          <w:sz w:val="32"/>
          <w:szCs w:val="32"/>
        </w:rPr>
        <w:t>9.学习领会习近平总书记关于学哲学用哲学的重要思想。深刻认识学习马克思主义哲学深刻揭示了客观世界特别是人类社会发展一般规律，在当今时代依然有着强大生命力，依然是指导我们共产党人前进的强大思想武器；深刻认识习近平新时代中国特色社会主义思想不仅有鲜明的理论观点、深刻的思想内涵，而且蕴含着丰富的科学思想方法和工作方法，既讲是什么、怎么看，又讲怎么办、怎么干；既部署“过河”的任务，又指导解决“桥或船”的问题，为全党自觉运用辩证唯物主义和历史唯物主义世界观方法论认识问题、分析问题、解决问题树立了光辉典范，为顺利推进党和国家事业发展提供了科学方法论指引。通过系统学习，进一步发扬我们党学哲学用哲学优良传统，坚持把学习马克思主义哲学同学习习近平新时代中国特色社会主义思想结合起来、贯通起来，努力掌握贯穿其中的科学思想方法和工作方法，不断提高战略思维、创新思维、辩证思维、法治思维、底线思维能力，更加自觉地运用辩证唯物主义和历史唯物主义指导实践、推进工作，使之真正成为进行伟大斗争、建设伟大工程、推进伟大事业、实现伟大梦想的强大思想武器。</w:t>
      </w:r>
    </w:p>
    <w:p>
      <w:pPr>
        <w:spacing w:line="560" w:lineRule="exact"/>
        <w:ind w:firstLine="640" w:firstLineChars="200"/>
        <w:rPr>
          <w:rFonts w:ascii="仿宋" w:hAnsi="仿宋" w:eastAsia="仿宋" w:cs="仿宋_GB2312"/>
          <w:sz w:val="32"/>
          <w:szCs w:val="32"/>
        </w:rPr>
      </w:pPr>
      <w:r>
        <w:rPr>
          <w:rFonts w:hint="eastAsia" w:ascii="楷体_GB2312" w:eastAsia="楷体_GB2312"/>
          <w:sz w:val="32"/>
          <w:szCs w:val="32"/>
        </w:rPr>
        <w:t>10.学习领会习近平总书记关于全面深化改革的重要思想。</w:t>
      </w:r>
      <w:r>
        <w:rPr>
          <w:rFonts w:hint="eastAsia" w:ascii="仿宋" w:hAnsi="仿宋" w:eastAsia="仿宋" w:cs="仿宋_GB2312"/>
          <w:sz w:val="32"/>
          <w:szCs w:val="32"/>
        </w:rPr>
        <w:t>结合深入学习贯彻党的十九届三中全会精神，结合庆祝改革开放40周年系列重要活动，深刻认识改革开放是党在新的时代条件下带领人民进行的新的伟大革命，是决定当代中国命运的关键一招，也是实现“两个一百年”奋斗目标、实现中华民族伟大复兴的关键一招；深刻认识没有改革开放，就没有中国特色社会主义，就没有今天中国兴旺发达的大好局面，只有改革开放才能发展中国、发展社会主义、发展马克思主义；深刻认识改革只有进行时没有结束时，新时代坚持和发展中国特色社会主义，根本动力仍然是全面深化改革；深刻认识全面深化改革的总目标是完善和发展中国特色社会主义制度、推进国家治理体系和治理能力现代化。通过系统深入学习，妥善处理好全面深化改革过程中的重大关系，坚决破除一切不合时宜的思想观念和体制机制弊端，突破利益固化的藩篱，着力构建系统完备、科学规范、运行有效的制度体系，争当改革的促进派和实干家，以更大决心、 更大力度坚定不移将改革进行到底，坚定不移将改革推向深入。</w:t>
      </w:r>
    </w:p>
    <w:p>
      <w:pPr>
        <w:spacing w:line="600" w:lineRule="exact"/>
        <w:ind w:firstLine="640" w:firstLineChars="200"/>
        <w:rPr>
          <w:rFonts w:ascii="仿宋" w:hAnsi="仿宋" w:eastAsia="仿宋" w:cs="仿宋_GB2312"/>
          <w:sz w:val="32"/>
          <w:szCs w:val="32"/>
        </w:rPr>
      </w:pPr>
      <w:r>
        <w:rPr>
          <w:rFonts w:hint="eastAsia" w:ascii="楷体_GB2312" w:eastAsia="楷体_GB2312"/>
          <w:sz w:val="32"/>
          <w:szCs w:val="32"/>
        </w:rPr>
        <w:t>11.学习领会习近平总书记对北京重要讲话精神。</w:t>
      </w:r>
      <w:r>
        <w:rPr>
          <w:rFonts w:hint="eastAsia" w:ascii="仿宋" w:hAnsi="仿宋" w:eastAsia="仿宋" w:cs="仿宋_GB2312"/>
          <w:sz w:val="32"/>
          <w:szCs w:val="32"/>
        </w:rPr>
        <w:t>深刻认识习近平总书记对北京重要讲话精神是习近平新时代中国特色社会主义思想的重要组成部分；深刻认识习近平总书记对北京重要讲话系统阐释了关系首都发展的方向性、根本性问题，为首都当前和今后长期发展提供了根本遵循，全面提升了我们对首都发展的认识，拓展了我们开展首都工作的视野和格局。通过系统深入学习，不断深化对“建设一个什么样的首都，怎样建设首都”的认识，不断深化对“都”与“城”的关系、“舍”与“得”的关系、疏解与提升的关系、“一核”与“两翼”的关系的理解；坚持首都城市战略定位，推动京津冀协同发展，着力加强“四个中心”功能建设、提高“四个服务”水平；继续抓好精心组织实施北京城市总体规划，以疏解北京非首都功能为“牛鼻子”推动京津冀协同发展，全力筹办好2022年北京冬奥会、冬残奥会“三件大事”；坚决打赢防范化解金融风险、精准脱贫、污染防治“三大攻坚战”，为建设好伟大社会主义祖国的首都、迈向中华民族伟大复兴的大国首都、国际一流的和谐宜居之都提供强大思想保障。</w:t>
      </w:r>
    </w:p>
    <w:p>
      <w:pPr>
        <w:spacing w:line="600" w:lineRule="exact"/>
        <w:ind w:firstLine="640" w:firstLineChars="200"/>
        <w:rPr>
          <w:rFonts w:ascii="仿宋_GB2312" w:hAnsi="仿宋_GB2312" w:eastAsia="仿宋_GB2312" w:cs="仿宋_GB2312"/>
          <w:sz w:val="32"/>
          <w:szCs w:val="32"/>
        </w:rPr>
      </w:pPr>
      <w:r>
        <w:rPr>
          <w:rFonts w:hint="eastAsia" w:ascii="楷体_GB2312" w:hAnsi="楷体_GB2312" w:eastAsia="楷体_GB2312" w:cs="楷体_GB2312"/>
          <w:sz w:val="32"/>
          <w:szCs w:val="32"/>
        </w:rPr>
        <w:t>12.学习领会集团在全国科创中心建设中所面临的新形势和</w:t>
      </w:r>
      <w:r>
        <w:rPr>
          <w:rFonts w:hint="eastAsia" w:ascii="仿宋" w:hAnsi="仿宋" w:eastAsia="仿宋" w:cs="仿宋_GB2312"/>
          <w:sz w:val="32"/>
          <w:szCs w:val="32"/>
        </w:rPr>
        <w:t>当前科技创新新趋势。深刻认识中国特色社会主义进入新时代清晰标明了我国发展新的历史方位，也是我们分析思考集团面临新形势新任务的出发点。深刻认识科技创新已经成为我国实施创新驱动发展战略、供给侧结构性改革和培育发展新动能的重要战略支撑，科技创新要有大发展，服务科技创新的事业也将有大作为。准确把握国家创新驱动战略需求、京津冀协同发展及北京全国科技创新中心建设等方面重大部署，根据集团的发展定位，聚焦发展重点，深入研究带有全局性、战略性、前瞻性的重大问题，进一步明确集团发展方向和目标。学习了解在新一轮科技革命和产业变革中的最新前沿科技，认真学习与集团经营有关的行业知识和金融、财税、法律、管理、党风廉政建设等方面的基本知识，及时了解掌握国内外相关行业的最新发展动向，重视学习借鉴国内外成功企业的有益经验，开阔视野，拓宽思路，着力提高创新能力和科学决策能力，联系实际解决企业发展中遇到的各种难题和问题。</w:t>
      </w:r>
    </w:p>
    <w:p>
      <w:pPr>
        <w:spacing w:line="600" w:lineRule="exact"/>
        <w:ind w:firstLine="640" w:firstLineChars="200"/>
        <w:rPr>
          <w:rFonts w:ascii="黑体" w:hAnsi="黑体" w:eastAsia="黑体" w:cs="黑体"/>
          <w:sz w:val="32"/>
          <w:szCs w:val="32"/>
        </w:rPr>
      </w:pPr>
      <w:r>
        <w:rPr>
          <w:rFonts w:hint="eastAsia" w:ascii="黑体" w:hAnsi="黑体" w:eastAsia="黑体" w:cs="黑体"/>
          <w:sz w:val="32"/>
          <w:szCs w:val="32"/>
        </w:rPr>
        <w:t>三、具体学习安排</w:t>
      </w:r>
    </w:p>
    <w:p>
      <w:pPr>
        <w:spacing w:line="600" w:lineRule="exact"/>
        <w:ind w:firstLine="640" w:firstLineChars="200"/>
        <w:rPr>
          <w:rFonts w:ascii="仿宋" w:hAnsi="仿宋" w:eastAsia="仿宋" w:cs="仿宋_GB2312"/>
          <w:sz w:val="32"/>
          <w:szCs w:val="32"/>
        </w:rPr>
      </w:pPr>
      <w:r>
        <w:rPr>
          <w:rFonts w:hint="eastAsia" w:ascii="仿宋" w:hAnsi="仿宋" w:eastAsia="仿宋" w:cs="仿宋_GB2312"/>
          <w:sz w:val="32"/>
          <w:szCs w:val="32"/>
        </w:rPr>
        <w:t>按照理论学习中心组学习“以政治学习为根本，以中心组成员自己学、自己讲为主”的要求，根据形势任务要求和集团实际，对中心组全年学习作出具体安排。</w:t>
      </w:r>
    </w:p>
    <w:p>
      <w:pPr>
        <w:spacing w:line="600" w:lineRule="exact"/>
        <w:ind w:firstLine="640" w:firstLineChars="200"/>
        <w:rPr>
          <w:rFonts w:ascii="仿宋" w:hAnsi="仿宋" w:eastAsia="仿宋" w:cs="仿宋_GB2312"/>
          <w:sz w:val="32"/>
          <w:szCs w:val="32"/>
        </w:rPr>
      </w:pPr>
      <w:r>
        <w:rPr>
          <w:rFonts w:hint="eastAsia" w:ascii="仿宋" w:hAnsi="仿宋" w:eastAsia="仿宋" w:cs="仿宋_GB2312"/>
          <w:sz w:val="32"/>
          <w:szCs w:val="32"/>
        </w:rPr>
        <w:t>学习形式包括集中学习、集中研讨、个人自学、参观考察等。按照每月不少于1次集中学习的要求，全年共安排集中学习16次，包括党委会会前学习和以理论学习中心组（扩大）会议形式举办的专题辅导讲座；按照每季度不少于1次集中研讨的要求，全年共安排集中研讨5次，并注意与其他相关工作任务的衔接，努力做到务实管用。</w:t>
      </w:r>
    </w:p>
    <w:p>
      <w:pPr>
        <w:spacing w:line="600" w:lineRule="exact"/>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（一）党委会会前学习</w:t>
      </w:r>
    </w:p>
    <w:p>
      <w:pPr>
        <w:spacing w:line="600" w:lineRule="exact"/>
        <w:ind w:firstLine="640" w:firstLineChars="200"/>
        <w:rPr>
          <w:rFonts w:ascii="仿宋" w:hAnsi="仿宋" w:eastAsia="仿宋" w:cs="仿宋_GB2312"/>
          <w:sz w:val="32"/>
          <w:szCs w:val="32"/>
        </w:rPr>
      </w:pPr>
      <w:r>
        <w:rPr>
          <w:rFonts w:hint="eastAsia" w:ascii="仿宋" w:hAnsi="仿宋" w:eastAsia="仿宋" w:cs="仿宋_GB2312"/>
          <w:sz w:val="32"/>
          <w:szCs w:val="32"/>
        </w:rPr>
        <w:t>为提高中心组理论政策学习的时效性，将党委会会前学习作为集中学习的一种形式，不定期开展。</w:t>
      </w:r>
    </w:p>
    <w:p>
      <w:pPr>
        <w:spacing w:line="600" w:lineRule="exact"/>
        <w:ind w:firstLine="640" w:firstLineChars="200"/>
        <w:rPr>
          <w:rFonts w:ascii="仿宋" w:hAnsi="仿宋" w:eastAsia="仿宋" w:cs="仿宋_GB2312"/>
          <w:sz w:val="32"/>
          <w:szCs w:val="32"/>
        </w:rPr>
      </w:pPr>
      <w:r>
        <w:rPr>
          <w:rFonts w:hint="eastAsia" w:ascii="仿宋" w:hAnsi="仿宋" w:eastAsia="仿宋" w:cs="仿宋_GB2312"/>
          <w:sz w:val="32"/>
          <w:szCs w:val="32"/>
        </w:rPr>
        <w:t>学习内容：主要是近期中央和市委相关会议和文件精神的学习，以保证上级精神的及时传达贯彻。</w:t>
      </w:r>
    </w:p>
    <w:p>
      <w:pPr>
        <w:spacing w:line="600" w:lineRule="exact"/>
        <w:ind w:firstLine="640" w:firstLineChars="200"/>
        <w:rPr>
          <w:rFonts w:ascii="仿宋" w:hAnsi="仿宋" w:eastAsia="仿宋" w:cs="仿宋_GB2312"/>
          <w:sz w:val="32"/>
          <w:szCs w:val="32"/>
        </w:rPr>
      </w:pPr>
      <w:r>
        <w:rPr>
          <w:rFonts w:hint="eastAsia" w:ascii="仿宋" w:hAnsi="仿宋" w:eastAsia="仿宋" w:cs="仿宋_GB2312"/>
          <w:sz w:val="32"/>
          <w:szCs w:val="32"/>
        </w:rPr>
        <w:t>学习范围：中心组成员</w:t>
      </w:r>
    </w:p>
    <w:p>
      <w:pPr>
        <w:spacing w:line="600" w:lineRule="exact"/>
        <w:ind w:firstLine="640" w:firstLineChars="200"/>
        <w:rPr>
          <w:rFonts w:ascii="仿宋" w:hAnsi="仿宋" w:eastAsia="仿宋" w:cs="仿宋_GB2312"/>
          <w:sz w:val="32"/>
          <w:szCs w:val="32"/>
        </w:rPr>
      </w:pPr>
      <w:r>
        <w:rPr>
          <w:rFonts w:hint="eastAsia" w:ascii="仿宋" w:hAnsi="仿宋" w:eastAsia="仿宋" w:cs="仿宋_GB2312"/>
          <w:sz w:val="32"/>
          <w:szCs w:val="32"/>
        </w:rPr>
        <w:t>学习时间：不定时，原则上在上级精神下达后的第一次党委会会前。预计学习次数10次。</w:t>
      </w:r>
    </w:p>
    <w:p>
      <w:pPr>
        <w:spacing w:line="600" w:lineRule="exact"/>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（二）理论学习中心组（扩大）会议</w:t>
      </w:r>
    </w:p>
    <w:p>
      <w:pPr>
        <w:spacing w:line="600" w:lineRule="exact"/>
        <w:ind w:firstLine="640" w:firstLineChars="200"/>
        <w:rPr>
          <w:rFonts w:ascii="仿宋" w:hAnsi="仿宋" w:eastAsia="仿宋" w:cs="仿宋_GB2312"/>
          <w:sz w:val="32"/>
          <w:szCs w:val="32"/>
        </w:rPr>
      </w:pPr>
      <w:r>
        <w:rPr>
          <w:rFonts w:hint="eastAsia" w:ascii="仿宋" w:hAnsi="仿宋" w:eastAsia="仿宋" w:cs="仿宋_GB2312"/>
          <w:sz w:val="32"/>
          <w:szCs w:val="32"/>
        </w:rPr>
        <w:t>理论学习中心组（扩大）会议主要采取专题辅导的形式进行。</w:t>
      </w:r>
    </w:p>
    <w:p>
      <w:pPr>
        <w:spacing w:line="600" w:lineRule="exact"/>
        <w:ind w:firstLine="643" w:firstLineChars="200"/>
        <w:rPr>
          <w:rFonts w:ascii="仿宋" w:hAnsi="仿宋" w:eastAsia="仿宋" w:cs="仿宋_GB2312"/>
          <w:b/>
          <w:bCs/>
          <w:sz w:val="32"/>
          <w:szCs w:val="32"/>
        </w:rPr>
      </w:pPr>
      <w:r>
        <w:rPr>
          <w:rFonts w:hint="eastAsia" w:ascii="仿宋" w:hAnsi="仿宋" w:eastAsia="仿宋" w:cs="仿宋_GB2312"/>
          <w:b/>
          <w:bCs/>
          <w:sz w:val="32"/>
          <w:szCs w:val="32"/>
        </w:rPr>
        <w:t>1.关于党和国家机构改革专题</w:t>
      </w:r>
    </w:p>
    <w:p>
      <w:pPr>
        <w:spacing w:line="600" w:lineRule="exact"/>
        <w:ind w:firstLine="640" w:firstLineChars="200"/>
        <w:rPr>
          <w:rFonts w:ascii="仿宋" w:hAnsi="仿宋" w:eastAsia="仿宋" w:cs="仿宋_GB2312"/>
          <w:sz w:val="32"/>
          <w:szCs w:val="32"/>
        </w:rPr>
      </w:pPr>
      <w:r>
        <w:rPr>
          <w:rFonts w:hint="eastAsia" w:ascii="仿宋" w:hAnsi="仿宋" w:eastAsia="仿宋" w:cs="仿宋_GB2312"/>
          <w:sz w:val="32"/>
          <w:szCs w:val="32"/>
        </w:rPr>
        <w:t>学习内容：结合学习十九届三中全会、全国“两会”精神和宪法修正案相关内容，深刻领会党和国家机构改革的新要求。</w:t>
      </w:r>
    </w:p>
    <w:p>
      <w:pPr>
        <w:spacing w:line="600" w:lineRule="exact"/>
        <w:ind w:firstLine="640" w:firstLineChars="200"/>
        <w:rPr>
          <w:rFonts w:ascii="仿宋" w:hAnsi="仿宋" w:eastAsia="仿宋" w:cs="仿宋_GB2312"/>
          <w:sz w:val="32"/>
          <w:szCs w:val="32"/>
        </w:rPr>
      </w:pPr>
      <w:r>
        <w:rPr>
          <w:rFonts w:hint="eastAsia" w:ascii="仿宋" w:hAnsi="仿宋" w:eastAsia="仿宋" w:cs="仿宋_GB2312"/>
          <w:sz w:val="32"/>
          <w:szCs w:val="32"/>
        </w:rPr>
        <w:t>学习时间：3月</w:t>
      </w:r>
    </w:p>
    <w:p>
      <w:pPr>
        <w:spacing w:line="600" w:lineRule="exact"/>
        <w:ind w:firstLine="643" w:firstLineChars="200"/>
        <w:rPr>
          <w:rFonts w:ascii="仿宋" w:hAnsi="仿宋" w:eastAsia="仿宋" w:cs="仿宋_GB2312"/>
          <w:b/>
          <w:bCs/>
          <w:sz w:val="32"/>
          <w:szCs w:val="32"/>
        </w:rPr>
      </w:pPr>
      <w:r>
        <w:rPr>
          <w:rFonts w:hint="eastAsia" w:ascii="仿宋" w:hAnsi="仿宋" w:eastAsia="仿宋" w:cs="仿宋_GB2312"/>
          <w:b/>
          <w:bCs/>
          <w:sz w:val="32"/>
          <w:szCs w:val="32"/>
        </w:rPr>
        <w:t>2.关于传承中关村精神专题</w:t>
      </w:r>
    </w:p>
    <w:p>
      <w:pPr>
        <w:spacing w:line="600" w:lineRule="exact"/>
        <w:ind w:firstLine="640" w:firstLineChars="200"/>
        <w:rPr>
          <w:rFonts w:ascii="仿宋" w:hAnsi="仿宋" w:eastAsia="仿宋" w:cs="仿宋_GB2312"/>
          <w:sz w:val="32"/>
          <w:szCs w:val="32"/>
        </w:rPr>
      </w:pPr>
      <w:r>
        <w:rPr>
          <w:rFonts w:hint="eastAsia" w:ascii="仿宋" w:hAnsi="仿宋" w:eastAsia="仿宋" w:cs="仿宋_GB2312"/>
          <w:sz w:val="32"/>
          <w:szCs w:val="32"/>
        </w:rPr>
        <w:t>学习内容：结合“不忘初心、牢记使命”主题教育，通过老一辈中关村人讲述等形式，了解中关村发展历史，传承中关村精神。</w:t>
      </w:r>
    </w:p>
    <w:p>
      <w:pPr>
        <w:spacing w:line="600" w:lineRule="exact"/>
        <w:ind w:firstLine="640" w:firstLineChars="200"/>
        <w:rPr>
          <w:rFonts w:ascii="仿宋" w:hAnsi="仿宋" w:eastAsia="仿宋" w:cs="仿宋_GB2312"/>
          <w:sz w:val="32"/>
          <w:szCs w:val="32"/>
        </w:rPr>
      </w:pPr>
      <w:r>
        <w:rPr>
          <w:rFonts w:hint="eastAsia" w:ascii="仿宋" w:hAnsi="仿宋" w:eastAsia="仿宋" w:cs="仿宋_GB2312"/>
          <w:sz w:val="32"/>
          <w:szCs w:val="32"/>
        </w:rPr>
        <w:t>学习时间：4月</w:t>
      </w:r>
    </w:p>
    <w:p>
      <w:pPr>
        <w:spacing w:line="600" w:lineRule="exact"/>
        <w:ind w:firstLine="643" w:firstLineChars="200"/>
        <w:rPr>
          <w:rFonts w:ascii="仿宋" w:hAnsi="仿宋" w:eastAsia="仿宋" w:cs="仿宋_GB2312"/>
          <w:b/>
          <w:bCs/>
          <w:sz w:val="32"/>
          <w:szCs w:val="32"/>
        </w:rPr>
      </w:pPr>
      <w:r>
        <w:rPr>
          <w:rFonts w:hint="eastAsia" w:ascii="仿宋" w:hAnsi="仿宋" w:eastAsia="仿宋" w:cs="仿宋_GB2312"/>
          <w:b/>
          <w:bCs/>
          <w:sz w:val="32"/>
          <w:szCs w:val="32"/>
        </w:rPr>
        <w:t>3.关于科技创新新技术、新形态专题</w:t>
      </w:r>
    </w:p>
    <w:p>
      <w:pPr>
        <w:spacing w:line="600" w:lineRule="exact"/>
        <w:ind w:firstLine="640" w:firstLineChars="200"/>
        <w:rPr>
          <w:rFonts w:ascii="仿宋" w:hAnsi="仿宋" w:eastAsia="仿宋" w:cs="仿宋_GB2312"/>
          <w:sz w:val="32"/>
          <w:szCs w:val="32"/>
        </w:rPr>
      </w:pPr>
      <w:r>
        <w:rPr>
          <w:rFonts w:hint="eastAsia" w:ascii="仿宋" w:hAnsi="仿宋" w:eastAsia="仿宋" w:cs="仿宋_GB2312"/>
          <w:sz w:val="32"/>
          <w:szCs w:val="32"/>
        </w:rPr>
        <w:t>学习内容：围绕新一轮世界科技革命和产业变革若干前沿领域发展态势进行专题学习。</w:t>
      </w:r>
    </w:p>
    <w:p>
      <w:pPr>
        <w:spacing w:line="600" w:lineRule="exact"/>
        <w:ind w:firstLine="640" w:firstLineChars="200"/>
        <w:rPr>
          <w:rFonts w:ascii="仿宋" w:hAnsi="仿宋" w:eastAsia="仿宋" w:cs="仿宋_GB2312"/>
          <w:sz w:val="32"/>
          <w:szCs w:val="32"/>
        </w:rPr>
      </w:pPr>
      <w:r>
        <w:rPr>
          <w:rFonts w:hint="eastAsia" w:ascii="仿宋" w:hAnsi="仿宋" w:eastAsia="仿宋" w:cs="仿宋_GB2312"/>
          <w:sz w:val="32"/>
          <w:szCs w:val="32"/>
        </w:rPr>
        <w:t>学习时间：5月</w:t>
      </w:r>
    </w:p>
    <w:p>
      <w:pPr>
        <w:spacing w:line="600" w:lineRule="exact"/>
        <w:ind w:firstLine="643" w:firstLineChars="200"/>
        <w:rPr>
          <w:rFonts w:ascii="仿宋" w:hAnsi="仿宋" w:eastAsia="仿宋" w:cs="仿宋_GB2312"/>
          <w:b/>
          <w:bCs/>
          <w:sz w:val="32"/>
          <w:szCs w:val="32"/>
        </w:rPr>
      </w:pPr>
      <w:r>
        <w:rPr>
          <w:rFonts w:hint="eastAsia" w:ascii="仿宋" w:hAnsi="仿宋" w:eastAsia="仿宋" w:cs="仿宋_GB2312"/>
          <w:b/>
          <w:bCs/>
          <w:sz w:val="32"/>
          <w:szCs w:val="32"/>
        </w:rPr>
        <w:t>4.关于防范和化解重大风险专题</w:t>
      </w:r>
    </w:p>
    <w:p>
      <w:pPr>
        <w:spacing w:line="600" w:lineRule="exact"/>
        <w:ind w:firstLine="640" w:firstLineChars="200"/>
        <w:rPr>
          <w:rFonts w:ascii="仿宋" w:hAnsi="仿宋" w:eastAsia="仿宋" w:cs="仿宋_GB2312"/>
          <w:sz w:val="32"/>
          <w:szCs w:val="32"/>
        </w:rPr>
      </w:pPr>
      <w:r>
        <w:rPr>
          <w:rFonts w:hint="eastAsia" w:ascii="仿宋" w:hAnsi="仿宋" w:eastAsia="仿宋" w:cs="仿宋_GB2312"/>
          <w:sz w:val="32"/>
          <w:szCs w:val="32"/>
        </w:rPr>
        <w:t>学习内容：以防范和化解重大风险为出发点，分析宏观政策变化和金融市场、行业发展等外部环境对集团发展的影响，研究思考集团防范和化解重大风险的应对思路。</w:t>
      </w:r>
    </w:p>
    <w:p>
      <w:pPr>
        <w:spacing w:line="600" w:lineRule="exact"/>
        <w:ind w:firstLine="640" w:firstLineChars="200"/>
        <w:rPr>
          <w:rFonts w:ascii="仿宋" w:hAnsi="仿宋" w:eastAsia="仿宋" w:cs="仿宋_GB2312"/>
          <w:sz w:val="32"/>
          <w:szCs w:val="32"/>
        </w:rPr>
      </w:pPr>
      <w:r>
        <w:rPr>
          <w:rFonts w:hint="eastAsia" w:ascii="仿宋" w:hAnsi="仿宋" w:eastAsia="仿宋" w:cs="仿宋_GB2312"/>
          <w:sz w:val="32"/>
          <w:szCs w:val="32"/>
        </w:rPr>
        <w:t>学习时间：8月</w:t>
      </w:r>
    </w:p>
    <w:p>
      <w:pPr>
        <w:spacing w:line="600" w:lineRule="exact"/>
        <w:ind w:firstLine="643" w:firstLineChars="200"/>
        <w:rPr>
          <w:rFonts w:ascii="仿宋" w:hAnsi="仿宋" w:eastAsia="仿宋" w:cs="仿宋_GB2312"/>
          <w:b/>
          <w:bCs/>
          <w:sz w:val="32"/>
          <w:szCs w:val="32"/>
        </w:rPr>
      </w:pPr>
      <w:r>
        <w:rPr>
          <w:rFonts w:hint="eastAsia" w:ascii="仿宋" w:hAnsi="仿宋" w:eastAsia="仿宋" w:cs="仿宋_GB2312"/>
          <w:b/>
          <w:bCs/>
          <w:sz w:val="32"/>
          <w:szCs w:val="32"/>
        </w:rPr>
        <w:t>5.关于科技体制改革专题</w:t>
      </w:r>
    </w:p>
    <w:p>
      <w:pPr>
        <w:spacing w:line="600" w:lineRule="exact"/>
        <w:ind w:firstLine="640" w:firstLineChars="200"/>
        <w:rPr>
          <w:rFonts w:ascii="仿宋" w:hAnsi="仿宋" w:eastAsia="仿宋" w:cs="仿宋_GB2312"/>
          <w:sz w:val="32"/>
          <w:szCs w:val="32"/>
        </w:rPr>
      </w:pPr>
      <w:r>
        <w:rPr>
          <w:rFonts w:hint="eastAsia" w:ascii="仿宋" w:hAnsi="仿宋" w:eastAsia="仿宋" w:cs="仿宋_GB2312"/>
          <w:sz w:val="32"/>
          <w:szCs w:val="32"/>
        </w:rPr>
        <w:t>学习内容：结合“9.30”讲话五周年，深入学习领会习近平总书记视察北京重要讲话精神，研究思考科技体制改革相关问题，更好地助力北京全国科技创新中心建设。</w:t>
      </w:r>
    </w:p>
    <w:p>
      <w:pPr>
        <w:spacing w:line="600" w:lineRule="exact"/>
        <w:ind w:firstLine="640" w:firstLineChars="200"/>
        <w:rPr>
          <w:rFonts w:ascii="仿宋" w:hAnsi="仿宋" w:eastAsia="仿宋" w:cs="仿宋_GB2312"/>
          <w:sz w:val="32"/>
          <w:szCs w:val="32"/>
        </w:rPr>
      </w:pPr>
      <w:r>
        <w:rPr>
          <w:rFonts w:hint="eastAsia" w:ascii="仿宋" w:hAnsi="仿宋" w:eastAsia="仿宋" w:cs="仿宋_GB2312"/>
          <w:sz w:val="32"/>
          <w:szCs w:val="32"/>
        </w:rPr>
        <w:t>学习时间：9月</w:t>
      </w:r>
    </w:p>
    <w:p>
      <w:pPr>
        <w:spacing w:line="600" w:lineRule="exact"/>
        <w:ind w:firstLine="643" w:firstLineChars="200"/>
        <w:rPr>
          <w:rFonts w:ascii="仿宋" w:hAnsi="仿宋" w:eastAsia="仿宋" w:cs="仿宋_GB2312"/>
          <w:b/>
          <w:bCs/>
          <w:sz w:val="32"/>
          <w:szCs w:val="32"/>
        </w:rPr>
      </w:pPr>
      <w:r>
        <w:rPr>
          <w:rFonts w:hint="eastAsia" w:ascii="仿宋" w:hAnsi="仿宋" w:eastAsia="仿宋" w:cs="仿宋_GB2312"/>
          <w:b/>
          <w:bCs/>
          <w:sz w:val="32"/>
          <w:szCs w:val="32"/>
        </w:rPr>
        <w:t>6.关于党史专题</w:t>
      </w:r>
    </w:p>
    <w:p>
      <w:pPr>
        <w:spacing w:line="600" w:lineRule="exact"/>
        <w:ind w:firstLine="640" w:firstLineChars="200"/>
        <w:rPr>
          <w:rFonts w:ascii="仿宋" w:hAnsi="仿宋" w:eastAsia="仿宋" w:cs="仿宋_GB2312"/>
          <w:sz w:val="32"/>
          <w:szCs w:val="32"/>
        </w:rPr>
      </w:pPr>
      <w:r>
        <w:rPr>
          <w:rFonts w:hint="eastAsia" w:ascii="仿宋" w:hAnsi="仿宋" w:eastAsia="仿宋" w:cs="仿宋_GB2312"/>
          <w:sz w:val="32"/>
          <w:szCs w:val="32"/>
        </w:rPr>
        <w:t>学习内容：学习党领导人民进行改革开放的历史。</w:t>
      </w:r>
    </w:p>
    <w:p>
      <w:pPr>
        <w:spacing w:line="600" w:lineRule="exact"/>
        <w:ind w:firstLine="640" w:firstLineChars="200"/>
        <w:rPr>
          <w:rFonts w:ascii="仿宋" w:hAnsi="仿宋" w:eastAsia="仿宋" w:cs="仿宋_GB2312"/>
          <w:sz w:val="32"/>
          <w:szCs w:val="32"/>
        </w:rPr>
      </w:pPr>
      <w:r>
        <w:rPr>
          <w:rFonts w:hint="eastAsia" w:ascii="仿宋" w:hAnsi="仿宋" w:eastAsia="仿宋" w:cs="仿宋_GB2312"/>
          <w:sz w:val="32"/>
          <w:szCs w:val="32"/>
        </w:rPr>
        <w:t>学习时间：10月</w:t>
      </w:r>
    </w:p>
    <w:p>
      <w:pPr>
        <w:spacing w:line="600" w:lineRule="exact"/>
        <w:ind w:firstLine="640" w:firstLineChars="200"/>
        <w:rPr>
          <w:rFonts w:ascii="仿宋_GB2312" w:hAnsi="仿宋_GB2312" w:eastAsia="仿宋_GB2312" w:cs="仿宋_GB2312"/>
          <w:sz w:val="32"/>
          <w:szCs w:val="32"/>
        </w:rPr>
      </w:pPr>
      <w:r>
        <w:rPr>
          <w:rFonts w:hint="eastAsia" w:ascii="楷体_GB2312" w:hAnsi="楷体_GB2312" w:eastAsia="楷体_GB2312" w:cs="楷体_GB2312"/>
          <w:sz w:val="32"/>
          <w:szCs w:val="32"/>
        </w:rPr>
        <w:t>（三）集中研讨</w:t>
      </w:r>
    </w:p>
    <w:p>
      <w:pPr>
        <w:spacing w:line="600" w:lineRule="exact"/>
        <w:ind w:firstLine="640" w:firstLineChars="200"/>
        <w:rPr>
          <w:rFonts w:ascii="仿宋" w:hAnsi="仿宋" w:eastAsia="仿宋" w:cs="仿宋_GB2312"/>
          <w:sz w:val="32"/>
          <w:szCs w:val="32"/>
        </w:rPr>
      </w:pPr>
      <w:r>
        <w:rPr>
          <w:rFonts w:hint="eastAsia" w:ascii="仿宋" w:hAnsi="仿宋" w:eastAsia="仿宋" w:cs="仿宋_GB2312"/>
          <w:sz w:val="32"/>
          <w:szCs w:val="32"/>
        </w:rPr>
        <w:t>根据中心组学习要求，每季度至少应开展1次集中研讨。根据需要，全年共安排集中研讨如下。</w:t>
      </w:r>
    </w:p>
    <w:p>
      <w:pPr>
        <w:spacing w:line="600" w:lineRule="exact"/>
        <w:ind w:firstLine="643" w:firstLineChars="200"/>
        <w:rPr>
          <w:rFonts w:ascii="仿宋" w:hAnsi="仿宋" w:eastAsia="仿宋" w:cs="仿宋_GB2312"/>
          <w:b/>
          <w:bCs/>
          <w:sz w:val="32"/>
          <w:szCs w:val="32"/>
        </w:rPr>
      </w:pPr>
      <w:r>
        <w:rPr>
          <w:rFonts w:hint="eastAsia" w:ascii="仿宋" w:hAnsi="仿宋" w:eastAsia="仿宋" w:cs="仿宋_GB2312"/>
          <w:b/>
          <w:bCs/>
          <w:sz w:val="32"/>
          <w:szCs w:val="32"/>
        </w:rPr>
        <w:t>1.关于2018年形势的研讨</w:t>
      </w:r>
    </w:p>
    <w:p>
      <w:pPr>
        <w:spacing w:line="600" w:lineRule="exact"/>
        <w:ind w:firstLine="640" w:firstLineChars="200"/>
        <w:rPr>
          <w:rFonts w:ascii="仿宋" w:hAnsi="仿宋" w:eastAsia="仿宋" w:cs="仿宋_GB2312"/>
          <w:sz w:val="32"/>
          <w:szCs w:val="32"/>
        </w:rPr>
      </w:pPr>
      <w:r>
        <w:rPr>
          <w:rFonts w:hint="eastAsia" w:ascii="仿宋" w:hAnsi="仿宋" w:eastAsia="仿宋" w:cs="仿宋_GB2312"/>
          <w:sz w:val="32"/>
          <w:szCs w:val="32"/>
        </w:rPr>
        <w:t>学习内容：结合贯彻党的十九大精神和中央经济工作会议、市委全会精神等分析研讨集团2018年面临的新形势新任务。</w:t>
      </w:r>
    </w:p>
    <w:p>
      <w:pPr>
        <w:spacing w:line="600" w:lineRule="exact"/>
        <w:ind w:firstLine="640" w:firstLineChars="200"/>
        <w:rPr>
          <w:rFonts w:ascii="仿宋" w:hAnsi="仿宋" w:eastAsia="仿宋" w:cs="仿宋_GB2312"/>
          <w:sz w:val="32"/>
          <w:szCs w:val="32"/>
        </w:rPr>
      </w:pPr>
      <w:r>
        <w:rPr>
          <w:rFonts w:hint="eastAsia" w:ascii="仿宋" w:hAnsi="仿宋" w:eastAsia="仿宋" w:cs="仿宋_GB2312"/>
          <w:sz w:val="32"/>
          <w:szCs w:val="32"/>
        </w:rPr>
        <w:t>重点发言：领导班子全体</w:t>
      </w:r>
    </w:p>
    <w:p>
      <w:pPr>
        <w:spacing w:line="600" w:lineRule="exact"/>
        <w:ind w:firstLine="640" w:firstLineChars="200"/>
        <w:rPr>
          <w:rFonts w:ascii="仿宋" w:hAnsi="仿宋" w:eastAsia="仿宋" w:cs="仿宋_GB2312"/>
          <w:sz w:val="32"/>
          <w:szCs w:val="32"/>
        </w:rPr>
      </w:pPr>
      <w:r>
        <w:rPr>
          <w:rFonts w:hint="eastAsia" w:ascii="仿宋" w:hAnsi="仿宋" w:eastAsia="仿宋" w:cs="仿宋_GB2312"/>
          <w:sz w:val="32"/>
          <w:szCs w:val="32"/>
        </w:rPr>
        <w:t>学习时间：1月</w:t>
      </w:r>
    </w:p>
    <w:p>
      <w:pPr>
        <w:spacing w:line="600" w:lineRule="exact"/>
        <w:rPr>
          <w:rFonts w:ascii="楷体_GB2312" w:hAnsi="楷体_GB2312" w:eastAsia="楷体_GB2312" w:cs="楷体_GB2312"/>
          <w:b/>
          <w:bCs/>
          <w:sz w:val="32"/>
          <w:szCs w:val="32"/>
        </w:rPr>
      </w:pPr>
      <w:r>
        <w:rPr>
          <w:rFonts w:hint="eastAsia" w:ascii="楷体_GB2312" w:hAnsi="楷体_GB2312" w:eastAsia="楷体_GB2312" w:cs="楷体_GB2312"/>
          <w:b/>
          <w:bCs/>
          <w:sz w:val="32"/>
          <w:szCs w:val="32"/>
        </w:rPr>
        <w:t xml:space="preserve">    2.关于深入推进集团国企改革的研讨</w:t>
      </w:r>
    </w:p>
    <w:p>
      <w:pPr>
        <w:spacing w:line="600" w:lineRule="exact"/>
        <w:ind w:firstLine="640" w:firstLineChars="200"/>
        <w:rPr>
          <w:rFonts w:ascii="仿宋" w:hAnsi="仿宋" w:eastAsia="仿宋" w:cs="仿宋_GB2312"/>
          <w:sz w:val="32"/>
          <w:szCs w:val="32"/>
        </w:rPr>
      </w:pPr>
      <w:r>
        <w:rPr>
          <w:rFonts w:hint="eastAsia" w:ascii="仿宋" w:hAnsi="仿宋" w:eastAsia="仿宋" w:cs="仿宋_GB2312"/>
          <w:sz w:val="32"/>
          <w:szCs w:val="32"/>
        </w:rPr>
        <w:t>学习内容：结合深入推进国企改革的专题辅导，讨论集团改革发展面临的新形势新任务。</w:t>
      </w:r>
    </w:p>
    <w:p>
      <w:pPr>
        <w:spacing w:line="600" w:lineRule="exact"/>
        <w:ind w:firstLine="640" w:firstLineChars="200"/>
        <w:rPr>
          <w:rFonts w:ascii="仿宋" w:hAnsi="仿宋" w:eastAsia="仿宋" w:cs="仿宋_GB2312"/>
          <w:sz w:val="32"/>
          <w:szCs w:val="32"/>
        </w:rPr>
      </w:pPr>
      <w:r>
        <w:rPr>
          <w:rFonts w:hint="eastAsia" w:ascii="仿宋" w:hAnsi="仿宋" w:eastAsia="仿宋" w:cs="仿宋_GB2312"/>
          <w:sz w:val="32"/>
          <w:szCs w:val="32"/>
        </w:rPr>
        <w:t>重点发言：领导班子全体</w:t>
      </w:r>
    </w:p>
    <w:p>
      <w:pPr>
        <w:spacing w:line="600" w:lineRule="exact"/>
        <w:ind w:firstLine="640" w:firstLineChars="200"/>
        <w:rPr>
          <w:rFonts w:ascii="仿宋" w:hAnsi="仿宋" w:eastAsia="仿宋" w:cs="仿宋_GB2312"/>
          <w:sz w:val="32"/>
          <w:szCs w:val="32"/>
        </w:rPr>
      </w:pPr>
      <w:r>
        <w:rPr>
          <w:rFonts w:hint="eastAsia" w:ascii="仿宋" w:hAnsi="仿宋" w:eastAsia="仿宋" w:cs="仿宋_GB2312"/>
          <w:sz w:val="32"/>
          <w:szCs w:val="32"/>
        </w:rPr>
        <w:t>学习时间：3月</w:t>
      </w:r>
    </w:p>
    <w:p>
      <w:pPr>
        <w:spacing w:line="600" w:lineRule="exact"/>
        <w:ind w:firstLine="643" w:firstLineChars="200"/>
        <w:rPr>
          <w:rFonts w:ascii="仿宋" w:hAnsi="仿宋" w:eastAsia="仿宋" w:cs="仿宋_GB2312"/>
          <w:b/>
          <w:bCs/>
          <w:sz w:val="32"/>
          <w:szCs w:val="32"/>
        </w:rPr>
      </w:pPr>
      <w:r>
        <w:rPr>
          <w:rFonts w:hint="eastAsia" w:ascii="仿宋" w:hAnsi="仿宋" w:eastAsia="仿宋" w:cs="仿宋_GB2312"/>
          <w:b/>
          <w:bCs/>
          <w:sz w:val="32"/>
          <w:szCs w:val="32"/>
        </w:rPr>
        <w:t>3.关于下半年形势的研讨</w:t>
      </w:r>
    </w:p>
    <w:p>
      <w:pPr>
        <w:spacing w:line="600" w:lineRule="exact"/>
        <w:ind w:firstLine="640" w:firstLineChars="200"/>
        <w:rPr>
          <w:rFonts w:ascii="仿宋" w:hAnsi="仿宋" w:eastAsia="仿宋" w:cs="仿宋_GB2312"/>
          <w:sz w:val="32"/>
          <w:szCs w:val="32"/>
        </w:rPr>
      </w:pPr>
      <w:r>
        <w:rPr>
          <w:rFonts w:hint="eastAsia" w:ascii="仿宋" w:hAnsi="仿宋" w:eastAsia="仿宋" w:cs="仿宋_GB2312"/>
          <w:sz w:val="32"/>
          <w:szCs w:val="32"/>
        </w:rPr>
        <w:t>学习内容：结合学习市委十二届五次全会、全市半年经济工作会精神等分析研讨集团下半年面临的新形势新任务。</w:t>
      </w:r>
    </w:p>
    <w:p>
      <w:pPr>
        <w:spacing w:line="600" w:lineRule="exact"/>
        <w:ind w:firstLine="640" w:firstLineChars="200"/>
        <w:rPr>
          <w:rFonts w:ascii="仿宋" w:hAnsi="仿宋" w:eastAsia="仿宋" w:cs="仿宋_GB2312"/>
          <w:sz w:val="32"/>
          <w:szCs w:val="32"/>
        </w:rPr>
      </w:pPr>
      <w:r>
        <w:rPr>
          <w:rFonts w:hint="eastAsia" w:ascii="仿宋" w:hAnsi="仿宋" w:eastAsia="仿宋" w:cs="仿宋_GB2312"/>
          <w:sz w:val="32"/>
          <w:szCs w:val="32"/>
        </w:rPr>
        <w:t>重点发言：领导班子全体</w:t>
      </w:r>
    </w:p>
    <w:p>
      <w:pPr>
        <w:spacing w:line="600" w:lineRule="exact"/>
        <w:ind w:firstLine="640" w:firstLineChars="200"/>
        <w:rPr>
          <w:rFonts w:ascii="仿宋" w:hAnsi="仿宋" w:eastAsia="仿宋" w:cs="仿宋_GB2312"/>
          <w:sz w:val="32"/>
          <w:szCs w:val="32"/>
        </w:rPr>
      </w:pPr>
      <w:r>
        <w:rPr>
          <w:rFonts w:hint="eastAsia" w:ascii="仿宋" w:hAnsi="仿宋" w:eastAsia="仿宋" w:cs="仿宋_GB2312"/>
          <w:sz w:val="32"/>
          <w:szCs w:val="32"/>
        </w:rPr>
        <w:t>学习时间：6月</w:t>
      </w:r>
    </w:p>
    <w:p>
      <w:pPr>
        <w:spacing w:line="600" w:lineRule="exact"/>
        <w:ind w:firstLine="643" w:firstLineChars="200"/>
        <w:rPr>
          <w:rFonts w:ascii="仿宋" w:hAnsi="仿宋" w:eastAsia="仿宋" w:cs="仿宋_GB2312"/>
          <w:b/>
          <w:bCs/>
          <w:sz w:val="32"/>
          <w:szCs w:val="32"/>
        </w:rPr>
      </w:pPr>
      <w:r>
        <w:rPr>
          <w:rFonts w:hint="eastAsia" w:ascii="仿宋" w:hAnsi="仿宋" w:eastAsia="仿宋" w:cs="仿宋_GB2312"/>
          <w:b/>
          <w:bCs/>
          <w:sz w:val="32"/>
          <w:szCs w:val="32"/>
        </w:rPr>
        <w:t>4.关于加强新时代国企党建工作的研讨</w:t>
      </w:r>
    </w:p>
    <w:p>
      <w:pPr>
        <w:spacing w:line="600" w:lineRule="exact"/>
        <w:ind w:firstLine="640" w:firstLineChars="200"/>
        <w:rPr>
          <w:rFonts w:ascii="仿宋" w:hAnsi="仿宋" w:eastAsia="仿宋" w:cs="仿宋_GB2312"/>
          <w:sz w:val="32"/>
          <w:szCs w:val="32"/>
        </w:rPr>
      </w:pPr>
      <w:r>
        <w:rPr>
          <w:rFonts w:hint="eastAsia" w:ascii="仿宋" w:hAnsi="仿宋" w:eastAsia="仿宋" w:cs="仿宋_GB2312"/>
          <w:sz w:val="32"/>
          <w:szCs w:val="32"/>
        </w:rPr>
        <w:t>学习内容：结合庆祝“七一”，围绕新时代党的建设总要求，探讨集团党建工作。</w:t>
      </w:r>
    </w:p>
    <w:p>
      <w:pPr>
        <w:spacing w:line="600" w:lineRule="exact"/>
        <w:ind w:firstLine="640" w:firstLineChars="200"/>
        <w:rPr>
          <w:rFonts w:ascii="仿宋" w:hAnsi="仿宋" w:eastAsia="仿宋" w:cs="仿宋_GB2312"/>
          <w:sz w:val="32"/>
          <w:szCs w:val="32"/>
        </w:rPr>
      </w:pPr>
      <w:r>
        <w:rPr>
          <w:rFonts w:hint="eastAsia" w:ascii="仿宋" w:hAnsi="仿宋" w:eastAsia="仿宋" w:cs="仿宋_GB2312"/>
          <w:sz w:val="32"/>
          <w:szCs w:val="32"/>
        </w:rPr>
        <w:t>重点发言：赵长山、宣鸿、王明兰、杨彦茹</w:t>
      </w:r>
    </w:p>
    <w:p>
      <w:pPr>
        <w:spacing w:line="600" w:lineRule="exact"/>
        <w:ind w:firstLine="640" w:firstLineChars="200"/>
        <w:rPr>
          <w:rFonts w:ascii="仿宋" w:hAnsi="仿宋" w:eastAsia="仿宋" w:cs="仿宋_GB2312"/>
          <w:sz w:val="32"/>
          <w:szCs w:val="32"/>
        </w:rPr>
      </w:pPr>
      <w:r>
        <w:rPr>
          <w:rFonts w:hint="eastAsia" w:ascii="仿宋" w:hAnsi="仿宋" w:eastAsia="仿宋" w:cs="仿宋_GB2312"/>
          <w:sz w:val="32"/>
          <w:szCs w:val="32"/>
        </w:rPr>
        <w:t>学习时间：7月</w:t>
      </w:r>
    </w:p>
    <w:p>
      <w:pPr>
        <w:spacing w:line="600" w:lineRule="exact"/>
        <w:ind w:firstLine="643" w:firstLineChars="200"/>
        <w:rPr>
          <w:rFonts w:ascii="仿宋" w:hAnsi="仿宋" w:eastAsia="仿宋" w:cs="仿宋_GB2312"/>
          <w:b/>
          <w:bCs/>
          <w:sz w:val="32"/>
          <w:szCs w:val="32"/>
        </w:rPr>
      </w:pPr>
      <w:r>
        <w:rPr>
          <w:rFonts w:hint="eastAsia" w:ascii="仿宋" w:hAnsi="仿宋" w:eastAsia="仿宋" w:cs="仿宋_GB2312"/>
          <w:b/>
          <w:bCs/>
          <w:sz w:val="32"/>
          <w:szCs w:val="32"/>
        </w:rPr>
        <w:t>5.关于改革开放40周年的研讨</w:t>
      </w:r>
    </w:p>
    <w:p>
      <w:pPr>
        <w:spacing w:line="600" w:lineRule="exact"/>
        <w:ind w:firstLine="640" w:firstLineChars="200"/>
        <w:rPr>
          <w:rFonts w:ascii="仿宋" w:hAnsi="仿宋" w:eastAsia="仿宋" w:cs="仿宋_GB2312"/>
          <w:sz w:val="32"/>
          <w:szCs w:val="32"/>
        </w:rPr>
      </w:pPr>
      <w:r>
        <w:rPr>
          <w:rFonts w:hint="eastAsia" w:ascii="仿宋" w:hAnsi="仿宋" w:eastAsia="仿宋" w:cs="仿宋_GB2312"/>
          <w:sz w:val="32"/>
          <w:szCs w:val="32"/>
        </w:rPr>
        <w:t>学习内容：学习中央纪念改革开放40周年相关活动精神。</w:t>
      </w:r>
    </w:p>
    <w:p>
      <w:pPr>
        <w:spacing w:line="600" w:lineRule="exact"/>
        <w:rPr>
          <w:rFonts w:ascii="仿宋" w:hAnsi="仿宋" w:eastAsia="仿宋" w:cs="仿宋_GB2312"/>
          <w:sz w:val="32"/>
          <w:szCs w:val="32"/>
        </w:rPr>
      </w:pPr>
      <w:r>
        <w:rPr>
          <w:rFonts w:hint="eastAsia" w:ascii="仿宋_GB2312" w:hAnsi="仿宋_GB2312" w:eastAsia="仿宋_GB2312" w:cs="仿宋_GB2312"/>
          <w:sz w:val="32"/>
          <w:szCs w:val="32"/>
        </w:rPr>
        <w:t xml:space="preserve">    </w:t>
      </w:r>
      <w:r>
        <w:rPr>
          <w:rFonts w:hint="eastAsia" w:ascii="仿宋" w:hAnsi="仿宋" w:eastAsia="仿宋" w:cs="仿宋_GB2312"/>
          <w:sz w:val="32"/>
          <w:szCs w:val="32"/>
        </w:rPr>
        <w:t>重点发言：李妍、姚胜利、韩柏、周武光</w:t>
      </w:r>
    </w:p>
    <w:p>
      <w:pPr>
        <w:spacing w:line="600" w:lineRule="exact"/>
        <w:rPr>
          <w:rFonts w:ascii="仿宋" w:hAnsi="仿宋" w:eastAsia="仿宋" w:cs="仿宋_GB2312"/>
          <w:b/>
          <w:bCs/>
          <w:sz w:val="32"/>
          <w:szCs w:val="32"/>
        </w:rPr>
      </w:pPr>
      <w:r>
        <w:rPr>
          <w:rFonts w:hint="eastAsia" w:ascii="仿宋" w:hAnsi="仿宋" w:eastAsia="仿宋" w:cs="仿宋_GB2312"/>
          <w:sz w:val="32"/>
          <w:szCs w:val="32"/>
        </w:rPr>
        <w:t xml:space="preserve">    学习时间：12月</w:t>
      </w:r>
    </w:p>
    <w:p>
      <w:pPr>
        <w:spacing w:line="600" w:lineRule="exact"/>
        <w:ind w:firstLine="640" w:firstLineChars="200"/>
        <w:rPr>
          <w:rFonts w:ascii="仿宋_GB2312" w:hAnsi="仿宋_GB2312" w:eastAsia="仿宋_GB2312" w:cs="仿宋_GB2312"/>
          <w:sz w:val="32"/>
          <w:szCs w:val="32"/>
        </w:rPr>
      </w:pPr>
      <w:r>
        <w:rPr>
          <w:rFonts w:hint="eastAsia" w:ascii="楷体_GB2312" w:hAnsi="楷体_GB2312" w:eastAsia="楷体_GB2312" w:cs="楷体_GB2312"/>
          <w:sz w:val="32"/>
          <w:szCs w:val="32"/>
        </w:rPr>
        <w:t>（四）个人自学</w:t>
      </w:r>
    </w:p>
    <w:p>
      <w:pPr>
        <w:spacing w:line="600" w:lineRule="exact"/>
        <w:rPr>
          <w:rFonts w:ascii="仿宋" w:hAnsi="仿宋" w:eastAsia="仿宋" w:cs="仿宋_GB2312"/>
          <w:sz w:val="32"/>
          <w:szCs w:val="32"/>
        </w:rPr>
      </w:pPr>
      <w:r>
        <w:rPr>
          <w:rFonts w:hint="eastAsia" w:ascii="仿宋" w:hAnsi="仿宋" w:eastAsia="仿宋" w:cs="仿宋_GB2312"/>
          <w:sz w:val="32"/>
          <w:szCs w:val="32"/>
        </w:rPr>
        <w:t>中心组成员应当应根据学习重点，结合工作需要和本人实际，积极开展个人自学，全年撰写学习心得、调研报告或者理论文章不少于1篇。</w:t>
      </w:r>
    </w:p>
    <w:p>
      <w:pPr>
        <w:spacing w:line="600" w:lineRule="exact"/>
        <w:rPr>
          <w:rFonts w:ascii="仿宋" w:hAnsi="仿宋" w:eastAsia="仿宋" w:cs="仿宋_GB2312"/>
          <w:sz w:val="32"/>
          <w:szCs w:val="32"/>
        </w:rPr>
      </w:pPr>
      <w:r>
        <w:rPr>
          <w:rFonts w:hint="eastAsia" w:ascii="仿宋" w:hAnsi="仿宋" w:eastAsia="仿宋" w:cs="仿宋_GB2312"/>
          <w:sz w:val="32"/>
          <w:szCs w:val="32"/>
        </w:rPr>
        <w:t>以上关于集中学习研讨的专题设置安排还将根据工作实际情况做出适当调整。</w:t>
      </w:r>
    </w:p>
    <w:p>
      <w:pPr>
        <w:spacing w:line="600" w:lineRule="exact"/>
        <w:ind w:firstLine="640" w:firstLineChars="200"/>
        <w:rPr>
          <w:rFonts w:ascii="黑体" w:hAnsi="ˎ̥" w:eastAsia="黑体"/>
          <w:sz w:val="32"/>
          <w:szCs w:val="32"/>
        </w:rPr>
      </w:pPr>
      <w:r>
        <w:rPr>
          <w:rFonts w:hint="eastAsia" w:ascii="黑体" w:hAnsi="宋体" w:eastAsia="黑体" w:cs="宋体"/>
          <w:kern w:val="0"/>
          <w:sz w:val="32"/>
          <w:szCs w:val="32"/>
        </w:rPr>
        <w:t>四、</w:t>
      </w:r>
      <w:r>
        <w:rPr>
          <w:rFonts w:hint="eastAsia" w:ascii="黑体" w:hAnsi="ˎ̥" w:eastAsia="黑体"/>
          <w:sz w:val="32"/>
          <w:szCs w:val="32"/>
        </w:rPr>
        <w:t>学习要求</w:t>
      </w:r>
    </w:p>
    <w:p>
      <w:pPr>
        <w:spacing w:line="600" w:lineRule="exact"/>
        <w:ind w:firstLine="640" w:firstLineChars="200"/>
        <w:rPr>
          <w:rFonts w:ascii="仿宋" w:hAnsi="仿宋" w:eastAsia="仿宋" w:cs="Arial"/>
          <w:kern w:val="0"/>
          <w:sz w:val="32"/>
          <w:szCs w:val="32"/>
        </w:rPr>
      </w:pPr>
      <w:r>
        <w:rPr>
          <w:rFonts w:hint="eastAsia" w:ascii="仿宋" w:hAnsi="仿宋" w:eastAsia="仿宋" w:cs="Arial"/>
          <w:kern w:val="0"/>
          <w:sz w:val="32"/>
          <w:szCs w:val="32"/>
        </w:rPr>
        <w:t>要充分认识到加强理论学习的重要性，依托中心组这个重要载体，将学习习近平新时代中国特色社会主义思想和党的十九大精神作为首要政治任务，切实通过学习改造主观世界，牢固树立“四个意识”，为建设学习型党组织、学习型领导班子奠定基础。</w:t>
      </w:r>
    </w:p>
    <w:p>
      <w:pPr>
        <w:spacing w:line="600" w:lineRule="exact"/>
        <w:ind w:firstLine="640" w:firstLineChars="200"/>
        <w:rPr>
          <w:rFonts w:ascii="仿宋" w:hAnsi="仿宋" w:eastAsia="仿宋" w:cs="Arial"/>
          <w:kern w:val="0"/>
          <w:sz w:val="32"/>
          <w:szCs w:val="32"/>
        </w:rPr>
      </w:pPr>
      <w:r>
        <w:rPr>
          <w:rFonts w:hint="eastAsia" w:ascii="仿宋" w:hAnsi="仿宋" w:eastAsia="仿宋" w:cs="Arial"/>
          <w:kern w:val="0"/>
          <w:sz w:val="32"/>
          <w:szCs w:val="32"/>
        </w:rPr>
        <w:t>要开阔视野，既要加强党的理论、方针和政策的学习，又要加强对经济、法律、科技、文化等各种知识的学习，主动适应新形势新任务新要求，以战略思维、世界眼光把握大局，有效应对复杂的经济社会发展形势。</w:t>
      </w:r>
    </w:p>
    <w:p>
      <w:pPr>
        <w:spacing w:line="600" w:lineRule="exact"/>
        <w:ind w:firstLine="640" w:firstLineChars="200"/>
        <w:rPr>
          <w:rFonts w:ascii="仿宋" w:hAnsi="仿宋" w:eastAsia="仿宋" w:cs="Arial"/>
          <w:kern w:val="0"/>
          <w:sz w:val="32"/>
          <w:szCs w:val="32"/>
        </w:rPr>
      </w:pPr>
      <w:r>
        <w:rPr>
          <w:rFonts w:hint="eastAsia" w:ascii="仿宋" w:hAnsi="仿宋" w:eastAsia="仿宋" w:cs="Arial"/>
          <w:kern w:val="0"/>
          <w:sz w:val="32"/>
          <w:szCs w:val="32"/>
        </w:rPr>
        <w:t>要拓展学习渠道，采取“请进来”与“走出去”相结合、集中学习与个人自学相结合、学习研讨与专题辅导相结合等方式，增强理论学习的吸引力和影响力，努力扩大覆盖面和参与度。</w:t>
      </w:r>
    </w:p>
    <w:p>
      <w:pPr>
        <w:spacing w:line="600" w:lineRule="exact"/>
        <w:ind w:firstLine="640" w:firstLineChars="200"/>
        <w:rPr>
          <w:rFonts w:ascii="仿宋_GB2312" w:hAnsi="Arial" w:eastAsia="仿宋_GB2312" w:cs="Arial"/>
          <w:kern w:val="0"/>
          <w:sz w:val="32"/>
          <w:szCs w:val="32"/>
        </w:rPr>
      </w:pPr>
      <w:r>
        <w:rPr>
          <w:rFonts w:hint="eastAsia" w:ascii="仿宋" w:hAnsi="仿宋" w:eastAsia="仿宋" w:cs="Arial"/>
          <w:kern w:val="0"/>
          <w:sz w:val="32"/>
          <w:szCs w:val="32"/>
        </w:rPr>
        <w:t>要努力做到理论联系实际、学用相长，围绕集团工作实际，把学习与推动本职工作结合起来，真正让学习过程成为分析和解决实际问题的过程，不断提高领导班子和领导干部谋划思路、推动发展的能力和水平。</w:t>
      </w:r>
    </w:p>
    <w:p>
      <w:pPr>
        <w:spacing w:line="600" w:lineRule="exact"/>
        <w:ind w:firstLine="640" w:firstLineChars="200"/>
        <w:rPr>
          <w:rFonts w:ascii="仿宋_GB2312" w:hAnsi="Arial" w:eastAsia="仿宋_GB2312" w:cs="Arial"/>
          <w:kern w:val="0"/>
          <w:sz w:val="32"/>
          <w:szCs w:val="32"/>
        </w:rPr>
      </w:pPr>
      <w:r>
        <w:rPr>
          <w:rFonts w:hint="eastAsia" w:ascii="黑体" w:hAnsi="宋体" w:eastAsia="黑体" w:cs="宋体"/>
          <w:kern w:val="0"/>
          <w:sz w:val="32"/>
          <w:szCs w:val="32"/>
        </w:rPr>
        <w:t>五、</w:t>
      </w:r>
      <w:r>
        <w:rPr>
          <w:rFonts w:hint="eastAsia" w:ascii="黑体" w:hAnsi="ˎ̥" w:eastAsia="黑体"/>
          <w:sz w:val="32"/>
          <w:szCs w:val="32"/>
        </w:rPr>
        <w:t>重点书目</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1.《党的十九大报告辅导读本》</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2.《党的十九大报告学习辅导百问》</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3.《十九大党章修正案学习问答》</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4.《习近平谈治国理政》第一卷和第二卷</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5.《习近平总书记系列重要讲话读本》</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6.《习近平总书记关于北京工作指示摘编》</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7.《习近平新时代中国特色社会主义思想学习纲要》</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8.《习近平新时代中国特色社会主义思想30讲》</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10.《新时代面对面》</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11.《习近平关于科技创新论述摘编》</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12.《中国共产党章程》</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13.《中国共产党廉洁自律准则》</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14.《中国共产党纪律处分条例》</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15.中央经济工作会议相关文件</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16.十九届三中全会相关文件</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17.全国“两会”相关文件</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18.宪法修正案</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19.市委全会和市“两会”相关文件</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20.《理论热点面对面2018》（待定）</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21.《激荡四十年：中国企业1978-2018》（吴晓波）</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22.《智能革命：李彦宏谈人工智能时代的社会、经济与文化变革》</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23.《区块链：技术驱动金融》（[美]阿尔文德.纳拉亚兰、约什.贝努）</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24.《中国改革三步走》（郑永年）</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以上书目将根据学习实际需要适时进行调整。</w:t>
      </w:r>
    </w:p>
    <w:p>
      <w:pPr>
        <w:spacing w:line="600" w:lineRule="exact"/>
        <w:ind w:firstLine="640" w:firstLineChars="200"/>
        <w:rPr>
          <w:rFonts w:ascii="仿宋" w:hAnsi="仿宋" w:eastAsia="仿宋"/>
          <w:sz w:val="32"/>
          <w:szCs w:val="32"/>
        </w:rPr>
      </w:pPr>
    </w:p>
    <w:p>
      <w:pPr>
        <w:spacing w:line="600" w:lineRule="exact"/>
        <w:ind w:firstLine="640" w:firstLineChars="200"/>
        <w:rPr>
          <w:rFonts w:ascii="仿宋" w:hAnsi="仿宋" w:eastAsia="仿宋"/>
          <w:sz w:val="32"/>
          <w:szCs w:val="32"/>
        </w:rPr>
      </w:pPr>
    </w:p>
    <w:p>
      <w:pPr>
        <w:spacing w:line="600" w:lineRule="exact"/>
        <w:ind w:firstLine="640" w:firstLineChars="200"/>
        <w:rPr>
          <w:rFonts w:ascii="仿宋" w:hAnsi="仿宋" w:eastAsia="仿宋"/>
          <w:sz w:val="32"/>
          <w:szCs w:val="32"/>
        </w:rPr>
      </w:pPr>
    </w:p>
    <w:p>
      <w:pPr>
        <w:spacing w:line="600" w:lineRule="exact"/>
        <w:ind w:firstLine="640" w:firstLineChars="200"/>
        <w:rPr>
          <w:rFonts w:ascii="仿宋" w:hAnsi="仿宋" w:eastAsia="仿宋"/>
          <w:sz w:val="32"/>
          <w:szCs w:val="32"/>
        </w:rPr>
      </w:pPr>
    </w:p>
    <w:p>
      <w:pPr>
        <w:spacing w:line="600" w:lineRule="exact"/>
        <w:ind w:firstLine="640" w:firstLineChars="200"/>
        <w:rPr>
          <w:rFonts w:ascii="仿宋" w:hAnsi="仿宋" w:eastAsia="仿宋"/>
          <w:sz w:val="32"/>
          <w:szCs w:val="32"/>
        </w:rPr>
      </w:pPr>
    </w:p>
    <w:p>
      <w:pPr>
        <w:spacing w:line="600" w:lineRule="exact"/>
        <w:ind w:firstLine="640" w:firstLineChars="200"/>
        <w:rPr>
          <w:rFonts w:ascii="仿宋" w:hAnsi="仿宋" w:eastAsia="仿宋"/>
          <w:sz w:val="32"/>
          <w:szCs w:val="32"/>
        </w:rPr>
      </w:pPr>
    </w:p>
    <w:p>
      <w:pPr>
        <w:spacing w:line="600" w:lineRule="exact"/>
        <w:ind w:firstLine="640" w:firstLineChars="200"/>
        <w:rPr>
          <w:rFonts w:ascii="仿宋" w:hAnsi="仿宋" w:eastAsia="仿宋"/>
          <w:sz w:val="32"/>
          <w:szCs w:val="32"/>
        </w:rPr>
      </w:pPr>
    </w:p>
    <w:p>
      <w:pPr>
        <w:spacing w:line="600" w:lineRule="exact"/>
        <w:ind w:firstLine="640" w:firstLineChars="200"/>
        <w:rPr>
          <w:rFonts w:ascii="仿宋" w:hAnsi="仿宋" w:eastAsia="仿宋"/>
          <w:sz w:val="32"/>
          <w:szCs w:val="32"/>
        </w:rPr>
      </w:pPr>
    </w:p>
    <w:p>
      <w:pPr>
        <w:spacing w:line="600" w:lineRule="exact"/>
        <w:ind w:firstLine="640" w:firstLineChars="200"/>
        <w:rPr>
          <w:rFonts w:ascii="仿宋" w:hAnsi="仿宋" w:eastAsia="仿宋"/>
          <w:sz w:val="32"/>
          <w:szCs w:val="32"/>
        </w:rPr>
      </w:pPr>
    </w:p>
    <w:p>
      <w:pPr>
        <w:spacing w:line="600" w:lineRule="exact"/>
        <w:ind w:firstLine="640" w:firstLineChars="200"/>
        <w:rPr>
          <w:rFonts w:ascii="仿宋" w:hAnsi="仿宋" w:eastAsia="仿宋"/>
          <w:sz w:val="32"/>
          <w:szCs w:val="32"/>
        </w:rPr>
      </w:pPr>
    </w:p>
    <w:p>
      <w:pPr>
        <w:spacing w:line="600" w:lineRule="exact"/>
        <w:ind w:firstLine="640" w:firstLineChars="200"/>
        <w:rPr>
          <w:rFonts w:ascii="仿宋" w:hAnsi="仿宋" w:eastAsia="仿宋"/>
          <w:sz w:val="32"/>
          <w:szCs w:val="32"/>
        </w:rPr>
      </w:pPr>
    </w:p>
    <w:p>
      <w:pPr>
        <w:spacing w:line="600" w:lineRule="exact"/>
        <w:ind w:firstLine="280" w:firstLineChars="100"/>
        <w:jc w:val="left"/>
        <w:rPr>
          <w:rFonts w:ascii="仿宋" w:hAnsi="仿宋" w:eastAsia="仿宋"/>
          <w:w w:val="95"/>
          <w:sz w:val="28"/>
          <w:szCs w:val="28"/>
        </w:rPr>
      </w:pPr>
      <w:r>
        <w:rPr>
          <w:rFonts w:ascii="仿宋" w:hAnsi="仿宋" w:eastAsia="仿宋"/>
          <w:sz w:val="28"/>
          <w:szCs w:val="28"/>
        </w:rPr>
        <mc:AlternateContent>
          <mc:Choice Requires="wps">
            <w:drawing>
              <wp:anchor distT="0" distB="0" distL="114300" distR="114300" simplePos="0" relativeHeight="251660288" behindDoc="0" locked="0" layoutInCell="1" allowOverlap="1">
                <wp:simplePos x="0" y="0"/>
                <wp:positionH relativeFrom="column">
                  <wp:posOffset>-12700</wp:posOffset>
                </wp:positionH>
                <wp:positionV relativeFrom="paragraph">
                  <wp:posOffset>412750</wp:posOffset>
                </wp:positionV>
                <wp:extent cx="5619750" cy="0"/>
                <wp:effectExtent l="0" t="0" r="0" b="0"/>
                <wp:wrapNone/>
                <wp:docPr id="5" name="自选图形 4"/>
                <wp:cNvGraphicFramePr/>
                <a:graphic xmlns:a="http://schemas.openxmlformats.org/drawingml/2006/main">
                  <a:graphicData uri="http://schemas.microsoft.com/office/word/2010/wordprocessingShape">
                    <wps:wsp>
                      <wps:cNvCnPr/>
                      <wps:spPr>
                        <a:xfrm>
                          <a:off x="0" y="0"/>
                          <a:ext cx="5619750" cy="0"/>
                        </a:xfrm>
                        <a:prstGeom prst="straightConnector1">
                          <a:avLst/>
                        </a:prstGeom>
                        <a:ln w="12700" cap="flat" cmpd="sng">
                          <a:solidFill>
                            <a:srgbClr val="000000"/>
                          </a:solidFill>
                          <a:prstDash val="solid"/>
                          <a:headEnd type="none" w="med" len="med"/>
                          <a:tailEnd type="none" w="med" len="med"/>
                        </a:ln>
                        <a:effectLst/>
                      </wps:spPr>
                      <wps:bodyPr/>
                    </wps:wsp>
                  </a:graphicData>
                </a:graphic>
              </wp:anchor>
            </w:drawing>
          </mc:Choice>
          <mc:Fallback>
            <w:pict>
              <v:shape id="自选图形 4" o:spid="_x0000_s1026" o:spt="32" type="#_x0000_t32" style="position:absolute;left:0pt;margin-left:-1pt;margin-top:32.5pt;height:0pt;width:442.5pt;z-index:251660288;mso-width-relative:page;mso-height-relative:page;" filled="f" stroked="t" coordsize="21600,21600" o:gfxdata="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JPe3ZbUAAAACAEAAA8AAAAA&#10;AAAAAQAgAAAAIgAAAGRycy9kb3ducmV2LnhtbFBLAQIUABQAAAAIAIdO4kAmToq23wEAAKQDAAAO&#10;AAAAAAAAAAEAIAAAACMBAABkcnMvZTJvRG9jLnhtbFBLBQYAAAAABgAGAFkBAAB0BQAAAAA=&#10;">
                <v:fill on="f" focussize="0,0"/>
                <v:stroke weight="1pt" color="#000000" joinstyle="round"/>
                <v:imagedata o:title=""/>
                <o:lock v:ext="edit" aspectratio="f"/>
              </v:shape>
            </w:pict>
          </mc:Fallback>
        </mc:AlternateContent>
      </w:r>
      <w:r>
        <w:rPr>
          <w:rFonts w:ascii="仿宋" w:hAnsi="仿宋" w:eastAsia="仿宋"/>
          <w:sz w:val="28"/>
          <w:szCs w:val="28"/>
        </w:rPr>
        <mc:AlternateContent>
          <mc:Choice Requires="wps">
            <w:drawing>
              <wp:anchor distT="0" distB="0" distL="114300" distR="114300" simplePos="0" relativeHeight="251661312" behindDoc="0" locked="0" layoutInCell="1" allowOverlap="1">
                <wp:simplePos x="0" y="0"/>
                <wp:positionH relativeFrom="column">
                  <wp:posOffset>-12700</wp:posOffset>
                </wp:positionH>
                <wp:positionV relativeFrom="paragraph">
                  <wp:posOffset>86995</wp:posOffset>
                </wp:positionV>
                <wp:extent cx="5619750" cy="0"/>
                <wp:effectExtent l="0" t="0" r="0" b="0"/>
                <wp:wrapNone/>
                <wp:docPr id="4" name="自选图形 5"/>
                <wp:cNvGraphicFramePr/>
                <a:graphic xmlns:a="http://schemas.openxmlformats.org/drawingml/2006/main">
                  <a:graphicData uri="http://schemas.microsoft.com/office/word/2010/wordprocessingShape">
                    <wps:wsp>
                      <wps:cNvCnPr/>
                      <wps:spPr>
                        <a:xfrm>
                          <a:off x="0" y="0"/>
                          <a:ext cx="5619750" cy="0"/>
                        </a:xfrm>
                        <a:prstGeom prst="straightConnector1">
                          <a:avLst/>
                        </a:prstGeom>
                        <a:ln w="12700" cap="flat" cmpd="sng">
                          <a:solidFill>
                            <a:srgbClr val="000000"/>
                          </a:solidFill>
                          <a:prstDash val="solid"/>
                          <a:headEnd type="none" w="med" len="med"/>
                          <a:tailEnd type="none" w="med" len="med"/>
                        </a:ln>
                        <a:effectLst/>
                      </wps:spPr>
                      <wps:bodyPr/>
                    </wps:wsp>
                  </a:graphicData>
                </a:graphic>
              </wp:anchor>
            </w:drawing>
          </mc:Choice>
          <mc:Fallback>
            <w:pict>
              <v:shape id="自选图形 5" o:spid="_x0000_s1026" o:spt="32" type="#_x0000_t32" style="position:absolute;left:0pt;margin-left:-1pt;margin-top:6.85pt;height:0pt;width:442.5pt;z-index:251661312;mso-width-relative:page;mso-height-relative:page;" filled="f" stroked="t" coordsize="21600,21600" o:gfxdata="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0O4Nz9MAAAAIAQAADwAAAAAA&#10;AAABACAAAAAiAAAAZHJzL2Rvd25yZXYueG1sUEsBAhQAFAAAAAgAh07iQDz6D3ffAQAApAMAAA4A&#10;AAAAAAAAAQAgAAAAIgEAAGRycy9lMm9Eb2MueG1sUEsFBgAAAAAGAAYAWQEAAHMFAAAAAA==&#10;">
                <v:fill on="f" focussize="0,0"/>
                <v:stroke weight="1pt" color="#000000" joinstyle="round"/>
                <v:imagedata o:title=""/>
                <o:lock v:ext="edit" aspectratio="f"/>
              </v:shape>
            </w:pict>
          </mc:Fallback>
        </mc:AlternateContent>
      </w:r>
      <w:r>
        <w:rPr>
          <w:rFonts w:hint="eastAsia" w:ascii="仿宋" w:hAnsi="仿宋" w:eastAsia="仿宋"/>
          <w:sz w:val="28"/>
          <w:szCs w:val="28"/>
        </w:rPr>
        <w:t xml:space="preserve">中关村发展集团办公室                        </w:t>
      </w:r>
      <w:r>
        <w:rPr>
          <w:rFonts w:hint="eastAsia" w:ascii="仿宋" w:hAnsi="仿宋" w:eastAsia="仿宋"/>
          <w:w w:val="95"/>
          <w:sz w:val="28"/>
          <w:szCs w:val="28"/>
        </w:rPr>
        <w:t>2018年3月16日</w:t>
      </w:r>
    </w:p>
    <w:sectPr>
      <w:footerReference r:id="rId3" w:type="default"/>
      <w:footerReference r:id="rId4" w:type="even"/>
      <w:pgSz w:w="11906" w:h="16838"/>
      <w:pgMar w:top="2098" w:right="1474" w:bottom="1588" w:left="158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汉仪仿宋简">
    <w:altName w:val="仿宋"/>
    <w:panose1 w:val="00000000000000000000"/>
    <w:charset w:val="86"/>
    <w:family w:val="auto"/>
    <w:pitch w:val="default"/>
    <w:sig w:usb0="00000000" w:usb1="00000000" w:usb2="00000012" w:usb3="00000000" w:csb0="00040000"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方正小标宋简体">
    <w:altName w:val="微软雅黑"/>
    <w:panose1 w:val="00000000000000000000"/>
    <w:charset w:val="86"/>
    <w:family w:val="script"/>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10" w:usb3="00000000" w:csb0="000400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ˎ̥">
    <w:altName w:val="Times New Roman"/>
    <w:panose1 w:val="00000000000000000000"/>
    <w:charset w:val="00"/>
    <w:family w:val="moder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pPr>
    <w:r>
      <w:rPr>
        <w:sz w:val="28"/>
        <w:szCs w:val="28"/>
      </w:rPr>
      <w:t>—</w:t>
    </w: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1</w:t>
    </w:r>
    <w:r>
      <w:rPr>
        <w:sz w:val="28"/>
        <w:szCs w:val="28"/>
      </w:rPr>
      <w:fldChar w:fldCharType="end"/>
    </w:r>
    <w:r>
      <w:rPr>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sz w:val="28"/>
        <w:szCs w:val="28"/>
      </w:rPr>
    </w:pPr>
    <w:r>
      <w:rPr>
        <w:sz w:val="28"/>
        <w:szCs w:val="28"/>
      </w:rPr>
      <w:t>—</w:t>
    </w: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18</w:t>
    </w:r>
    <w:r>
      <w:rPr>
        <w:sz w:val="28"/>
        <w:szCs w:val="28"/>
      </w:rPr>
      <w:fldChar w:fldCharType="end"/>
    </w:r>
    <w:r>
      <w:rPr>
        <w:sz w:val="28"/>
        <w:szCs w:val="28"/>
      </w:rPr>
      <w:t>—</w:t>
    </w:r>
    <w:r>
      <w:tab/>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1"/>
  <w:documentProtection w:edit="readOnly" w:formatting="1" w:enforcement="1" w:cryptProviderType="rsaFull" w:cryptAlgorithmClass="hash" w:cryptAlgorithmType="typeAny" w:cryptAlgorithmSid="4" w:cryptSpinCount="100000" w:hash="N1JMWARKaTKNwAyu03139eRPDEc=" w:salt="RIp0Yd+JMqEaca5rnRCscA=="/>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2F6"/>
    <w:rsid w:val="000312F6"/>
    <w:rsid w:val="0005476C"/>
    <w:rsid w:val="00085AA0"/>
    <w:rsid w:val="000C4B9D"/>
    <w:rsid w:val="000D7743"/>
    <w:rsid w:val="00115E4D"/>
    <w:rsid w:val="00187EDF"/>
    <w:rsid w:val="001D1C69"/>
    <w:rsid w:val="00204C4F"/>
    <w:rsid w:val="0021553C"/>
    <w:rsid w:val="00217E5F"/>
    <w:rsid w:val="002527ED"/>
    <w:rsid w:val="002929F2"/>
    <w:rsid w:val="00295E51"/>
    <w:rsid w:val="002A43C4"/>
    <w:rsid w:val="00365D98"/>
    <w:rsid w:val="00381B9D"/>
    <w:rsid w:val="003F19CF"/>
    <w:rsid w:val="00402A7A"/>
    <w:rsid w:val="00406720"/>
    <w:rsid w:val="00472DE5"/>
    <w:rsid w:val="00490092"/>
    <w:rsid w:val="00492E83"/>
    <w:rsid w:val="004975B0"/>
    <w:rsid w:val="004A3A15"/>
    <w:rsid w:val="004B0196"/>
    <w:rsid w:val="004F1575"/>
    <w:rsid w:val="00507763"/>
    <w:rsid w:val="0052341A"/>
    <w:rsid w:val="00553763"/>
    <w:rsid w:val="00561894"/>
    <w:rsid w:val="005A6F69"/>
    <w:rsid w:val="005B4A0F"/>
    <w:rsid w:val="00605BAE"/>
    <w:rsid w:val="00640838"/>
    <w:rsid w:val="00705335"/>
    <w:rsid w:val="00726B18"/>
    <w:rsid w:val="00735751"/>
    <w:rsid w:val="00751751"/>
    <w:rsid w:val="00763467"/>
    <w:rsid w:val="00793723"/>
    <w:rsid w:val="007B7E2C"/>
    <w:rsid w:val="007D069C"/>
    <w:rsid w:val="007D4D1D"/>
    <w:rsid w:val="007E2989"/>
    <w:rsid w:val="007F447C"/>
    <w:rsid w:val="00825644"/>
    <w:rsid w:val="00863C83"/>
    <w:rsid w:val="00892034"/>
    <w:rsid w:val="008D4FAF"/>
    <w:rsid w:val="008F0027"/>
    <w:rsid w:val="008F7087"/>
    <w:rsid w:val="00924C09"/>
    <w:rsid w:val="0095729C"/>
    <w:rsid w:val="00997A7F"/>
    <w:rsid w:val="009C0CEE"/>
    <w:rsid w:val="009F43AD"/>
    <w:rsid w:val="00A37782"/>
    <w:rsid w:val="00A47382"/>
    <w:rsid w:val="00A539F5"/>
    <w:rsid w:val="00A54B38"/>
    <w:rsid w:val="00A627A0"/>
    <w:rsid w:val="00AE6E57"/>
    <w:rsid w:val="00AF68E0"/>
    <w:rsid w:val="00B00321"/>
    <w:rsid w:val="00B041EB"/>
    <w:rsid w:val="00B13502"/>
    <w:rsid w:val="00B17AC0"/>
    <w:rsid w:val="00B600CD"/>
    <w:rsid w:val="00B67AB6"/>
    <w:rsid w:val="00B73978"/>
    <w:rsid w:val="00BF01A1"/>
    <w:rsid w:val="00C20CFD"/>
    <w:rsid w:val="00C212D3"/>
    <w:rsid w:val="00C56C47"/>
    <w:rsid w:val="00C7285A"/>
    <w:rsid w:val="00CA7F16"/>
    <w:rsid w:val="00CD1726"/>
    <w:rsid w:val="00CE1BC0"/>
    <w:rsid w:val="00CF658D"/>
    <w:rsid w:val="00CF76F0"/>
    <w:rsid w:val="00D00676"/>
    <w:rsid w:val="00D17847"/>
    <w:rsid w:val="00D25606"/>
    <w:rsid w:val="00D34A71"/>
    <w:rsid w:val="00D45352"/>
    <w:rsid w:val="00D51CCE"/>
    <w:rsid w:val="00D53FE6"/>
    <w:rsid w:val="00D61CC8"/>
    <w:rsid w:val="00D66C48"/>
    <w:rsid w:val="00D847A0"/>
    <w:rsid w:val="00D8773D"/>
    <w:rsid w:val="00DB3715"/>
    <w:rsid w:val="00DD46BF"/>
    <w:rsid w:val="00DD75A4"/>
    <w:rsid w:val="00E17E33"/>
    <w:rsid w:val="00E43492"/>
    <w:rsid w:val="00E54E30"/>
    <w:rsid w:val="00E70EA7"/>
    <w:rsid w:val="00E778B7"/>
    <w:rsid w:val="00E84FF1"/>
    <w:rsid w:val="00EB7FFC"/>
    <w:rsid w:val="00EC3BC9"/>
    <w:rsid w:val="00EF47C4"/>
    <w:rsid w:val="00F02924"/>
    <w:rsid w:val="00F1667E"/>
    <w:rsid w:val="00F419B7"/>
    <w:rsid w:val="00F55CFB"/>
    <w:rsid w:val="00F568D1"/>
    <w:rsid w:val="00F63348"/>
    <w:rsid w:val="00F66E89"/>
    <w:rsid w:val="00FD78F5"/>
    <w:rsid w:val="00FE04BC"/>
    <w:rsid w:val="4E1E08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qFormat="1" w:unhideWhenUsed="0" w:uiPriority="0" w:name="toc 2"/>
    <w:lsdException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汉仪仿宋简"/>
      <w:bCs/>
      <w:outline/>
      <w:sz w:val="30"/>
      <w:szCs w:val="32"/>
      <w14:textOutline w14:w="9525" w14:cap="flat" w14:cmpd="sng" w14:algn="ctr">
        <w14:solidFill>
          <w14:srgbClr w14:val="000000"/>
        </w14:solidFill>
        <w14:prstDash w14:val="solid"/>
        <w14:round/>
      </w14:textOutline>
      <w14:textFill>
        <w14:noFill/>
      </w14:textFill>
    </w:rPr>
  </w:style>
  <w:style w:type="paragraph" w:styleId="4">
    <w:name w:val="heading 3"/>
    <w:basedOn w:val="1"/>
    <w:next w:val="1"/>
    <w:qFormat/>
    <w:uiPriority w:val="0"/>
    <w:pPr>
      <w:keepNext/>
      <w:keepLines/>
      <w:spacing w:before="260" w:after="260" w:line="416" w:lineRule="auto"/>
      <w:jc w:val="left"/>
      <w:outlineLvl w:val="2"/>
    </w:pPr>
    <w:rPr>
      <w:b/>
      <w:bCs/>
      <w:sz w:val="24"/>
      <w:szCs w:val="32"/>
      <w:u w:val="double"/>
    </w:rPr>
  </w:style>
  <w:style w:type="character" w:default="1" w:styleId="12">
    <w:name w:val="Default Paragraph Font"/>
    <w:semiHidden/>
    <w:unhideWhenUsed/>
    <w:qFormat/>
    <w:uiPriority w:val="1"/>
  </w:style>
  <w:style w:type="table" w:default="1" w:styleId="14">
    <w:name w:val="Normal Table"/>
    <w:semiHidden/>
    <w:unhideWhenUsed/>
    <w:qFormat/>
    <w:uiPriority w:val="99"/>
    <w:tblPr>
      <w:tblLayout w:type="fixed"/>
      <w:tblCellMar>
        <w:top w:w="0" w:type="dxa"/>
        <w:left w:w="108" w:type="dxa"/>
        <w:bottom w:w="0" w:type="dxa"/>
        <w:right w:w="108" w:type="dxa"/>
      </w:tblCellMar>
    </w:tblPr>
  </w:style>
  <w:style w:type="paragraph" w:styleId="5">
    <w:name w:val="toc 3"/>
    <w:basedOn w:val="1"/>
    <w:next w:val="1"/>
    <w:semiHidden/>
    <w:uiPriority w:val="0"/>
    <w:pPr>
      <w:ind w:left="840" w:leftChars="400"/>
    </w:pPr>
    <w:rPr>
      <w:sz w:val="28"/>
      <w:szCs w:val="28"/>
    </w:rPr>
  </w:style>
  <w:style w:type="paragraph" w:styleId="6">
    <w:name w:val="Date"/>
    <w:basedOn w:val="1"/>
    <w:next w:val="1"/>
    <w:link w:val="24"/>
    <w:qFormat/>
    <w:uiPriority w:val="0"/>
    <w:pPr>
      <w:ind w:left="100" w:leftChars="2500"/>
    </w:pPr>
  </w:style>
  <w:style w:type="paragraph" w:styleId="7">
    <w:name w:val="footer"/>
    <w:basedOn w:val="1"/>
    <w:link w:val="18"/>
    <w:qFormat/>
    <w:uiPriority w:val="99"/>
    <w:pPr>
      <w:tabs>
        <w:tab w:val="center" w:pos="4153"/>
        <w:tab w:val="right" w:pos="8306"/>
      </w:tabs>
      <w:snapToGrid w:val="0"/>
      <w:jc w:val="left"/>
    </w:pPr>
    <w:rPr>
      <w:sz w:val="18"/>
      <w:szCs w:val="18"/>
    </w:rPr>
  </w:style>
  <w:style w:type="paragraph" w:styleId="8">
    <w:name w:val="header"/>
    <w:basedOn w:val="1"/>
    <w:link w:val="17"/>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semiHidden/>
    <w:uiPriority w:val="0"/>
    <w:rPr>
      <w:sz w:val="28"/>
      <w:szCs w:val="28"/>
    </w:rPr>
  </w:style>
  <w:style w:type="paragraph" w:styleId="10">
    <w:name w:val="toc 2"/>
    <w:basedOn w:val="1"/>
    <w:next w:val="1"/>
    <w:semiHidden/>
    <w:qFormat/>
    <w:uiPriority w:val="0"/>
    <w:pPr>
      <w:ind w:left="420" w:leftChars="200"/>
    </w:pPr>
    <w:rPr>
      <w:sz w:val="28"/>
      <w:szCs w:val="28"/>
    </w:rPr>
  </w:style>
  <w:style w:type="paragraph" w:styleId="11">
    <w:name w:val="Title"/>
    <w:basedOn w:val="1"/>
    <w:next w:val="1"/>
    <w:link w:val="20"/>
    <w:qFormat/>
    <w:uiPriority w:val="10"/>
    <w:pPr>
      <w:spacing w:before="240" w:after="60"/>
      <w:jc w:val="center"/>
      <w:outlineLvl w:val="0"/>
    </w:pPr>
    <w:rPr>
      <w:rFonts w:ascii="Cambria" w:hAnsi="Cambria" w:eastAsia="仿宋_GB2312"/>
      <w:b/>
      <w:bCs/>
      <w:sz w:val="32"/>
      <w:szCs w:val="32"/>
    </w:rPr>
  </w:style>
  <w:style w:type="character" w:styleId="13">
    <w:name w:val="Strong"/>
    <w:basedOn w:val="12"/>
    <w:qFormat/>
    <w:uiPriority w:val="22"/>
    <w:rPr>
      <w:b/>
      <w:bCs/>
    </w:rPr>
  </w:style>
  <w:style w:type="paragraph" w:customStyle="1" w:styleId="15">
    <w:name w:val="样式2"/>
    <w:basedOn w:val="3"/>
    <w:uiPriority w:val="0"/>
    <w:rPr>
      <w:b/>
      <w14:shadow w14:blurRad="50800" w14:dist="38100" w14:dir="2700000" w14:sx="100000" w14:sy="100000" w14:kx="0" w14:ky="0" w14:algn="tl">
        <w14:srgbClr w14:val="000000">
          <w14:alpha w14:val="60000"/>
        </w14:srgbClr>
      </w14:shadow>
    </w:rPr>
  </w:style>
  <w:style w:type="paragraph" w:customStyle="1" w:styleId="16">
    <w:name w:val="标头"/>
    <w:basedOn w:val="1"/>
    <w:uiPriority w:val="0"/>
    <w:rPr>
      <w:sz w:val="52"/>
      <w:u w:val="single"/>
    </w:rPr>
  </w:style>
  <w:style w:type="character" w:customStyle="1" w:styleId="17">
    <w:name w:val="页眉 Char"/>
    <w:basedOn w:val="12"/>
    <w:link w:val="8"/>
    <w:uiPriority w:val="99"/>
    <w:rPr>
      <w:kern w:val="2"/>
      <w:sz w:val="18"/>
      <w:szCs w:val="18"/>
    </w:rPr>
  </w:style>
  <w:style w:type="character" w:customStyle="1" w:styleId="18">
    <w:name w:val="页脚 Char"/>
    <w:basedOn w:val="12"/>
    <w:link w:val="7"/>
    <w:uiPriority w:val="99"/>
    <w:rPr>
      <w:kern w:val="2"/>
      <w:sz w:val="18"/>
      <w:szCs w:val="18"/>
    </w:rPr>
  </w:style>
  <w:style w:type="paragraph" w:styleId="19">
    <w:name w:val="No Spacing"/>
    <w:qFormat/>
    <w:uiPriority w:val="1"/>
    <w:pPr>
      <w:widowControl w:val="0"/>
      <w:jc w:val="both"/>
    </w:pPr>
    <w:rPr>
      <w:rFonts w:ascii="Calibri" w:hAnsi="Calibri" w:eastAsia="宋体" w:cs="Times New Roman"/>
      <w:kern w:val="2"/>
      <w:sz w:val="21"/>
      <w:szCs w:val="22"/>
      <w:lang w:val="en-US" w:eastAsia="zh-CN" w:bidi="ar-SA"/>
    </w:rPr>
  </w:style>
  <w:style w:type="character" w:customStyle="1" w:styleId="20">
    <w:name w:val="标题 Char"/>
    <w:basedOn w:val="12"/>
    <w:link w:val="11"/>
    <w:qFormat/>
    <w:uiPriority w:val="10"/>
    <w:rPr>
      <w:rFonts w:ascii="Cambria" w:hAnsi="Cambria" w:eastAsia="仿宋_GB2312"/>
      <w:b/>
      <w:bCs/>
      <w:kern w:val="2"/>
      <w:sz w:val="32"/>
      <w:szCs w:val="32"/>
    </w:rPr>
  </w:style>
  <w:style w:type="character" w:customStyle="1" w:styleId="21">
    <w:name w:val="font11"/>
    <w:basedOn w:val="12"/>
    <w:qFormat/>
    <w:uiPriority w:val="0"/>
    <w:rPr>
      <w:rFonts w:hint="eastAsia" w:ascii="仿宋_GB2312" w:eastAsia="仿宋_GB2312"/>
      <w:b/>
      <w:bCs/>
      <w:color w:val="000000"/>
      <w:sz w:val="32"/>
      <w:szCs w:val="32"/>
      <w:u w:val="none"/>
    </w:rPr>
  </w:style>
  <w:style w:type="character" w:customStyle="1" w:styleId="22">
    <w:name w:val="font21"/>
    <w:basedOn w:val="12"/>
    <w:qFormat/>
    <w:uiPriority w:val="0"/>
    <w:rPr>
      <w:rFonts w:hint="eastAsia" w:ascii="仿宋_GB2312" w:eastAsia="仿宋_GB2312"/>
      <w:color w:val="000000"/>
      <w:sz w:val="32"/>
      <w:szCs w:val="32"/>
      <w:u w:val="none"/>
    </w:rPr>
  </w:style>
  <w:style w:type="paragraph" w:styleId="23">
    <w:name w:val="List Paragraph"/>
    <w:basedOn w:val="1"/>
    <w:qFormat/>
    <w:uiPriority w:val="34"/>
    <w:pPr>
      <w:ind w:firstLine="420" w:firstLineChars="200"/>
    </w:pPr>
  </w:style>
  <w:style w:type="character" w:customStyle="1" w:styleId="24">
    <w:name w:val="日期 Char"/>
    <w:basedOn w:val="12"/>
    <w:link w:val="6"/>
    <w:qFormat/>
    <w:uiPriority w:val="0"/>
    <w:rPr>
      <w:kern w:val="2"/>
      <w:sz w:val="21"/>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BFE1215-5737-47CB-9F70-114A71BAF8F2}">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Pages>
  <Words>1297</Words>
  <Characters>7394</Characters>
  <Lines>61</Lines>
  <Paragraphs>17</Paragraphs>
  <TotalTime>160</TotalTime>
  <ScaleCrop>false</ScaleCrop>
  <LinksUpToDate>false</LinksUpToDate>
  <CharactersWithSpaces>8674</CharactersWithSpaces>
  <Application>WPS Office_11.1.0.7967_F1E327BC-269C-435d-A152-05C5408002CA</Application>
  <DocSecurity>8</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2017-08-23T07:23:00Z</dcterms:created>
  <dc:creator>陈小龙</dc:creator>
  <cp:lastModifiedBy>杨静</cp:lastModifiedBy>
  <cp:lastPrinted>2018-03-16T08:07:00Z</cp:lastPrinted>
  <dcterms:modified xsi:type="dcterms:W3CDTF">2018-11-15T10:30:50Z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2052-11.1.0.7967</vt:lpwstr>
  </property>
</Properties>
</file>