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DFF" w:rsidRDefault="00F921A2">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出访公示</w:t>
      </w:r>
    </w:p>
    <w:p w:rsidR="00972DFF" w:rsidRDefault="00972DFF">
      <w:pPr>
        <w:jc w:val="center"/>
        <w:rPr>
          <w:rFonts w:ascii="方正小标宋简体" w:eastAsia="方正小标宋简体" w:hAnsi="方正小标宋简体" w:cs="方正小标宋简体"/>
          <w:sz w:val="44"/>
          <w:szCs w:val="44"/>
        </w:rPr>
      </w:pP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应中关村（国际）控股公司邀请，根据集团相关工作安排，中关村发展集团总经理助理张哲计划于2018年9月20日至10月3日赴美国执行因公出访任务。按照市委外办、市政府外办有关规定，为强化公示公开，自觉接受群众监督，现将拟出访团组有关信息公示如下。</w:t>
      </w:r>
    </w:p>
    <w:p w:rsidR="00972DFF" w:rsidRDefault="00F921A2">
      <w:pPr>
        <w:rPr>
          <w:rFonts w:ascii="黑体" w:eastAsia="黑体" w:hAnsi="黑体" w:cs="黑体"/>
          <w:sz w:val="32"/>
          <w:szCs w:val="32"/>
        </w:rPr>
      </w:pPr>
      <w:r>
        <w:rPr>
          <w:rFonts w:ascii="黑体" w:eastAsia="黑体" w:hAnsi="黑体" w:cs="黑体" w:hint="eastAsia"/>
          <w:sz w:val="32"/>
          <w:szCs w:val="32"/>
        </w:rPr>
        <w:t>一、出访人员、单位、职务和分工</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张哲，集团总经理助理，作为本次出访团组团长。出访期间，将负责推进中关村波士顿创新中心初步改造和运营工作，推动中关村（国际）控股公司体制机制改革与强化团队建设，同时还将健全海外经营与投资风险应对机制，落实中关村论坛筹备海外相关工作等。</w:t>
      </w:r>
    </w:p>
    <w:p w:rsidR="00972DFF" w:rsidRDefault="00F921A2">
      <w:pPr>
        <w:rPr>
          <w:rFonts w:ascii="黑体" w:eastAsia="黑体" w:hAnsi="黑体" w:cs="黑体"/>
          <w:sz w:val="32"/>
          <w:szCs w:val="32"/>
        </w:rPr>
      </w:pPr>
      <w:r>
        <w:rPr>
          <w:rFonts w:ascii="黑体" w:eastAsia="黑体" w:hAnsi="黑体" w:cs="黑体" w:hint="eastAsia"/>
          <w:sz w:val="32"/>
          <w:szCs w:val="32"/>
        </w:rPr>
        <w:t>二、出访国家及时间</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美国（2018年9月20日-2018年10月3日，14天）</w:t>
      </w:r>
    </w:p>
    <w:p w:rsidR="00972DFF" w:rsidRDefault="00F921A2">
      <w:pPr>
        <w:numPr>
          <w:ilvl w:val="0"/>
          <w:numId w:val="1"/>
        </w:numPr>
        <w:rPr>
          <w:rFonts w:ascii="黑体" w:eastAsia="黑体" w:hAnsi="黑体" w:cs="黑体"/>
          <w:sz w:val="32"/>
          <w:szCs w:val="32"/>
        </w:rPr>
      </w:pPr>
      <w:r>
        <w:rPr>
          <w:rFonts w:ascii="黑体" w:eastAsia="黑体" w:hAnsi="黑体" w:cs="黑体" w:hint="eastAsia"/>
          <w:sz w:val="32"/>
          <w:szCs w:val="32"/>
        </w:rPr>
        <w:t>出访目的及预期成果</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 xml:space="preserve">在波士顿地区落实中关村波士顿创新中心筹建改造和运营准备相关工作，验收近期物业改造项目并研究下一阶段改造设计的可行性方案；代表公司与合作方进行运营等重要事项谈判；研究制定运营公司相关章程与规定；参加生物医药与区块链峰会等。  </w:t>
      </w:r>
    </w:p>
    <w:p w:rsidR="00972DFF" w:rsidRDefault="00F921A2">
      <w:pPr>
        <w:ind w:firstLineChars="200" w:firstLine="640"/>
        <w:rPr>
          <w:rFonts w:ascii="黑体" w:eastAsia="仿宋" w:hAnsi="黑体" w:cs="黑体"/>
          <w:sz w:val="32"/>
          <w:szCs w:val="32"/>
        </w:rPr>
      </w:pPr>
      <w:r>
        <w:rPr>
          <w:rFonts w:ascii="仿宋" w:eastAsia="仿宋" w:hAnsi="仿宋" w:cs="仿宋" w:hint="eastAsia"/>
          <w:sz w:val="32"/>
          <w:szCs w:val="32"/>
        </w:rPr>
        <w:t>在硅谷地区</w:t>
      </w:r>
      <w:r>
        <w:rPr>
          <w:rFonts w:ascii="仿宋" w:eastAsia="仿宋" w:hAnsi="仿宋" w:cs="MS Mincho" w:hint="eastAsia"/>
          <w:sz w:val="32"/>
          <w:szCs w:val="32"/>
        </w:rPr>
        <w:t>推动中关村（国</w:t>
      </w:r>
      <w:r>
        <w:rPr>
          <w:rFonts w:ascii="仿宋" w:eastAsia="仿宋" w:hAnsi="仿宋" w:cs="宋体" w:hint="eastAsia"/>
          <w:sz w:val="32"/>
          <w:szCs w:val="32"/>
        </w:rPr>
        <w:t>际</w:t>
      </w:r>
      <w:r>
        <w:rPr>
          <w:rFonts w:ascii="仿宋" w:eastAsia="仿宋" w:hAnsi="仿宋" w:cs="MS Mincho" w:hint="eastAsia"/>
          <w:sz w:val="32"/>
          <w:szCs w:val="32"/>
        </w:rPr>
        <w:t>）控股公司体制机制改革与强化</w:t>
      </w:r>
      <w:r>
        <w:rPr>
          <w:rFonts w:ascii="仿宋" w:eastAsia="仿宋" w:hAnsi="仿宋" w:cs="宋体" w:hint="eastAsia"/>
          <w:sz w:val="32"/>
          <w:szCs w:val="32"/>
        </w:rPr>
        <w:t>团队</w:t>
      </w:r>
      <w:r>
        <w:rPr>
          <w:rFonts w:ascii="仿宋" w:eastAsia="仿宋" w:hAnsi="仿宋" w:cs="MS Mincho" w:hint="eastAsia"/>
          <w:sz w:val="32"/>
          <w:szCs w:val="32"/>
        </w:rPr>
        <w:t>建</w:t>
      </w:r>
      <w:r>
        <w:rPr>
          <w:rFonts w:ascii="仿宋" w:eastAsia="仿宋" w:hAnsi="仿宋" w:cs="宋体" w:hint="eastAsia"/>
          <w:sz w:val="32"/>
          <w:szCs w:val="32"/>
        </w:rPr>
        <w:t>设</w:t>
      </w:r>
      <w:r>
        <w:rPr>
          <w:rFonts w:ascii="仿宋" w:eastAsia="仿宋" w:hAnsi="仿宋" w:cs="MS Mincho" w:hint="eastAsia"/>
          <w:sz w:val="32"/>
          <w:szCs w:val="32"/>
        </w:rPr>
        <w:t>；落实市审计局对国有企业境外投资经营相关工作安排；</w:t>
      </w:r>
      <w:r>
        <w:rPr>
          <w:rFonts w:ascii="仿宋" w:eastAsia="仿宋" w:hAnsi="仿宋" w:cs="宋体" w:hint="eastAsia"/>
          <w:sz w:val="32"/>
          <w:szCs w:val="32"/>
        </w:rPr>
        <w:t>健全</w:t>
      </w:r>
      <w:r>
        <w:rPr>
          <w:rFonts w:ascii="仿宋" w:eastAsia="仿宋" w:hAnsi="仿宋" w:cs="MS Mincho" w:hint="eastAsia"/>
          <w:sz w:val="32"/>
          <w:szCs w:val="32"/>
        </w:rPr>
        <w:t xml:space="preserve">海外经营与投资风险应对机制；推介2018年中关村论坛相关活动，拜访当地科学家、企业家等，探讨合作，推进论坛筹备相关工作；参加当地科技与创新科学家与企业座谈会等。 </w:t>
      </w:r>
    </w:p>
    <w:p w:rsidR="00972DFF" w:rsidRDefault="00F921A2">
      <w:pPr>
        <w:rPr>
          <w:rFonts w:ascii="黑体" w:eastAsia="黑体" w:hAnsi="黑体" w:cs="黑体"/>
          <w:sz w:val="32"/>
          <w:szCs w:val="32"/>
        </w:rPr>
      </w:pPr>
      <w:r>
        <w:rPr>
          <w:rFonts w:ascii="黑体" w:eastAsia="黑体" w:hAnsi="黑体" w:cs="黑体" w:hint="eastAsia"/>
          <w:sz w:val="32"/>
          <w:szCs w:val="32"/>
        </w:rPr>
        <w:t>四、往返航线</w:t>
      </w:r>
    </w:p>
    <w:p w:rsidR="00972DFF" w:rsidRDefault="00F921A2">
      <w:pPr>
        <w:ind w:left="580"/>
        <w:rPr>
          <w:rFonts w:ascii="仿宋" w:eastAsia="仿宋" w:hAnsi="仿宋" w:cs="仿宋"/>
          <w:sz w:val="32"/>
          <w:szCs w:val="32"/>
        </w:rPr>
      </w:pPr>
      <w:r>
        <w:rPr>
          <w:rFonts w:ascii="仿宋" w:eastAsia="仿宋" w:hAnsi="仿宋" w:cs="仿宋" w:hint="eastAsia"/>
          <w:sz w:val="32"/>
          <w:szCs w:val="32"/>
        </w:rPr>
        <w:t>北京-波士顿（HU481）、旧金山-北京（CA986）</w:t>
      </w:r>
    </w:p>
    <w:p w:rsidR="00972DFF" w:rsidRDefault="00F921A2">
      <w:pPr>
        <w:rPr>
          <w:rFonts w:ascii="黑体" w:eastAsia="黑体" w:hAnsi="黑体" w:cs="黑体"/>
          <w:sz w:val="32"/>
          <w:szCs w:val="32"/>
        </w:rPr>
      </w:pPr>
      <w:r>
        <w:rPr>
          <w:rFonts w:ascii="黑体" w:eastAsia="黑体" w:hAnsi="黑体" w:cs="黑体" w:hint="eastAsia"/>
          <w:sz w:val="32"/>
          <w:szCs w:val="32"/>
        </w:rPr>
        <w:t>五、邀请单位介绍</w:t>
      </w:r>
    </w:p>
    <w:p w:rsidR="00972DFF" w:rsidRDefault="00F921A2">
      <w:pPr>
        <w:ind w:left="580"/>
        <w:rPr>
          <w:rFonts w:ascii="仿宋" w:eastAsia="仿宋" w:hAnsi="仿宋" w:cs="仿宋"/>
          <w:sz w:val="32"/>
          <w:szCs w:val="32"/>
        </w:rPr>
      </w:pPr>
      <w:r>
        <w:rPr>
          <w:rFonts w:ascii="仿宋" w:eastAsia="仿宋" w:hAnsi="仿宋" w:cs="仿宋" w:hint="eastAsia"/>
          <w:sz w:val="32"/>
          <w:szCs w:val="32"/>
        </w:rPr>
        <w:t>中关村（国际）控股公司</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中关村（国际）控股公司作为中关村发展集团全资控股的海外子公司，以在美国设立的中关村硅谷创新中心为载体，主要负责对集团北美业务的整体管理，并承担了运营创新机构、孵化器及加速器、北美基金布局，承担中关村管委会海外联络处职能、针对高科技项目及技术公司投资等多项海外业务。</w:t>
      </w:r>
    </w:p>
    <w:p w:rsidR="00972DFF" w:rsidRDefault="00F921A2">
      <w:pPr>
        <w:rPr>
          <w:rFonts w:ascii="黑体" w:eastAsia="黑体" w:hAnsi="黑体" w:cs="黑体"/>
          <w:sz w:val="32"/>
          <w:szCs w:val="32"/>
        </w:rPr>
      </w:pPr>
      <w:r>
        <w:rPr>
          <w:rFonts w:ascii="黑体" w:eastAsia="黑体" w:hAnsi="黑体" w:cs="黑体" w:hint="eastAsia"/>
          <w:sz w:val="32"/>
          <w:szCs w:val="32"/>
        </w:rPr>
        <w:t>六、经费来源和预算</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张哲本次出访费用预算合计76,290元，出差费用从海外业务部国际差旅经费列支。</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特此公示，公示时间为8月29日—9月4日，如有问题请与集团办公室联系，联系人：王宁，联系电话：83453647。</w:t>
      </w:r>
    </w:p>
    <w:p w:rsidR="00972DFF" w:rsidRDefault="00F921A2">
      <w:pPr>
        <w:rPr>
          <w:rFonts w:ascii="Arial" w:eastAsia="仿宋_GB2312" w:hAnsi="Arial" w:cs="Arial"/>
          <w:sz w:val="32"/>
          <w:szCs w:val="32"/>
        </w:rPr>
      </w:pPr>
      <w:r>
        <w:rPr>
          <w:rFonts w:ascii="Arial" w:eastAsia="仿宋_GB2312" w:hAnsi="Arial" w:cs="Arial" w:hint="eastAsia"/>
          <w:sz w:val="32"/>
          <w:szCs w:val="32"/>
        </w:rPr>
        <w:t xml:space="preserve">    </w:t>
      </w:r>
    </w:p>
    <w:p w:rsidR="00972DFF" w:rsidRDefault="00972DFF">
      <w:pPr>
        <w:rPr>
          <w:rFonts w:ascii="仿宋" w:eastAsia="仿宋" w:hAnsi="仿宋" w:cs="仿宋"/>
          <w:sz w:val="32"/>
          <w:szCs w:val="32"/>
        </w:rPr>
      </w:pP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附件：1.出访行程</w:t>
      </w:r>
    </w:p>
    <w:p w:rsidR="00972DFF" w:rsidRDefault="00F921A2">
      <w:pPr>
        <w:ind w:firstLineChars="200" w:firstLine="640"/>
        <w:rPr>
          <w:rFonts w:ascii="仿宋" w:eastAsia="仿宋" w:hAnsi="仿宋" w:cs="仿宋"/>
          <w:sz w:val="32"/>
          <w:szCs w:val="32"/>
        </w:rPr>
      </w:pPr>
      <w:r>
        <w:rPr>
          <w:rFonts w:ascii="仿宋" w:eastAsia="仿宋" w:hAnsi="仿宋" w:cs="仿宋" w:hint="eastAsia"/>
          <w:sz w:val="32"/>
          <w:szCs w:val="32"/>
        </w:rPr>
        <w:t xml:space="preserve">      2.邀请函中英文</w:t>
      </w:r>
    </w:p>
    <w:p w:rsidR="00972DFF" w:rsidRDefault="00972DFF">
      <w:pPr>
        <w:rPr>
          <w:rFonts w:ascii="Arial" w:eastAsia="仿宋_GB2312" w:hAnsi="Arial" w:cs="Arial"/>
          <w:sz w:val="32"/>
          <w:szCs w:val="32"/>
        </w:rPr>
      </w:pPr>
    </w:p>
    <w:p w:rsidR="00972DFF" w:rsidRDefault="00F921A2">
      <w:pPr>
        <w:ind w:left="580"/>
        <w:rPr>
          <w:rFonts w:ascii="仿宋" w:eastAsia="仿宋" w:hAnsi="仿宋" w:cs="仿宋"/>
          <w:sz w:val="32"/>
          <w:szCs w:val="32"/>
        </w:rPr>
      </w:pPr>
      <w:r>
        <w:rPr>
          <w:rFonts w:ascii="Arial" w:eastAsia="仿宋_GB2312" w:hAnsi="Arial" w:cs="Arial" w:hint="eastAsia"/>
          <w:sz w:val="32"/>
          <w:szCs w:val="32"/>
        </w:rPr>
        <w:t xml:space="preserve">                         </w:t>
      </w:r>
      <w:r>
        <w:rPr>
          <w:rFonts w:ascii="Arial" w:eastAsia="仿宋_GB2312" w:hAnsi="Arial" w:cs="Arial"/>
          <w:sz w:val="32"/>
          <w:szCs w:val="32"/>
        </w:rPr>
        <w:t>   </w:t>
      </w:r>
      <w:r>
        <w:rPr>
          <w:rFonts w:ascii="Arial" w:eastAsia="仿宋_GB2312" w:hAnsi="Arial" w:cs="Arial" w:hint="eastAsia"/>
          <w:sz w:val="32"/>
          <w:szCs w:val="32"/>
        </w:rPr>
        <w:t xml:space="preserve"> </w:t>
      </w:r>
      <w:r>
        <w:rPr>
          <w:rFonts w:ascii="仿宋" w:eastAsia="仿宋" w:hAnsi="仿宋" w:cs="仿宋" w:hint="eastAsia"/>
          <w:sz w:val="32"/>
          <w:szCs w:val="32"/>
        </w:rPr>
        <w:t>集团办公室</w:t>
      </w:r>
    </w:p>
    <w:p w:rsidR="00972DFF" w:rsidRDefault="00F921A2">
      <w:pPr>
        <w:ind w:left="580"/>
        <w:rPr>
          <w:rFonts w:ascii="仿宋" w:eastAsia="仿宋" w:hAnsi="仿宋" w:cs="仿宋"/>
          <w:sz w:val="32"/>
          <w:szCs w:val="32"/>
        </w:rPr>
      </w:pPr>
      <w:r>
        <w:rPr>
          <w:rFonts w:ascii="仿宋" w:eastAsia="仿宋" w:hAnsi="仿宋" w:cs="仿宋" w:hint="eastAsia"/>
          <w:sz w:val="32"/>
          <w:szCs w:val="32"/>
        </w:rPr>
        <w:t xml:space="preserve">                         2018年8月29日</w:t>
      </w:r>
    </w:p>
    <w:p w:rsidR="00972DFF" w:rsidRDefault="00F921A2">
      <w:pPr>
        <w:ind w:left="580"/>
        <w:jc w:val="right"/>
        <w:rPr>
          <w:rFonts w:ascii="仿宋" w:eastAsia="仿宋" w:hAnsi="仿宋" w:cs="仿宋"/>
          <w:sz w:val="32"/>
          <w:szCs w:val="32"/>
        </w:rPr>
      </w:pPr>
      <w:r>
        <w:rPr>
          <w:rFonts w:ascii="仿宋" w:eastAsia="仿宋" w:hAnsi="仿宋" w:cs="仿宋" w:hint="eastAsia"/>
          <w:sz w:val="32"/>
          <w:szCs w:val="32"/>
        </w:rPr>
        <w:t>         </w:t>
      </w:r>
    </w:p>
    <w:sectPr w:rsidR="00972DFF" w:rsidSect="00972DFF">
      <w:pgSz w:w="11906" w:h="16838"/>
      <w:pgMar w:top="2098" w:right="1474" w:bottom="1587" w:left="1587" w:header="851" w:footer="992" w:gutter="0"/>
      <w:cols w:space="720"/>
      <w:docGrid w:type="lines"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5E1EE8"/>
    <w:multiLevelType w:val="singleLevel"/>
    <w:tmpl w:val="ED5E1EE8"/>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i29YkpAUcKX1nQ+ev2RDDUrBe94=" w:salt="qdDnt3WHM1KPCgOwUQAxV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B1BF3"/>
    <w:rsid w:val="000A5984"/>
    <w:rsid w:val="002E6098"/>
    <w:rsid w:val="00632B30"/>
    <w:rsid w:val="00776486"/>
    <w:rsid w:val="007B1BF3"/>
    <w:rsid w:val="00972DFF"/>
    <w:rsid w:val="009E60B1"/>
    <w:rsid w:val="00F921A2"/>
    <w:rsid w:val="017F6984"/>
    <w:rsid w:val="06E3224B"/>
    <w:rsid w:val="2C0F1C07"/>
    <w:rsid w:val="390A2D97"/>
    <w:rsid w:val="4A9A27DF"/>
    <w:rsid w:val="520C0B3D"/>
    <w:rsid w:val="55D941E0"/>
    <w:rsid w:val="7C926E07"/>
    <w:rsid w:val="7D827B86"/>
    <w:rsid w:val="7E504F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2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972DFF"/>
    <w:pPr>
      <w:tabs>
        <w:tab w:val="center" w:pos="4153"/>
        <w:tab w:val="right" w:pos="8306"/>
      </w:tabs>
      <w:snapToGrid w:val="0"/>
      <w:jc w:val="left"/>
    </w:pPr>
    <w:rPr>
      <w:sz w:val="18"/>
      <w:szCs w:val="18"/>
    </w:rPr>
  </w:style>
  <w:style w:type="paragraph" w:styleId="a4">
    <w:name w:val="header"/>
    <w:basedOn w:val="a"/>
    <w:link w:val="Char0"/>
    <w:rsid w:val="00972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72DFF"/>
    <w:rPr>
      <w:kern w:val="2"/>
      <w:sz w:val="18"/>
      <w:szCs w:val="18"/>
    </w:rPr>
  </w:style>
  <w:style w:type="character" w:customStyle="1" w:styleId="Char">
    <w:name w:val="页脚 Char"/>
    <w:basedOn w:val="a0"/>
    <w:link w:val="a3"/>
    <w:rsid w:val="00972DF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145</Words>
  <Characters>828</Characters>
  <Application>Microsoft Office Word</Application>
  <DocSecurity>8</DocSecurity>
  <Lines>6</Lines>
  <Paragraphs>1</Paragraphs>
  <ScaleCrop>false</ScaleCrop>
  <Company>雨林木风</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liyonghui</dc:creator>
  <cp:lastModifiedBy>杨静</cp:lastModifiedBy>
  <cp:revision>5</cp:revision>
  <dcterms:created xsi:type="dcterms:W3CDTF">2014-10-29T12:08:00Z</dcterms:created>
  <dcterms:modified xsi:type="dcterms:W3CDTF">2018-11-20T02:26:00Z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