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40"/>
        <w:jc w:val="center"/>
      </w:pPr>
      <w:r>
        <w:rPr>
          <w:rFonts w:ascii="Noto Sans CJK SC" w:hAnsi="Noto Sans CJK SC" w:eastAsia="Noto Sans CJK SC"/>
          <w:b/>
          <w:color w:val="1F4E79"/>
          <w:sz w:val="42"/>
        </w:rPr>
        <w:t>AI智能问数概述、建设必要性及国内实践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5A5A5A"/>
          <w:sz w:val="23"/>
        </w:rPr>
        <w:t>面向企业内部数据分析场景的精简说明</w:t>
      </w:r>
    </w:p>
    <w:p>
      <w:pPr>
        <w:spacing w:after="240" w:line="317" w:lineRule="auto"/>
        <w:ind w:left="255" w:right="255"/>
        <w:jc w:val="both"/>
        <w:shd w:fill="F2F6FA" w:val="clear"/>
      </w:pPr>
      <w:r>
        <w:rPr>
          <w:rFonts w:ascii="Noto Sans CJK SC" w:hAnsi="Noto Sans CJK SC" w:eastAsia="Noto Sans CJK SC"/>
          <w:color w:val="373737"/>
          <w:sz w:val="20"/>
        </w:rPr>
        <w:t>本文简要说明AI智能问数的概念、建设价值、基本流程，并介绍国内具有代表性的问数产品，为企业内部项目建设提供参考。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一、什么是AI智能问数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AI智能问数是以自然语言为入口的数据分析方式。员工可以直接提出“本季度各区域销售额是多少”“哪些项目交付进度落后”等业务问题，系统自动识别指标、时间、维度和筛选条件，生成受控查询，并返回数字、表格、图表及口径说明。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它并不是简单地给数据库增加聊天窗口。企业级问数平台还需要连接统一身份、数据权限、指标语义、查询安全和审计能力。大模型负责理解问题和生成查询计划，语义层统一指标口径，权限系统限定可访问的数据，查询代理完成校验和执行，从而保证答案可控、可查、可追溯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二、为什么要搭建AI智能问数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企业数据往往分散在多个系统、数仓和报表中。传统临时取数通常需要沟通需求、确认口径、编写SQL、核对结果和制作图表，周期较长，也容易因为口径理解不同而反复修改。AI智能问数能够将高频、标准化的取数过程自动化，让员工更快获得可信结果。</w:t>
      </w:r>
    </w:p>
    <w:p>
      <w:pPr>
        <w:spacing w:line="317" w:lineRule="auto" w:after="80"/>
        <w:ind w:left="198" w:hanging="198"/>
        <w:jc w:val="both"/>
      </w:pPr>
      <w:r>
        <w:rPr>
          <w:rFonts w:ascii="Noto Sans CJK SC" w:hAnsi="Noto Sans CJK SC" w:eastAsia="Noto Sans CJK SC"/>
          <w:b/>
          <w:color w:val="1F4E79"/>
          <w:sz w:val="21"/>
        </w:rPr>
        <w:t>提升效率：</w:t>
      </w:r>
      <w:r>
        <w:rPr>
          <w:rFonts w:ascii="Noto Sans CJK SC" w:hAnsi="Noto Sans CJK SC" w:eastAsia="Noto Sans CJK SC"/>
          <w:color w:val="282828"/>
          <w:sz w:val="21"/>
        </w:rPr>
        <w:t>常见问题可以直接复用已验证查询，普通问题也能在语义约束下自动生成查询计划，减少等待和重复开发。</w:t>
      </w:r>
    </w:p>
    <w:p>
      <w:pPr>
        <w:spacing w:line="317" w:lineRule="auto" w:after="80"/>
        <w:ind w:left="198" w:hanging="198"/>
        <w:jc w:val="both"/>
      </w:pPr>
      <w:r>
        <w:rPr>
          <w:rFonts w:ascii="Noto Sans CJK SC" w:hAnsi="Noto Sans CJK SC" w:eastAsia="Noto Sans CJK SC"/>
          <w:b/>
          <w:color w:val="1F4E79"/>
          <w:sz w:val="21"/>
        </w:rPr>
        <w:t>降低门槛：</w:t>
      </w:r>
      <w:r>
        <w:rPr>
          <w:rFonts w:ascii="Noto Sans CJK SC" w:hAnsi="Noto Sans CJK SC" w:eastAsia="Noto Sans CJK SC"/>
          <w:color w:val="282828"/>
          <w:sz w:val="21"/>
        </w:rPr>
        <w:t>业务人员无需掌握SQL和复杂报表工具，只需使用日常业务语言，即可查询本人有权限访问的数据。</w:t>
      </w:r>
    </w:p>
    <w:p>
      <w:pPr>
        <w:spacing w:line="317" w:lineRule="auto" w:after="80"/>
        <w:ind w:left="198" w:hanging="198"/>
        <w:jc w:val="both"/>
      </w:pPr>
      <w:r>
        <w:rPr>
          <w:rFonts w:ascii="Noto Sans CJK SC" w:hAnsi="Noto Sans CJK SC" w:eastAsia="Noto Sans CJK SC"/>
          <w:b/>
          <w:color w:val="1F4E79"/>
          <w:sz w:val="21"/>
        </w:rPr>
        <w:t>统一口径：</w:t>
      </w:r>
      <w:r>
        <w:rPr>
          <w:rFonts w:ascii="Noto Sans CJK SC" w:hAnsi="Noto Sans CJK SC" w:eastAsia="Noto Sans CJK SC"/>
          <w:color w:val="282828"/>
          <w:sz w:val="21"/>
        </w:rPr>
        <w:t>指标公式、时间范围、分析维度和数据来源集中管理，减少同一指标在不同报表中结果不一致的问题。</w:t>
      </w:r>
    </w:p>
    <w:p>
      <w:pPr>
        <w:spacing w:line="317" w:lineRule="auto" w:after="80"/>
        <w:ind w:left="198" w:hanging="198"/>
        <w:jc w:val="both"/>
      </w:pPr>
      <w:r>
        <w:rPr>
          <w:rFonts w:ascii="Noto Sans CJK SC" w:hAnsi="Noto Sans CJK SC" w:eastAsia="Noto Sans CJK SC"/>
          <w:b/>
          <w:color w:val="1F4E79"/>
          <w:sz w:val="21"/>
        </w:rPr>
        <w:t>保障安全：</w:t>
      </w:r>
      <w:r>
        <w:rPr>
          <w:rFonts w:ascii="Noto Sans CJK SC" w:hAnsi="Noto Sans CJK SC" w:eastAsia="Noto Sans CJK SC"/>
          <w:color w:val="282828"/>
          <w:sz w:val="21"/>
        </w:rPr>
        <w:t>身份认证、行列权限、SQL校验、查询代理和审计贯穿全过程，模型不直接连接数据库，也不能绕过权限自由执行查询。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因此，AI智能问数并非替代数据分析师，而是减少重复取数工作，让专业人员把更多精力投入数据治理、复杂分析和决策支持。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三、基本工作流程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用户提交问题后，系统先确认身份与数据权限，再识别业务域、指标、维度和时间范围；随后优先匹配可信问题或标准查询，未命中时由模型生成结构化查询计划；查询经过只读、白名单、权限和返回量等安全校验后，由统一查询代理执行；最后以数字、图表和文字说明展示结果，并记录查询过程用于审计和持续优化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四、国内具有代表性的AI智能问数产品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国内主流云厂商和BI平台已经形成较完整的自然语言问数产品。它们虽然功能侧重点不同，但都强调数据模型、语义配置、权限控制和结果验证，而不是让大模型直接面对原始数据库。</w:t>
      </w:r>
    </w:p>
    <w:p>
      <w:pPr>
        <w:keepNext/>
        <w:spacing w:before="100" w:after="100"/>
      </w:pPr>
      <w:r>
        <w:rPr>
          <w:rFonts w:ascii="Noto Sans CJK SC" w:hAnsi="Noto Sans CJK SC" w:eastAsia="Noto Sans CJK SC"/>
          <w:b/>
          <w:color w:val="2F5496"/>
          <w:sz w:val="23"/>
        </w:rPr>
        <w:t>1. 阿里云 Quick BI 智能小Q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“小Q问数”支持自然语言提问、多轮对话、图表展示和数据解读，并可基于内置模型或企业自有模型运行。其成熟做法是把问数、洞察、报告和权限管理整合在统一BI平台中，便于企业推广使用。</w:t>
      </w:r>
    </w:p>
    <w:p>
      <w:pPr>
        <w:keepNext/>
        <w:spacing w:before="100" w:after="100"/>
      </w:pPr>
      <w:r>
        <w:rPr>
          <w:rFonts w:ascii="Noto Sans CJK SC" w:hAnsi="Noto Sans CJK SC" w:eastAsia="Noto Sans CJK SC"/>
          <w:b/>
          <w:color w:val="2F5496"/>
          <w:sz w:val="23"/>
        </w:rPr>
        <w:t>2. 华为云 DataArts Insight 智能分析助手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该产品支持自然语言问数、图表编辑、历史对话、多轮追问和问答解析过程展示。其特点是将问数结果与可视化分析、问题管理和用户反馈结合，方便业务人员继续调整和验证结果。</w:t>
      </w:r>
    </w:p>
    <w:p>
      <w:pPr>
        <w:keepNext/>
        <w:spacing w:before="100" w:after="100"/>
      </w:pPr>
      <w:r>
        <w:rPr>
          <w:rFonts w:ascii="Noto Sans CJK SC" w:hAnsi="Noto Sans CJK SC" w:eastAsia="Noto Sans CJK SC"/>
          <w:b/>
          <w:color w:val="2F5496"/>
          <w:sz w:val="23"/>
        </w:rPr>
        <w:t>3. 百度智能云 Sugar BI 智能问数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Sugar BI可根据问题自动匹配数据模型，生成查询结果和图表，并支持查看对应SQL、调整维度和筛选条件。平台还提供数据模型范围和行级权限配置，体现了问数能力与数据权限治理的结合。</w:t>
      </w:r>
    </w:p>
    <w:p>
      <w:pPr>
        <w:keepNext/>
        <w:spacing w:before="100" w:after="100"/>
      </w:pPr>
      <w:r>
        <w:rPr>
          <w:rFonts w:ascii="Noto Sans CJK SC" w:hAnsi="Noto Sans CJK SC" w:eastAsia="Noto Sans CJK SC"/>
          <w:b/>
          <w:color w:val="2F5496"/>
          <w:sz w:val="23"/>
        </w:rPr>
        <w:t>4. 火山引擎 Data Agent 智能分析Agent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Data Agent面向企业数据分析场景，支持多数据集、语义模型、业务知识、多轮问数和归因分析，并提供私有化产品形态。其思路是把智能问数从单次查询扩展到业务洞察和持续分析。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这些产品说明，智能问数的核心不只是对话体验，更在于清晰的指标语义、准确的权限边界、受控的查询过程和持续评测机制。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五、建设建议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企业落地时应先选择一个数据成熟、价值明确的业务域，整理核心指标、常用维度和高频问题，优先打通身份、权限、语义、模型、查询和审计链路。先把少量问题做准、做稳，再逐步扩展，比一开始接入全部数据更容易控制风险。</w:t>
      </w:r>
    </w:p>
    <w:p>
      <w:pPr>
        <w:spacing w:line="324" w:lineRule="auto" w:after="100"/>
        <w:ind w:firstLine="420"/>
        <w:jc w:val="both"/>
      </w:pPr>
      <w:r>
        <w:rPr>
          <w:rFonts w:ascii="Noto Sans CJK SC" w:hAnsi="Noto Sans CJK SC" w:eastAsia="Noto Sans CJK SC"/>
          <w:color w:val="282828"/>
          <w:sz w:val="21"/>
        </w:rPr>
        <w:t>总体来看，AI智能问数能够推动企业从“依赖专业人员取数”走向“员工安全自助用数”。只有数据治理、权限控制、查询安全和评测反馈形成闭环，AI能力才能稳定转化为业务价值。</w:t>
      </w:r>
    </w:p>
    <w:p>
      <w:pPr>
        <w:keepNext/>
        <w:spacing w:before="180" w:after="100"/>
        <w:pBdr>
          <w:bottom w:val="single" w:sz="8" w:space="4" w:color="9FBAD0"/>
        </w:pBdr>
      </w:pPr>
      <w:r>
        <w:rPr>
          <w:rFonts w:ascii="Noto Sans CJK SC" w:hAnsi="Noto Sans CJK SC" w:eastAsia="Noto Sans CJK SC"/>
          <w:b/>
          <w:color w:val="1F4E79"/>
          <w:sz w:val="29"/>
        </w:rPr>
        <w:t>资料来源（官方文档）</w:t>
      </w:r>
    </w:p>
    <w:p>
      <w:pPr>
        <w:spacing w:after="50"/>
        <w:ind w:left="142"/>
      </w:pPr>
      <w:hyperlink r:id="rId11">
        <w:r>
          <w:rPr>
            <w:rFonts w:ascii="Noto Sans CJK SC" w:eastAsia="Noto Sans CJK SC"/>
            <w:color w:val="0563C1"/>
            <w:u w:val="single"/>
            <w:sz w:val="19"/>
          </w:rPr>
          <w:t>[1] 阿里云 Quick BI：小Q问数概述与操作指南</w:t>
        </w:r>
      </w:hyperlink>
    </w:p>
    <w:p>
      <w:pPr>
        <w:spacing w:after="50"/>
        <w:ind w:left="142"/>
      </w:pPr>
      <w:hyperlink r:id="rId12">
        <w:r>
          <w:rPr>
            <w:rFonts w:ascii="Noto Sans CJK SC" w:eastAsia="Noto Sans CJK SC"/>
            <w:color w:val="0563C1"/>
            <w:u w:val="single"/>
            <w:sz w:val="19"/>
          </w:rPr>
          <w:t>[2] 华为云 DataArts Insight：智能问数</w:t>
        </w:r>
      </w:hyperlink>
    </w:p>
    <w:p>
      <w:pPr>
        <w:spacing w:after="50"/>
        <w:ind w:left="142"/>
      </w:pPr>
      <w:hyperlink r:id="rId13">
        <w:r>
          <w:rPr>
            <w:rFonts w:ascii="Noto Sans CJK SC" w:eastAsia="Noto Sans CJK SC"/>
            <w:color w:val="0563C1"/>
            <w:u w:val="single"/>
            <w:sz w:val="19"/>
          </w:rPr>
          <w:t>[3] 百度智能云 Sugar BI：智能问数概述与使用</w:t>
        </w:r>
      </w:hyperlink>
    </w:p>
    <w:p>
      <w:pPr>
        <w:spacing w:after="50"/>
        <w:ind w:left="142"/>
      </w:pPr>
      <w:hyperlink r:id="rId14">
        <w:r>
          <w:rPr>
            <w:rFonts w:ascii="Noto Sans CJK SC" w:eastAsia="Noto Sans CJK SC"/>
            <w:color w:val="0563C1"/>
            <w:u w:val="single"/>
            <w:sz w:val="19"/>
          </w:rPr>
          <w:t>[4] 火山引擎 Data Agent：智能分析Agent与智能问数</w:t>
        </w:r>
      </w:hyperlink>
    </w:p>
    <w:p>
      <w:pPr>
        <w:spacing w:before="140"/>
        <w:jc w:val="right"/>
      </w:pPr>
      <w:r>
        <w:rPr>
          <w:rFonts w:ascii="Noto Sans CJK SC" w:hAnsi="Noto Sans CJK SC" w:eastAsia="Noto Sans CJK SC"/>
          <w:color w:val="787878"/>
          <w:sz w:val="18"/>
        </w:rPr>
        <w:t>资料检索日期：2026年7月23日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E2F3"/>
      </w:pBdr>
    </w:pPr>
    <w:r>
      <w:rPr>
        <w:rFonts w:ascii="Noto Sans CJK SC" w:hAnsi="Noto Sans CJK SC" w:eastAsia="Noto Sans CJK SC"/>
        <w:color w:val="828282"/>
        <w:sz w:val="17"/>
      </w:rPr>
      <w:t>AI智能问数概述及建设必要性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liyun.com/zh/quick-bi/user-guide/chat-bi-overview" TargetMode="External"/><Relationship Id="rId12" Type="http://schemas.openxmlformats.org/officeDocument/2006/relationships/hyperlink" Target="https://support.huaweicloud.com/usermanual-dataartsinsight/dataartsinsight_03_5074.html" TargetMode="External"/><Relationship Id="rId13" Type="http://schemas.openxmlformats.org/officeDocument/2006/relationships/hyperlink" Target="https://cloud.baidu.com/doc/SUGAR/s/Llpqgy2kv" TargetMode="External"/><Relationship Id="rId14" Type="http://schemas.openxmlformats.org/officeDocument/2006/relationships/hyperlink" Target="https://www.volcengine.com/product/Analytics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AI智能问数概述、建设必要性及国内实践</dc:title>
  <dc:subject>企业内部AI智能问数精简说明</dc:subject>
  <dc:creator>OpenAI</dc:creator>
  <cp:keywords/>
  <dc:description>基于企业AI智能问数实施方案及国内厂商官方资料整理。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