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i w:val="0"/>
          <w:sz w:val="56"/>
        </w:rPr>
        <w:t>AIDataSmartRequest</w:t>
      </w:r>
    </w:p>
    <w:p>
      <w:pPr>
        <w:jc w:val="center"/>
      </w:pPr>
      <w:r>
        <w:rPr>
          <w:rFonts w:ascii="Noto Sans CJK SC" w:hAnsi="Noto Sans CJK SC" w:eastAsia="Noto Sans CJK SC"/>
          <w:b/>
          <w:i w:val="0"/>
          <w:sz w:val="44"/>
        </w:rPr>
        <w:t>华为内部 AI 智能问数平台落地实施方案</w:t>
      </w:r>
    </w:p>
    <w:p>
      <w:pPr>
        <w:spacing w:before="400"/>
        <w:jc w:val="center"/>
      </w:pPr>
      <w:r>
        <w:rPr>
          <w:rFonts w:ascii="Noto Sans CJK SC" w:hAnsi="Noto Sans CJK SC" w:eastAsia="Noto Sans CJK SC"/>
          <w:b w:val="0"/>
          <w:i w:val="0"/>
          <w:sz w:val="26"/>
        </w:rPr>
        <w:t>基于 W3 Unipoortal SSO、统一权限中心、本地 Qwen、统一查询代理与全链路审计</w:t>
      </w:r>
    </w:p>
    <w:tbl>
      <w:tblPr>
        <w:tblW w:type="auto" w:w="0"/>
        <w:jc w:val="center"/>
        <w:tblLayout w:type="fixed"/>
        <w:tblLook w:firstColumn="1" w:firstRow="1" w:lastColumn="0" w:lastRow="0" w:noHBand="0" w:noVBand="1" w:val="04A0"/>
      </w:tblPr>
      <w:tblGrid>
        <w:gridCol w:w="4819"/>
        <w:gridCol w:w="4819"/>
      </w:tblGrid>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文档版本</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V1.1</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文档类型</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总体实施方案 / HLD 修订稿</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适用范围</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华为内部员工智能问数平台</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编制日期</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2026年7月22日</w:t>
            </w:r>
          </w:p>
        </w:tc>
      </w:tr>
      <w:tr>
        <w:tc>
          <w:tcPr>
            <w:tcW w:type="dxa" w:w="2268"/>
            <w:vAlign w:val="center"/>
            <w:shd w:fill="E7E6E6"/>
            <w:tcMar>
              <w:top w:w="120" w:type="dxa"/>
              <w:start w:w="120" w:type="dxa"/>
              <w:bottom w:w="120" w:type="dxa"/>
              <w:end w:w="120" w:type="dxa"/>
            </w:tcMar>
          </w:tcPr>
          <w:p>
            <w:pPr>
              <w:jc w:val="center"/>
            </w:pPr>
            <w:r>
              <w:rPr>
                <w:rFonts w:ascii="Noto Sans CJK SC" w:hAnsi="Noto Sans CJK SC" w:eastAsia="Noto Sans CJK SC"/>
                <w:b/>
                <w:i w:val="0"/>
              </w:rPr>
              <w:t>文档状态</w:t>
            </w:r>
          </w:p>
        </w:tc>
        <w:tc>
          <w:tcPr>
            <w:tcW w:type="dxa" w:w="5102"/>
            <w:vAlign w:val="center"/>
            <w:tcMar>
              <w:top w:w="120" w:type="dxa"/>
              <w:start w:w="120" w:type="dxa"/>
              <w:bottom w:w="120" w:type="dxa"/>
              <w:end w:w="120" w:type="dxa"/>
            </w:tcMar>
          </w:tcPr>
          <w:p>
            <w:r>
              <w:rPr>
                <w:rFonts w:ascii="Noto Sans CJK SC" w:hAnsi="Noto Sans CJK SC" w:eastAsia="Noto Sans CJK SC"/>
                <w:b w:val="0"/>
                <w:i w:val="0"/>
              </w:rPr>
              <w:t>方案设计稿</w:t>
            </w:r>
          </w:p>
        </w:tc>
      </w:tr>
    </w:tbl>
    <w:p/>
    <w:p>
      <w:pPr>
        <w:spacing w:before="1600"/>
        <w:jc w:val="center"/>
      </w:pPr>
      <w:r>
        <w:rPr>
          <w:rFonts w:ascii="Noto Sans CJK SC" w:hAnsi="Noto Sans CJK SC" w:eastAsia="Noto Sans CJK SC"/>
          <w:b/>
          <w:i w:val="0"/>
          <w:sz w:val="20"/>
        </w:rPr>
        <w:t>内部使用｜未经授权不得外传</w:t>
      </w:r>
    </w:p>
    <w:p>
      <w:r>
        <w:br w:type="page"/>
      </w:r>
    </w:p>
    <w:p>
      <w:pPr>
        <w:pStyle w:val="Heading1"/>
        <w:keepNext/>
      </w:pPr>
      <w:r>
        <w:t>文档修订记录</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4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版本</w:t>
            </w:r>
          </w:p>
        </w:tc>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日期</w:t>
            </w:r>
          </w:p>
        </w:tc>
        <w:tc>
          <w:tcPr>
            <w:tcW w:type="dxa" w:w="4706"/>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修订说明</w:t>
            </w:r>
          </w:p>
        </w:tc>
        <w:tc>
          <w:tcPr>
            <w:tcW w:type="dxa" w:w="141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状态</w:t>
            </w:r>
          </w:p>
        </w:tc>
      </w:tr>
      <w:tr>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V1.1</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2026-07-22</w:t>
            </w:r>
          </w:p>
        </w:tc>
        <w:tc>
          <w:tcPr>
            <w:tcW w:type="dxa" w:w="470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根据新版“华为 AI 智能问数平台总体架构”调整分层、模块职责与端到端实施链路</w:t>
            </w:r>
          </w:p>
        </w:tc>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方案设计稿</w:t>
            </w:r>
          </w:p>
        </w:tc>
      </w:tr>
    </w:tbl>
    <w:p>
      <w:pPr>
        <w:spacing w:after="40"/>
      </w:pPr>
    </w:p>
    <w:p>
      <w:pPr>
        <w:pStyle w:val="Heading1"/>
        <w:keepNext/>
      </w:pPr>
      <w:r>
        <w:t>执行摘要</w:t>
      </w:r>
    </w:p>
    <w:p>
      <w:pPr>
        <w:spacing w:line="324" w:lineRule="auto" w:after="120"/>
        <w:ind w:firstLine="420"/>
      </w:pPr>
      <w:r>
        <w:rPr>
          <w:rFonts w:ascii="Noto Sans CJK SC" w:hAnsi="Noto Sans CJK SC" w:eastAsia="Noto Sans CJK SC"/>
          <w:b w:val="0"/>
          <w:i w:val="0"/>
        </w:rPr>
        <w:t>本方案用于指导 AIDataSmartRequest 从总体架构进入可开发、可联调、可测试、可上线的实施阶段。平台面向华为内部员工，通过公司内网、VPN 或零信任接入，依次经过内网负载均衡/WAF、API Gateway 与 W3 Unipoortal SSO 完成员工认证；组织与用户属性服务提供部门、BG/BU、区域和岗位信息，统一权限中心据此生成 SecurityContext。该上下文贯穿业务域路由、语义与元数据检索、本地 Qwen 的查询计划/Text-to-SQL、SQL 安全改写、统一查询代理、结果展示与审计全过程。</w:t>
      </w:r>
    </w:p>
    <w:p>
      <w:pPr>
        <w:spacing w:line="324" w:lineRule="auto" w:after="120"/>
        <w:ind w:firstLine="420"/>
      </w:pPr>
      <w:r>
        <w:rPr>
          <w:rFonts w:ascii="Noto Sans CJK SC" w:hAnsi="Noto Sans CJK SC" w:eastAsia="Noto Sans CJK SC"/>
          <w:b w:val="0"/>
          <w:i w:val="0"/>
        </w:rPr>
        <w:t>实施策略采用“一个业务域先行、语义资产优先、统一查询出口、本地模型受控生成、全链路审计”的方式。首期不追求全公司数据接入，也不让本地 Qwen 直接访问底层数据库或自由执行任意 SQL。系统通过企业语义层、Golden Query、模型服务网关、SQL 安全校验与改写、Query Proxy 和统一 SQL 查询引擎，将模型生成与数据执行彻底隔离，提高结果准确率、安全性和可运维性。</w:t>
      </w: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首期成功标准</w:t>
              <w:br/>
              <w:t>完成 W3 登录、一个业务域、20～30 个核心指标、50～100 个高频标准问题、基础多轮问数、本地 Qwen 接入、SQL 安全校验与改写、统一查询代理、结果可视化、Benchmark 评测和审计闭环；核心高频问题结果准确率目标不低于 95%，越权查询成功数必须为 0。</w:t>
            </w:r>
          </w:p>
        </w:tc>
      </w:tr>
    </w:tbl>
    <w:p>
      <w:pPr>
        <w:spacing w:after="40"/>
      </w:pPr>
    </w:p>
    <w:p>
      <w:pPr>
        <w:pStyle w:val="Heading1"/>
        <w:keepNext/>
      </w:pPr>
      <w:r>
        <w:t>目录</w:t>
      </w:r>
    </w:p>
    <w:p>
      <w:pPr>
        <w:pStyle w:val="ListBullet"/>
        <w:spacing w:after="40" w:line="276" w:lineRule="auto"/>
      </w:pPr>
      <w:r>
        <w:rPr>
          <w:rFonts w:ascii="Noto Sans CJK SC" w:hAnsi="Noto Sans CJK SC" w:eastAsia="Noto Sans CJK SC"/>
          <w:b w:val="0"/>
          <w:i w:val="0"/>
        </w:rPr>
        <w:t>1. 项目背景与建设目标</w:t>
      </w:r>
    </w:p>
    <w:p>
      <w:pPr>
        <w:pStyle w:val="ListBullet"/>
        <w:spacing w:after="40" w:line="276" w:lineRule="auto"/>
      </w:pPr>
      <w:r>
        <w:rPr>
          <w:rFonts w:ascii="Noto Sans CJK SC" w:hAnsi="Noto Sans CJK SC" w:eastAsia="Noto Sans CJK SC"/>
          <w:b w:val="0"/>
          <w:i w:val="0"/>
        </w:rPr>
        <w:t>2. 总体架构解读与落地原则</w:t>
      </w:r>
    </w:p>
    <w:p>
      <w:pPr>
        <w:pStyle w:val="ListBullet"/>
        <w:spacing w:after="40" w:line="276" w:lineRule="auto"/>
      </w:pPr>
      <w:r>
        <w:rPr>
          <w:rFonts w:ascii="Noto Sans CJK SC" w:hAnsi="Noto Sans CJK SC" w:eastAsia="Noto Sans CJK SC"/>
          <w:b w:val="0"/>
          <w:i w:val="0"/>
        </w:rPr>
        <w:t>3. 实施范围与阶段划分</w:t>
      </w:r>
    </w:p>
    <w:p>
      <w:pPr>
        <w:pStyle w:val="ListBullet"/>
        <w:spacing w:after="40" w:line="276" w:lineRule="auto"/>
      </w:pPr>
      <w:r>
        <w:rPr>
          <w:rFonts w:ascii="Noto Sans CJK SC" w:hAnsi="Noto Sans CJK SC" w:eastAsia="Noto Sans CJK SC"/>
          <w:b w:val="0"/>
          <w:i w:val="0"/>
        </w:rPr>
        <w:t>4. 各架构模块落地方案</w:t>
      </w:r>
    </w:p>
    <w:p>
      <w:pPr>
        <w:pStyle w:val="ListBullet"/>
        <w:spacing w:after="40" w:line="276" w:lineRule="auto"/>
      </w:pPr>
      <w:r>
        <w:rPr>
          <w:rFonts w:ascii="Noto Sans CJK SC" w:hAnsi="Noto Sans CJK SC" w:eastAsia="Noto Sans CJK SC"/>
          <w:b w:val="0"/>
          <w:i w:val="0"/>
        </w:rPr>
        <w:t>5. 数据与语义资产建设</w:t>
      </w:r>
    </w:p>
    <w:p>
      <w:pPr>
        <w:pStyle w:val="ListBullet"/>
        <w:spacing w:after="40" w:line="276" w:lineRule="auto"/>
      </w:pPr>
      <w:r>
        <w:rPr>
          <w:rFonts w:ascii="Noto Sans CJK SC" w:hAnsi="Noto Sans CJK SC" w:eastAsia="Noto Sans CJK SC"/>
          <w:b w:val="0"/>
          <w:i w:val="0"/>
        </w:rPr>
        <w:t>6. W3 身份与数据权限实施</w:t>
      </w:r>
    </w:p>
    <w:p>
      <w:pPr>
        <w:pStyle w:val="ListBullet"/>
        <w:spacing w:after="40" w:line="276" w:lineRule="auto"/>
      </w:pPr>
      <w:r>
        <w:rPr>
          <w:rFonts w:ascii="Noto Sans CJK SC" w:hAnsi="Noto Sans CJK SC" w:eastAsia="Noto Sans CJK SC"/>
          <w:b w:val="0"/>
          <w:i w:val="0"/>
        </w:rPr>
        <w:t>7. 智能问数核心链路与接口契约</w:t>
      </w:r>
    </w:p>
    <w:p>
      <w:pPr>
        <w:pStyle w:val="ListBullet"/>
        <w:spacing w:after="40" w:line="276" w:lineRule="auto"/>
      </w:pPr>
      <w:r>
        <w:rPr>
          <w:rFonts w:ascii="Noto Sans CJK SC" w:hAnsi="Noto Sans CJK SC" w:eastAsia="Noto Sans CJK SC"/>
          <w:b w:val="0"/>
          <w:i w:val="0"/>
        </w:rPr>
        <w:t>8. 数据模型与接口设计</w:t>
      </w:r>
    </w:p>
    <w:p>
      <w:pPr>
        <w:pStyle w:val="ListBullet"/>
        <w:spacing w:after="40" w:line="276" w:lineRule="auto"/>
      </w:pPr>
      <w:r>
        <w:rPr>
          <w:rFonts w:ascii="Noto Sans CJK SC" w:hAnsi="Noto Sans CJK SC" w:eastAsia="Noto Sans CJK SC"/>
          <w:b w:val="0"/>
          <w:i w:val="0"/>
        </w:rPr>
        <w:t>9. 部署、环境与网络实施</w:t>
      </w:r>
    </w:p>
    <w:p>
      <w:pPr>
        <w:pStyle w:val="ListBullet"/>
        <w:spacing w:after="40" w:line="276" w:lineRule="auto"/>
      </w:pPr>
      <w:r>
        <w:rPr>
          <w:rFonts w:ascii="Noto Sans CJK SC" w:hAnsi="Noto Sans CJK SC" w:eastAsia="Noto Sans CJK SC"/>
          <w:b w:val="0"/>
          <w:i w:val="0"/>
        </w:rPr>
        <w:t>10. 测试、评测与验收</w:t>
      </w:r>
    </w:p>
    <w:p>
      <w:pPr>
        <w:pStyle w:val="ListBullet"/>
        <w:spacing w:after="40" w:line="276" w:lineRule="auto"/>
      </w:pPr>
      <w:r>
        <w:rPr>
          <w:rFonts w:ascii="Noto Sans CJK SC" w:hAnsi="Noto Sans CJK SC" w:eastAsia="Noto Sans CJK SC"/>
          <w:b w:val="0"/>
          <w:i w:val="0"/>
        </w:rPr>
        <w:t>11. 运维与持续运营</w:t>
      </w:r>
    </w:p>
    <w:p>
      <w:pPr>
        <w:pStyle w:val="ListBullet"/>
        <w:spacing w:after="40" w:line="276" w:lineRule="auto"/>
      </w:pPr>
      <w:r>
        <w:rPr>
          <w:rFonts w:ascii="Noto Sans CJK SC" w:hAnsi="Noto Sans CJK SC" w:eastAsia="Noto Sans CJK SC"/>
          <w:b w:val="0"/>
          <w:i w:val="0"/>
        </w:rPr>
        <w:t>12. 项目组织、计划与里程碑</w:t>
      </w:r>
    </w:p>
    <w:p>
      <w:pPr>
        <w:pStyle w:val="ListBullet"/>
        <w:spacing w:after="40" w:line="276" w:lineRule="auto"/>
      </w:pPr>
      <w:r>
        <w:rPr>
          <w:rFonts w:ascii="Noto Sans CJK SC" w:hAnsi="Noto Sans CJK SC" w:eastAsia="Noto Sans CJK SC"/>
          <w:b w:val="0"/>
          <w:i w:val="0"/>
        </w:rPr>
        <w:t>13. 风险与应对</w:t>
      </w:r>
    </w:p>
    <w:p>
      <w:pPr>
        <w:pStyle w:val="ListBullet"/>
        <w:spacing w:after="40" w:line="276" w:lineRule="auto"/>
      </w:pPr>
      <w:r>
        <w:rPr>
          <w:rFonts w:ascii="Noto Sans CJK SC" w:hAnsi="Noto Sans CJK SC" w:eastAsia="Noto Sans CJK SC"/>
          <w:b w:val="0"/>
          <w:i w:val="0"/>
        </w:rPr>
        <w:t>14. 交付物清单</w:t>
      </w:r>
    </w:p>
    <w:p>
      <w:pPr>
        <w:pStyle w:val="ListBullet"/>
        <w:spacing w:after="40" w:line="276" w:lineRule="auto"/>
      </w:pPr>
      <w:r>
        <w:rPr>
          <w:rFonts w:ascii="Noto Sans CJK SC" w:hAnsi="Noto Sans CJK SC" w:eastAsia="Noto Sans CJK SC"/>
          <w:b w:val="0"/>
          <w:i w:val="0"/>
        </w:rPr>
        <w:t>附录 A. 示例 SecurityContext</w:t>
      </w:r>
    </w:p>
    <w:p>
      <w:pPr>
        <w:pStyle w:val="ListBullet"/>
        <w:spacing w:after="40" w:line="276" w:lineRule="auto"/>
      </w:pPr>
      <w:r>
        <w:rPr>
          <w:rFonts w:ascii="Noto Sans CJK SC" w:hAnsi="Noto Sans CJK SC" w:eastAsia="Noto Sans CJK SC"/>
          <w:b w:val="0"/>
          <w:i w:val="0"/>
        </w:rPr>
        <w:t>附录 B. 示例 QueryPlan</w:t>
      </w:r>
    </w:p>
    <w:p>
      <w:pPr>
        <w:pStyle w:val="ListBullet"/>
        <w:spacing w:after="40" w:line="276" w:lineRule="auto"/>
      </w:pPr>
      <w:r>
        <w:rPr>
          <w:rFonts w:ascii="Noto Sans CJK SC" w:hAnsi="Noto Sans CJK SC" w:eastAsia="Noto Sans CJK SC"/>
          <w:b w:val="0"/>
          <w:i w:val="0"/>
        </w:rPr>
        <w:t>附录 C. 上线检查清单</w:t>
      </w:r>
    </w:p>
    <w:p>
      <w:pPr>
        <w:pStyle w:val="Heading1"/>
        <w:keepNext/>
      </w:pPr>
      <w:r>
        <w:t>1. 项目背景与建设目标</w:t>
      </w:r>
    </w:p>
    <w:p>
      <w:pPr>
        <w:pStyle w:val="Heading2"/>
        <w:keepNext/>
      </w:pPr>
      <w:r>
        <w:t>1.1 建设背景</w:t>
      </w:r>
    </w:p>
    <w:p>
      <w:pPr>
        <w:spacing w:line="324" w:lineRule="auto" w:after="120"/>
        <w:ind w:firstLine="420"/>
      </w:pPr>
      <w:r>
        <w:rPr>
          <w:rFonts w:ascii="Noto Sans CJK SC" w:hAnsi="Noto Sans CJK SC" w:eastAsia="Noto Sans CJK SC"/>
          <w:b w:val="0"/>
          <w:i w:val="0"/>
        </w:rPr>
        <w:t>企业内部数据分散在不同业务系统、主题数据集和数据仓库中。业务人员在提出临时分析问题时，通常需要经过“提需求—确认口径—编写 SQL—导出数据—制作图表—继续追问”的长链路。AIDataSmartRequest 的目标不是简单给数据库套一个聊天框，而是建设一个以企业语义和权限治理为基础的内部自然语言数据分析平台。</w:t>
      </w:r>
    </w:p>
    <w:p>
      <w:pPr>
        <w:pStyle w:val="Heading2"/>
        <w:keepNext/>
      </w:pPr>
      <w:r>
        <w:t>1.2 建设目标</w:t>
      </w:r>
    </w:p>
    <w:p>
      <w:pPr>
        <w:pStyle w:val="ListBullet"/>
        <w:spacing w:after="40" w:line="276" w:lineRule="auto"/>
      </w:pPr>
      <w:r>
        <w:rPr>
          <w:rFonts w:ascii="Noto Sans CJK SC" w:hAnsi="Noto Sans CJK SC" w:eastAsia="Noto Sans CJK SC"/>
          <w:b w:val="0"/>
          <w:i w:val="0"/>
        </w:rPr>
        <w:t>员工通过 W3 Unipoortal SSO 单点登录进入平台，无需维护独立账号和密码。</w:t>
      </w:r>
    </w:p>
    <w:p>
      <w:pPr>
        <w:pStyle w:val="ListBullet"/>
        <w:spacing w:after="40" w:line="276" w:lineRule="auto"/>
      </w:pPr>
      <w:r>
        <w:rPr>
          <w:rFonts w:ascii="Noto Sans CJK SC" w:hAnsi="Noto Sans CJK SC" w:eastAsia="Noto Sans CJK SC"/>
          <w:b w:val="0"/>
          <w:i w:val="0"/>
        </w:rPr>
        <w:t>普通业务人员能够用自然语言查询被授权的数据，并获得数字、表格、图表和口径说明。</w:t>
      </w:r>
    </w:p>
    <w:p>
      <w:pPr>
        <w:pStyle w:val="ListBullet"/>
        <w:spacing w:after="40" w:line="276" w:lineRule="auto"/>
      </w:pPr>
      <w:r>
        <w:rPr>
          <w:rFonts w:ascii="Noto Sans CJK SC" w:hAnsi="Noto Sans CJK SC" w:eastAsia="Noto Sans CJK SC"/>
          <w:b w:val="0"/>
          <w:i w:val="0"/>
        </w:rPr>
        <w:t>高频核心问题优先命中 Golden Query 或参数化可信查询，保证稳定性和可复现性。</w:t>
      </w:r>
    </w:p>
    <w:p>
      <w:pPr>
        <w:pStyle w:val="ListBullet"/>
        <w:spacing w:after="40" w:line="276" w:lineRule="auto"/>
      </w:pPr>
      <w:r>
        <w:rPr>
          <w:rFonts w:ascii="Noto Sans CJK SC" w:hAnsi="Noto Sans CJK SC" w:eastAsia="Noto Sans CJK SC"/>
          <w:b w:val="0"/>
          <w:i w:val="0"/>
        </w:rPr>
        <w:t>自由问数由本地 Qwen 在企业语义上下文约束下生成结构化 QueryPlan 或 Text-to-SQL 草案，再经 SQL 安全校验与改写。</w:t>
      </w:r>
    </w:p>
    <w:p>
      <w:pPr>
        <w:pStyle w:val="ListBullet"/>
        <w:spacing w:after="40" w:line="276" w:lineRule="auto"/>
      </w:pPr>
      <w:r>
        <w:rPr>
          <w:rFonts w:ascii="Noto Sans CJK SC" w:hAnsi="Noto Sans CJK SC" w:eastAsia="Noto Sans CJK SC"/>
          <w:b w:val="0"/>
          <w:i w:val="0"/>
        </w:rPr>
        <w:t>所有查询必须经过统一权限中心、Query Proxy、SQL 安全检查、成本控制、结果校验和全链路审计。</w:t>
      </w:r>
    </w:p>
    <w:p>
      <w:pPr>
        <w:pStyle w:val="ListBullet"/>
        <w:spacing w:after="40" w:line="276" w:lineRule="auto"/>
      </w:pPr>
      <w:r>
        <w:rPr>
          <w:rFonts w:ascii="Noto Sans CJK SC" w:hAnsi="Noto Sans CJK SC" w:eastAsia="Noto Sans CJK SC"/>
          <w:b w:val="0"/>
          <w:i w:val="0"/>
        </w:rPr>
        <w:t>通过 Benchmark、用户反馈和错误归因建立持续改进闭环。</w:t>
      </w:r>
    </w:p>
    <w:p>
      <w:pPr>
        <w:pStyle w:val="Heading2"/>
        <w:keepNext/>
      </w:pPr>
      <w:r>
        <w:t>1.3 首期范围</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范围项</w:t>
            </w:r>
          </w:p>
        </w:tc>
        <w:tc>
          <w:tcPr>
            <w:tcW w:type="dxa" w:w="351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首期内容</w:t>
            </w:r>
          </w:p>
        </w:tc>
        <w:tc>
          <w:tcPr>
            <w:tcW w:type="dxa" w:w="351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后续扩展</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身份与访问</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 Unipoortal SSO、组织/用户属性、会话管理、SecurityContext</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更细粒度项目授权、临时审批、跨域授权</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业务域</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选择一个数据成熟度高、价值明确的业务域</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按销售、项目、质量、供应链等逐域扩展</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问数能力</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标准问数、业务域路由、语义检索、基础多轮追问、表格/图表</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复杂归因、Python 分析、预测、情景推演</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数据范围</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ODS / DWD / DWS / ADS、业务数据 API、分析型数据库只读接入</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更多湖仓数据集与跨域数据服务</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治理能力</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指标、维度、Join、Golden Query、模型/Prompt 版本、评测、审计</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自动回归、质量告警、运营看板</w:t>
            </w:r>
          </w:p>
        </w:tc>
      </w:tr>
    </w:tbl>
    <w:p>
      <w:pPr>
        <w:spacing w:after="40"/>
      </w:pPr>
    </w:p>
    <w:p>
      <w:pPr>
        <w:pStyle w:val="Heading2"/>
        <w:keepNext/>
      </w:pPr>
      <w:r>
        <w:t>1.4 首期明确不做</w:t>
      </w:r>
    </w:p>
    <w:p>
      <w:pPr>
        <w:pStyle w:val="ListBullet"/>
        <w:spacing w:after="40" w:line="276" w:lineRule="auto"/>
      </w:pPr>
      <w:r>
        <w:rPr>
          <w:rFonts w:ascii="Noto Sans CJK SC" w:hAnsi="Noto Sans CJK SC" w:eastAsia="Noto Sans CJK SC"/>
          <w:b w:val="0"/>
          <w:i w:val="0"/>
        </w:rPr>
        <w:t>不让本地 Qwen 直接连接或查询核心生产 OLTP 明细库。</w:t>
      </w:r>
    </w:p>
    <w:p>
      <w:pPr>
        <w:pStyle w:val="ListBullet"/>
        <w:spacing w:after="40" w:line="276" w:lineRule="auto"/>
      </w:pPr>
      <w:r>
        <w:rPr>
          <w:rFonts w:ascii="Noto Sans CJK SC" w:hAnsi="Noto Sans CJK SC" w:eastAsia="Noto Sans CJK SC"/>
          <w:b w:val="0"/>
          <w:i w:val="0"/>
        </w:rPr>
        <w:t>不一次性接入所有企业表和所有业务域。</w:t>
      </w:r>
    </w:p>
    <w:p>
      <w:pPr>
        <w:pStyle w:val="ListBullet"/>
        <w:spacing w:after="40" w:line="276" w:lineRule="auto"/>
      </w:pPr>
      <w:r>
        <w:rPr>
          <w:rFonts w:ascii="Noto Sans CJK SC" w:hAnsi="Noto Sans CJK SC" w:eastAsia="Noto Sans CJK SC"/>
          <w:b w:val="0"/>
          <w:i w:val="0"/>
        </w:rPr>
        <w:t>不开放写操作、存储过程和任意 Python 代码执行。</w:t>
      </w:r>
    </w:p>
    <w:p>
      <w:pPr>
        <w:pStyle w:val="ListBullet"/>
        <w:spacing w:after="40" w:line="276" w:lineRule="auto"/>
      </w:pPr>
      <w:r>
        <w:rPr>
          <w:rFonts w:ascii="Noto Sans CJK SC" w:hAnsi="Noto Sans CJK SC" w:eastAsia="Noto Sans CJK SC"/>
          <w:b w:val="0"/>
          <w:i w:val="0"/>
        </w:rPr>
        <w:t>不将未经脱敏的员工、客户、供应商明细发送给模型。</w:t>
      </w:r>
    </w:p>
    <w:p>
      <w:pPr>
        <w:pStyle w:val="ListBullet"/>
        <w:spacing w:after="40" w:line="276" w:lineRule="auto"/>
      </w:pPr>
      <w:r>
        <w:rPr>
          <w:rFonts w:ascii="Noto Sans CJK SC" w:hAnsi="Noto Sans CJK SC" w:eastAsia="Noto Sans CJK SC"/>
          <w:b w:val="0"/>
          <w:i w:val="0"/>
        </w:rPr>
        <w:t>不在首期引入预测、自治多 Agent 或任意代码执行作为主链路。</w:t>
      </w:r>
    </w:p>
    <w:p>
      <w:pPr>
        <w:pStyle w:val="Heading1"/>
        <w:keepNext/>
      </w:pPr>
      <w:r>
        <w:t>2. 总体架构解读与落地原则</w:t>
      </w:r>
    </w:p>
    <w:p>
      <w:pPr>
        <w:spacing w:line="324" w:lineRule="auto" w:after="120"/>
        <w:ind w:firstLine="420"/>
      </w:pPr>
      <w:r>
        <w:rPr>
          <w:rFonts w:ascii="Noto Sans CJK SC" w:hAnsi="Noto Sans CJK SC" w:eastAsia="Noto Sans CJK SC"/>
          <w:b w:val="0"/>
          <w:i w:val="0"/>
        </w:rPr>
        <w:t>新版总体架构按照用户访问、接入与认证、智能问数应用、AI 智能核心、发展与查询支撑、统一查询与数据六个层次展开。核心链路从 W3 身份和组织属性出发，经统一权限中心生成 SecurityContext，由业务域识别、企业语义层、本地 Qwen、SQL 安全校验与改写共同形成受控查询，再通过 Query Proxy 和统一 SQL 查询引擎访问 ODS/DWD/DWS/ADS、分析型数据库或业务数据 API，最终完成结果解释、可视化与全链路审计。</w:t>
      </w:r>
    </w:p>
    <w:p>
      <w:pPr>
        <w:pStyle w:val="Heading2"/>
        <w:keepNext/>
      </w:pPr>
      <w:r>
        <w:t>2.1 架构分层职责概览</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层级</w:t>
            </w:r>
          </w:p>
        </w:tc>
        <w:tc>
          <w:tcPr>
            <w:tcW w:type="dxa" w:w="351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核心职责</w:t>
            </w:r>
          </w:p>
        </w:tc>
        <w:tc>
          <w:tcPr>
            <w:tcW w:type="dxa" w:w="374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落地重点</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用户访问层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内部员工通过 PC 浏览器或内部门户发起问数</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内网/VPN/零信任接入、终端与会话安全</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接入与认证层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WAF、API Gateway、W3 SSO、组织与用户属性</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路由限流、Token 校验、身份归一、属性同步</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智能问数应用层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Web 前端、会话管理、问数编排、结果解释与可视化</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上下文管理、SSE、流程控制、导出控制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AI 智能核心层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业务域路由、语义检索、本地 Qwen、SQL 安全改写</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QueryPlan/Text-to-SQL、Golden Query、AST 与权限校验</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发展与查询支撑层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统一权限、模型网关、企业语义、审计监控</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RBAC+ABAC、Prompt/模型版本、指标口径、链路追踪</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统一查询与数据层</w:t>
            </w:r>
          </w:p>
        </w:tc>
        <w:tc>
          <w:tcPr>
            <w:tcW w:type="dxa" w:w="351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Query Proxy、Trino/企业数仓服务、数仓/分析库/API</w:t>
            </w:r>
          </w:p>
        </w:tc>
        <w:tc>
          <w:tcPr>
            <w:tcW w:type="dxa" w:w="374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统一出口、只读执行、超时缓存、数据源隔离</w:t>
            </w:r>
          </w:p>
        </w:tc>
      </w:tr>
    </w:tbl>
    <w:p>
      <w:pPr>
        <w:spacing w:after="40"/>
      </w:pPr>
    </w:p>
    <w:p>
      <w:pPr>
        <w:sectPr>
          <w:headerReference w:type="default" r:id="rId9"/>
          <w:footerReference w:type="default" r:id="rId10"/>
          <w:pgSz w:w="11906" w:h="16838"/>
          <w:pgMar w:top="1020" w:right="1134" w:bottom="907" w:left="1134" w:header="397" w:footer="397" w:gutter="0"/>
          <w:cols w:space="720"/>
          <w:docGrid w:linePitch="360"/>
        </w:sectPr>
      </w:pPr>
    </w:p>
    <w:p>
      <w:pPr>
        <w:keepNext/>
        <w:spacing w:before="0" w:after="40"/>
        <w:jc w:val="center"/>
      </w:pPr>
      <w:r>
        <w:rPr>
          <w:rFonts w:ascii="Noto Sans CJK SC" w:hAnsi="Noto Sans CJK SC" w:eastAsia="Noto Sans CJK SC"/>
          <w:b/>
          <w:i w:val="0"/>
          <w:sz w:val="28"/>
        </w:rPr>
        <w:t>图 1  华为 AI 智能问数平台总体架构</w:t>
      </w:r>
    </w:p>
    <w:p>
      <w:pPr>
        <w:keepNext/>
        <w:spacing w:before="0" w:after="0"/>
        <w:jc w:val="center"/>
      </w:pPr>
      <w:r>
        <w:drawing>
          <wp:inline xmlns:a="http://schemas.openxmlformats.org/drawingml/2006/main" xmlns:pic="http://schemas.openxmlformats.org/drawingml/2006/picture">
            <wp:extent cx="13441680" cy="8952988"/>
            <wp:docPr id="1" name="Picture 1"/>
            <wp:cNvGraphicFramePr>
              <a:graphicFrameLocks noChangeAspect="1"/>
            </wp:cNvGraphicFramePr>
            <a:graphic>
              <a:graphicData uri="http://schemas.openxmlformats.org/drawingml/2006/picture">
                <pic:pic>
                  <pic:nvPicPr>
                    <pic:cNvPr id="0" name="未命名绘图.drawio (5).png"/>
                    <pic:cNvPicPr/>
                  </pic:nvPicPr>
                  <pic:blipFill>
                    <a:blip r:embed="rId16"/>
                    <a:stretch>
                      <a:fillRect/>
                    </a:stretch>
                  </pic:blipFill>
                  <pic:spPr>
                    <a:xfrm>
                      <a:off x="0" y="0"/>
                      <a:ext cx="13441680" cy="8952988"/>
                    </a:xfrm>
                    <a:prstGeom prst="rect"/>
                  </pic:spPr>
                </pic:pic>
              </a:graphicData>
            </a:graphic>
          </wp:inline>
        </w:drawing>
      </w:r>
    </w:p>
    <w:p>
      <w:pPr>
        <w:spacing w:before="40" w:after="0"/>
        <w:jc w:val="center"/>
      </w:pPr>
      <w:r>
        <w:rPr>
          <w:rFonts w:ascii="Noto Sans CJK SC" w:hAnsi="Noto Sans CJK SC" w:eastAsia="Noto Sans CJK SC"/>
          <w:b w:val="0"/>
          <w:i/>
          <w:sz w:val="16"/>
        </w:rPr>
        <w:t>说明：W3 Unipoortal 的具体协议与 Claim 字段、组织属性接口、Trino/企业数仓服务接入方式及底层数据源白名单，需由内部 IAM、数据平台与安全团队联合确认。</w:t>
      </w:r>
    </w:p>
    <w:p>
      <w:pPr>
        <w:sectPr>
          <w:headerReference w:type="default" r:id="rId11"/>
          <w:footerReference w:type="default" r:id="rId12"/>
          <w:pgSz w:w="23811" w:h="16838" w:orient="landscape"/>
          <w:pgMar w:top="567" w:right="680" w:bottom="567" w:left="680" w:header="283" w:footer="283" w:gutter="0"/>
          <w:cols w:space="720"/>
          <w:docGrid w:linePitch="360"/>
        </w:sectPr>
      </w:pPr>
    </w:p>
    <w:p>
      <w:pPr>
        <w:pStyle w:val="Heading2"/>
        <w:keepNext/>
      </w:pPr>
      <w:r>
        <w:t>2.2 架构落地原则</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原则</w:t>
            </w:r>
          </w:p>
        </w:tc>
        <w:tc>
          <w:tcPr>
            <w:tcW w:type="dxa" w:w="669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实施要求</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认证与授权分离</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 只证明“是谁”，统一权限中心决定“能看什么、能查到什么粒度”。</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统一权限贯穿</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SecurityContext 贯穿域路由、语义检索、模型调用、SQL、缓存、导出与审计。</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语义优先</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指标、维度、时间口径、Join 关系和 Golden Query 必须由企业语义层统一定义。</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本地模型受控生成</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仅生成 QueryPlan 或受限 SQL 草案，不持有数据库账号，不直接执行查询。</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统一查询出口</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所有 SQL 必须经过安全校验与改写，并由 Query Proxy 统一执行，禁止应用绕过代理直连数据源。</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数据最小化</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模型只接收必要的元数据、语义上下文和经授权的聚合结果，不接收全量敏感明细。</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全链路可审计</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以 W3 员工 ID、SecurityContext、业务域、语义/模型/Prompt 版本、SQL 哈希和执行引擎为审计主线。</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分层解耦、按需拆分</w:t>
            </w:r>
          </w:p>
        </w:tc>
        <w:tc>
          <w:tcPr>
            <w:tcW w:type="dxa" w:w="669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首期保持清晰服务边界并控制微服务数量；模型、查询代理等确有独立扩缩容需求时再拆分。</w:t>
            </w:r>
          </w:p>
        </w:tc>
      </w:tr>
    </w:tbl>
    <w:p>
      <w:pPr>
        <w:spacing w:after="40"/>
      </w:pPr>
    </w:p>
    <w:p>
      <w:pPr>
        <w:pStyle w:val="Heading2"/>
        <w:keepNext/>
      </w:pPr>
      <w:r>
        <w:t>2.3 架构到工作流映射</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架构层</w:t>
            </w:r>
          </w:p>
        </w:tc>
        <w:tc>
          <w:tcPr>
            <w:tcW w:type="dxa" w:w="408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实施工作流</w:t>
            </w:r>
          </w:p>
        </w:tc>
        <w:tc>
          <w:tcPr>
            <w:tcW w:type="dxa" w:w="317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主要产物</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接入与认证层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WAF/Gateway/W3/组织属性对接</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域名路由、SSO Adapter、身份模型、会话机制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应用与编排层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前端、会话、流程控制、结果返回</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Web、会话服务、编排状态机、SSE 契约</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AI 智能核心层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域路由、语义检索、Qwen 规划、SQL 安全改写</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QueryPlan Schema、Prompt、AST 规则、Golden Query</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发展与查询支撑层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权限、模型网关、语义资产、审计监控</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SecurityContext、模型路由、语义版本、审计事件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统一查询与数据层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 Proxy、Trino/数仓服务、数据源适配</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只读账号、连接器、超时/缓存、数据源白名单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结果与运营层</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图表解释、导出控制、反馈、Benchmark</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图表规范、解释模板、评测集、运营看板</w:t>
            </w:r>
          </w:p>
        </w:tc>
      </w:tr>
    </w:tbl>
    <w:p>
      <w:pPr>
        <w:spacing w:after="40"/>
      </w:pPr>
    </w:p>
    <w:p>
      <w:pPr>
        <w:pStyle w:val="Heading1"/>
        <w:keepNext/>
      </w:pPr>
      <w:r>
        <w:t>3. 实施范围与阶段划分</w:t>
      </w:r>
    </w:p>
    <w:p>
      <w:pPr>
        <w:pStyle w:val="Heading2"/>
        <w:keepNext/>
      </w:pPr>
      <w:r>
        <w:t>3.1 总体实施策略</w:t>
      </w:r>
    </w:p>
    <w:p>
      <w:pPr>
        <w:spacing w:line="324" w:lineRule="auto" w:after="120"/>
        <w:ind w:firstLine="420"/>
      </w:pPr>
      <w:r>
        <w:rPr>
          <w:rFonts w:ascii="Noto Sans CJK SC" w:hAnsi="Noto Sans CJK SC" w:eastAsia="Noto Sans CJK SC"/>
          <w:b w:val="0"/>
          <w:i w:val="0"/>
        </w:rPr>
        <w:t>建议采用“基础安全先行—数据语义并行—核心链路打通—试点业务验证—评测驱动加固—逐域推广”的实施顺序。首期以 16 周为参考周期，身份、安全、数据和 AI 四条工作流并行推进。</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阶段</w:t>
            </w:r>
          </w:p>
        </w:tc>
        <w:tc>
          <w:tcPr>
            <w:tcW w:type="dxa" w:w="124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时间窗口</w:t>
            </w:r>
          </w:p>
        </w:tc>
        <w:tc>
          <w:tcPr>
            <w:tcW w:type="dxa" w:w="340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核心目标</w:t>
            </w:r>
          </w:p>
        </w:tc>
        <w:tc>
          <w:tcPr>
            <w:tcW w:type="dxa" w:w="272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退出条件</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阶段0：立项与准备</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第1～2周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确认试点域、W3对接人、数据负责人、网络环境和验收指标</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范围冻结；接口和数据清单评审通过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阶段1：基础平台</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第2～4周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完成 W3 Unipoortal SSO、API Gateway、组织/用户属性、统一权限中心和基础会话</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员工可登录；身份、属性和权限可追踪</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阶段2：数据与语义资产</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第2～6周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治理 ODS/DWD/DWS/ADS 与分析库，完成核心指标、维度和 Golden Query</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20～30 个指标、50～100 个标准问题可测试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阶段3：核心问数链路</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第4～9周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完成业务域路由、语义检索、本地 Qwen、QueryPlan/Text-to-SQL、SQL 安全改写与 Query Proxy</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端到端自然语言问数成功</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阶段4：前端与运营闭环</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第7～11周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图表、历史会话、反馈、审计、管理后台</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可进行试点运营和问题追踪</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阶段5：测试与试点</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第10～14周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Benchmark、安全、性能、UAT、灰度试点</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关键指标达到验收阈值</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阶段6：上线与推广</w:t>
            </w:r>
          </w:p>
        </w:tc>
        <w:tc>
          <w:tcPr>
            <w:tcW w:type="dxa" w:w="124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第15～16周</w:t>
            </w:r>
          </w:p>
        </w:tc>
        <w:tc>
          <w:tcPr>
            <w:tcW w:type="dxa" w:w="340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生产发布、监控、值守、复盘、下一业务域规划</w:t>
            </w:r>
          </w:p>
        </w:tc>
        <w:tc>
          <w:tcPr>
            <w:tcW w:type="dxa" w:w="272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稳定运行并形成运营机制</w:t>
            </w:r>
          </w:p>
        </w:tc>
      </w:tr>
    </w:tbl>
    <w:p>
      <w:pPr>
        <w:spacing w:after="40"/>
      </w:pPr>
    </w:p>
    <w:p>
      <w:pPr>
        <w:pStyle w:val="Heading2"/>
        <w:keepNext/>
      </w:pPr>
      <w:r>
        <w:t>3.2 关键并行工作流</w:t>
      </w:r>
    </w:p>
    <w:p>
      <w:pPr>
        <w:pStyle w:val="ListBullet"/>
        <w:spacing w:after="40" w:line="276" w:lineRule="auto"/>
      </w:pPr>
      <w:r>
        <w:rPr>
          <w:rFonts w:ascii="Noto Sans CJK SC" w:hAnsi="Noto Sans CJK SC" w:eastAsia="Noto Sans CJK SC"/>
          <w:b w:val="0"/>
          <w:i w:val="0"/>
        </w:rPr>
        <w:t>身份与接入流：W3 Unipoortal 对接、API Gateway、员工组织同步、统一权限、会话安全。</w:t>
      </w:r>
    </w:p>
    <w:p>
      <w:pPr>
        <w:pStyle w:val="ListBullet"/>
        <w:spacing w:after="40" w:line="276" w:lineRule="auto"/>
      </w:pPr>
      <w:r>
        <w:rPr>
          <w:rFonts w:ascii="Noto Sans CJK SC" w:hAnsi="Noto Sans CJK SC" w:eastAsia="Noto Sans CJK SC"/>
          <w:b w:val="0"/>
          <w:i w:val="0"/>
        </w:rPr>
        <w:t>数据与语义流：数据资产盘点、ODS/DWD/DWS/ADS 治理、指标口径、Join 关系、Golden Query。</w:t>
      </w:r>
    </w:p>
    <w:p>
      <w:pPr>
        <w:pStyle w:val="ListBullet"/>
        <w:spacing w:after="40" w:line="276" w:lineRule="auto"/>
      </w:pPr>
      <w:r>
        <w:rPr>
          <w:rFonts w:ascii="Noto Sans CJK SC" w:hAnsi="Noto Sans CJK SC" w:eastAsia="Noto Sans CJK SC"/>
          <w:b w:val="0"/>
          <w:i w:val="0"/>
        </w:rPr>
        <w:t>AI 与查询流：业务域路由、语义检索、本地 Qwen、QueryPlan/Text-to-SQL、SQL 安全改写、Query Proxy。</w:t>
      </w:r>
    </w:p>
    <w:p>
      <w:pPr>
        <w:pStyle w:val="ListBullet"/>
        <w:spacing w:after="40" w:line="276" w:lineRule="auto"/>
      </w:pPr>
      <w:r>
        <w:rPr>
          <w:rFonts w:ascii="Noto Sans CJK SC" w:hAnsi="Noto Sans CJK SC" w:eastAsia="Noto Sans CJK SC"/>
          <w:b w:val="0"/>
          <w:i w:val="0"/>
        </w:rPr>
        <w:t>前端与运营流：问数交互、图表、历史记录、导出控制、反馈、Benchmark、审计监控。</w:t>
      </w:r>
    </w:p>
    <w:p>
      <w:pPr>
        <w:pStyle w:val="Heading1"/>
        <w:keepNext/>
      </w:pPr>
      <w:r>
        <w:t>4. 各架构模块落地方案</w:t>
      </w:r>
    </w:p>
    <w:p>
      <w:pPr>
        <w:pStyle w:val="Heading2"/>
        <w:keepNext/>
      </w:pPr>
      <w:r>
        <w:t>4.1 用户访问与内网安全接入</w:t>
      </w:r>
    </w:p>
    <w:p>
      <w:pPr>
        <w:pStyle w:val="ListBullet"/>
        <w:spacing w:after="40" w:line="276" w:lineRule="auto"/>
      </w:pPr>
      <w:r>
        <w:rPr>
          <w:rFonts w:ascii="Noto Sans CJK SC" w:hAnsi="Noto Sans CJK SC" w:eastAsia="Noto Sans CJK SC"/>
          <w:b w:val="0"/>
          <w:i w:val="0"/>
        </w:rPr>
        <w:t>使用内网 DNS 或内部 GSLB 发布域名；外网不可直接访问。</w:t>
      </w:r>
    </w:p>
    <w:p>
      <w:pPr>
        <w:pStyle w:val="ListBullet"/>
        <w:spacing w:after="40" w:line="276" w:lineRule="auto"/>
      </w:pPr>
      <w:r>
        <w:rPr>
          <w:rFonts w:ascii="Noto Sans CJK SC" w:hAnsi="Noto Sans CJK SC" w:eastAsia="Noto Sans CJK SC"/>
          <w:b w:val="0"/>
          <w:i w:val="0"/>
        </w:rPr>
        <w:t>入口依次经过内网负载均衡/WAF 与 API Gateway，实施访问控制、限流、设备策略和攻击防护。</w:t>
      </w:r>
    </w:p>
    <w:p>
      <w:pPr>
        <w:pStyle w:val="ListBullet"/>
        <w:spacing w:after="40" w:line="276" w:lineRule="auto"/>
      </w:pPr>
      <w:r>
        <w:rPr>
          <w:rFonts w:ascii="Noto Sans CJK SC" w:hAnsi="Noto Sans CJK SC" w:eastAsia="Noto Sans CJK SC"/>
          <w:b w:val="0"/>
          <w:i w:val="0"/>
        </w:rPr>
        <w:t>API Gateway 统一完成接口路由、Token 校验、请求 ID 注入和入口审计。</w:t>
      </w:r>
    </w:p>
    <w:p>
      <w:pPr>
        <w:pStyle w:val="ListBullet"/>
        <w:spacing w:after="40" w:line="276" w:lineRule="auto"/>
      </w:pPr>
      <w:r>
        <w:rPr>
          <w:rFonts w:ascii="Noto Sans CJK SC" w:hAnsi="Noto Sans CJK SC" w:eastAsia="Noto Sans CJK SC"/>
          <w:b w:val="0"/>
          <w:i w:val="0"/>
        </w:rPr>
        <w:t>生产环境仅开放 HTTPS；内部服务建议使用 mTLS 或平台服务身份。</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内部域名、证书、网络区划、WAF/API Gateway 规范、零信任策略</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输出</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可访问域名、路由规则、ACL 白名单、限流策略、接入审计</w:t>
            </w:r>
          </w:p>
        </w:tc>
      </w:tr>
    </w:tbl>
    <w:p>
      <w:pPr>
        <w:spacing w:after="40"/>
      </w:pPr>
    </w:p>
    <w:p>
      <w:pPr>
        <w:pStyle w:val="Heading2"/>
        <w:keepNext/>
      </w:pPr>
      <w:r>
        <w:t>4.2 智能问数 Web 前端与会话管理</w:t>
      </w:r>
    </w:p>
    <w:p>
      <w:pPr>
        <w:pStyle w:val="ListBullet"/>
        <w:spacing w:after="40" w:line="276" w:lineRule="auto"/>
      </w:pPr>
      <w:r>
        <w:rPr>
          <w:rFonts w:ascii="Noto Sans CJK SC" w:hAnsi="Noto Sans CJK SC" w:eastAsia="Noto Sans CJK SC"/>
          <w:b w:val="0"/>
          <w:i w:val="0"/>
        </w:rPr>
        <w:t>前端提供问题输入、推荐问题、历史会话、查询进度、表格图表、指标口径、数据来源和反馈入口。</w:t>
      </w:r>
    </w:p>
    <w:p>
      <w:pPr>
        <w:pStyle w:val="ListBullet"/>
        <w:spacing w:after="40" w:line="276" w:lineRule="auto"/>
      </w:pPr>
      <w:r>
        <w:rPr>
          <w:rFonts w:ascii="Noto Sans CJK SC" w:hAnsi="Noto Sans CJK SC" w:eastAsia="Noto Sans CJK SC"/>
          <w:b w:val="0"/>
          <w:i w:val="0"/>
        </w:rPr>
        <w:t>会话管理服务负责安全会话 Cookie、上下文与历史记录、CSRF、防重放、SSE 流式返回、查询状态和前端友好错误码。</w:t>
      </w:r>
    </w:p>
    <w:p>
      <w:pPr>
        <w:pStyle w:val="ListBullet"/>
        <w:spacing w:after="40" w:line="276" w:lineRule="auto"/>
      </w:pPr>
      <w:r>
        <w:rPr>
          <w:rFonts w:ascii="Noto Sans CJK SC" w:hAnsi="Noto Sans CJK SC" w:eastAsia="Noto Sans CJK SC"/>
          <w:b w:val="0"/>
          <w:i w:val="0"/>
        </w:rPr>
        <w:t>前端不得持久化 W3 Access Token；服务端建立短时安全会话。</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Vue 3/React + TypeScript + ECharts；会话服务可采用 Spring Boot 或 FastAPI</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关键接口</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/auth/login、/auth/callback、/api/v1/session、/api/v1/query/stream、/api/v1/conversations</w:t>
            </w:r>
          </w:p>
        </w:tc>
      </w:tr>
    </w:tbl>
    <w:p>
      <w:pPr>
        <w:spacing w:after="40"/>
      </w:pPr>
    </w:p>
    <w:p>
      <w:pPr>
        <w:pStyle w:val="Heading2"/>
        <w:keepNext/>
      </w:pPr>
      <w:r>
        <w:t>4.3 W3 Unipoortal SSO 与 API Gateway</w:t>
      </w:r>
    </w:p>
    <w:p>
      <w:pPr>
        <w:pStyle w:val="ListBullet"/>
        <w:spacing w:after="40" w:line="276" w:lineRule="auto"/>
      </w:pPr>
      <w:r>
        <w:rPr>
          <w:rFonts w:ascii="Noto Sans CJK SC" w:hAnsi="Noto Sans CJK SC" w:eastAsia="Noto Sans CJK SC"/>
          <w:b w:val="0"/>
          <w:i w:val="0"/>
        </w:rPr>
        <w:t>API Gateway 统一完成路由、限流和 Token 校验，并将 W3 登录跳转、回调校验、Token/Assertion 验证、刷新和单点登出交给认证适配器处理。</w:t>
      </w:r>
    </w:p>
    <w:p>
      <w:pPr>
        <w:pStyle w:val="ListBullet"/>
        <w:spacing w:after="40" w:line="276" w:lineRule="auto"/>
      </w:pPr>
      <w:r>
        <w:rPr>
          <w:rFonts w:ascii="Noto Sans CJK SC" w:hAnsi="Noto Sans CJK SC" w:eastAsia="Noto Sans CJK SC"/>
          <w:b w:val="0"/>
          <w:i w:val="0"/>
        </w:rPr>
        <w:t>W3 Unipoortal 的协议可能为 OIDC、SAML、OAuth、CAS 或内部协议，具体以内部 IAM/W3 文档为准。</w:t>
      </w:r>
    </w:p>
    <w:p>
      <w:pPr>
        <w:pStyle w:val="ListBullet"/>
        <w:spacing w:after="40" w:line="276" w:lineRule="auto"/>
      </w:pPr>
      <w:r>
        <w:rPr>
          <w:rFonts w:ascii="Noto Sans CJK SC" w:hAnsi="Noto Sans CJK SC" w:eastAsia="Noto Sans CJK SC"/>
          <w:b w:val="0"/>
          <w:i w:val="0"/>
        </w:rPr>
        <w:t>认证适配器将 W3 Claim 归一化为稳定内部身份模型，避免应用代码依赖外部字段名称。</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待确认</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Issuer、授权/Token 地址、JWK/证书、回调地址、Claim 字段、登出机制、Gateway 校验方式</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安全要求</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state、nonce、PKCE、回调白名单、Token 仅服务端保存、网关与服务身份校验</w:t>
            </w:r>
          </w:p>
        </w:tc>
      </w:tr>
    </w:tbl>
    <w:p>
      <w:pPr>
        <w:spacing w:after="40"/>
      </w:pPr>
    </w:p>
    <w:p>
      <w:pPr>
        <w:pStyle w:val="Heading2"/>
        <w:keepNext/>
      </w:pPr>
      <w:r>
        <w:t>4.4 组织与用户属性服务</w:t>
      </w:r>
    </w:p>
    <w:p>
      <w:pPr>
        <w:pStyle w:val="ListBullet"/>
        <w:spacing w:after="40" w:line="276" w:lineRule="auto"/>
      </w:pPr>
      <w:r>
        <w:rPr>
          <w:rFonts w:ascii="Noto Sans CJK SC" w:hAnsi="Noto Sans CJK SC" w:eastAsia="Noto Sans CJK SC"/>
          <w:b w:val="0"/>
          <w:i w:val="0"/>
        </w:rPr>
        <w:t>以不可变员工唯一 ID 为主键，归一化姓名、账号、员工类型、部门、BG/BU、区域、岗位和账号状态。</w:t>
      </w:r>
    </w:p>
    <w:p>
      <w:pPr>
        <w:pStyle w:val="ListBullet"/>
        <w:spacing w:after="40" w:line="276" w:lineRule="auto"/>
      </w:pPr>
      <w:r>
        <w:rPr>
          <w:rFonts w:ascii="Noto Sans CJK SC" w:hAnsi="Noto Sans CJK SC" w:eastAsia="Noto Sans CJK SC"/>
          <w:b w:val="0"/>
          <w:i w:val="0"/>
        </w:rPr>
        <w:t>登录时 JIT 创建或更新用户；后台通过事件、SCIM/LDAP、组织平台接口或定时任务同步组织与岗位变化。</w:t>
      </w:r>
    </w:p>
    <w:p>
      <w:pPr>
        <w:pStyle w:val="ListBullet"/>
        <w:spacing w:after="40" w:line="276" w:lineRule="auto"/>
      </w:pPr>
      <w:r>
        <w:rPr>
          <w:rFonts w:ascii="Noto Sans CJK SC" w:hAnsi="Noto Sans CJK SC" w:eastAsia="Noto Sans CJK SC"/>
          <w:b w:val="0"/>
          <w:i w:val="0"/>
        </w:rPr>
        <w:t>离职、冻结或组织变更应立即影响会话和数据权限。</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核心表</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sys_user、identity_mapping、organization_snapshot、user_attribute</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缓存</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组织属性可短时缓存，但必须携带版本、更新时间和主动失效机制</w:t>
            </w:r>
          </w:p>
        </w:tc>
      </w:tr>
    </w:tbl>
    <w:p>
      <w:pPr>
        <w:spacing w:after="40"/>
      </w:pPr>
    </w:p>
    <w:p>
      <w:pPr>
        <w:pStyle w:val="Heading2"/>
        <w:keepNext/>
      </w:pPr>
      <w:r>
        <w:t>4.5 统一权限中心</w:t>
      </w:r>
    </w:p>
    <w:p>
      <w:pPr>
        <w:pStyle w:val="ListBullet"/>
        <w:spacing w:after="40" w:line="276" w:lineRule="auto"/>
      </w:pPr>
      <w:r>
        <w:rPr>
          <w:rFonts w:ascii="Noto Sans CJK SC" w:hAnsi="Noto Sans CJK SC" w:eastAsia="Noto Sans CJK SC"/>
          <w:b w:val="0"/>
          <w:i w:val="0"/>
        </w:rPr>
        <w:t>采用 RBAC + ABAC：RBAC 管理平台能力，ABAC 管理业务域、组织、项目、区域、表/行/列、指标敏感级别和操作范围。</w:t>
      </w:r>
    </w:p>
    <w:p>
      <w:pPr>
        <w:pStyle w:val="ListBullet"/>
        <w:spacing w:after="40" w:line="276" w:lineRule="auto"/>
      </w:pPr>
      <w:r>
        <w:rPr>
          <w:rFonts w:ascii="Noto Sans CJK SC" w:hAnsi="Noto Sans CJK SC" w:eastAsia="Noto Sans CJK SC"/>
          <w:b w:val="0"/>
          <w:i w:val="0"/>
        </w:rPr>
        <w:t>输出统一 SecurityContext，贯穿业务域路由、语义检索、模型调用、SQL、缓存、导出和审计。</w:t>
      </w:r>
    </w:p>
    <w:p>
      <w:pPr>
        <w:pStyle w:val="ListBullet"/>
        <w:spacing w:after="40" w:line="276" w:lineRule="auto"/>
      </w:pPr>
      <w:r>
        <w:rPr>
          <w:rFonts w:ascii="Noto Sans CJK SC" w:hAnsi="Noto Sans CJK SC" w:eastAsia="Noto Sans CJK SC"/>
          <w:b w:val="0"/>
          <w:i w:val="0"/>
        </w:rPr>
        <w:t>平台管理员不自动获得业务数据权限；运维权限与数据权限分离。</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核心能力</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authorize(action, resource, context)、resolveDataScope(user, domain)、resolveColumnMask(user, asset)</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策略产物</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角色、权限、业务域策略、表/行/列策略、指标权限、脱敏规则、导出规则</w:t>
            </w:r>
          </w:p>
        </w:tc>
      </w:tr>
    </w:tbl>
    <w:p>
      <w:pPr>
        <w:spacing w:after="40"/>
      </w:pPr>
    </w:p>
    <w:p>
      <w:pPr>
        <w:pStyle w:val="Heading2"/>
        <w:keepNext/>
      </w:pPr>
      <w:r>
        <w:t>4.6 AI 问数编排服务</w:t>
      </w:r>
    </w:p>
    <w:p>
      <w:pPr>
        <w:pStyle w:val="ListBullet"/>
        <w:spacing w:after="40" w:line="276" w:lineRule="auto"/>
      </w:pPr>
      <w:r>
        <w:rPr>
          <w:rFonts w:ascii="Noto Sans CJK SC" w:hAnsi="Noto Sans CJK SC" w:eastAsia="Noto Sans CJK SC"/>
          <w:b w:val="0"/>
          <w:i w:val="0"/>
        </w:rPr>
        <w:t>采用显式状态机而不是自由多 Agent 群聊。节点包括会话加载、问题改写、业务域识别、权限校验、语义检索、本地 Qwen 调用、工具执行、结果融合和失败降级。</w:t>
      </w:r>
    </w:p>
    <w:p>
      <w:pPr>
        <w:pStyle w:val="ListBullet"/>
        <w:spacing w:after="40" w:line="276" w:lineRule="auto"/>
      </w:pPr>
      <w:r>
        <w:rPr>
          <w:rFonts w:ascii="Noto Sans CJK SC" w:hAnsi="Noto Sans CJK SC" w:eastAsia="Noto Sans CJK SC"/>
          <w:b w:val="0"/>
          <w:i w:val="0"/>
        </w:rPr>
        <w:t>每个节点有固定输入输出 JSON Schema、超时、重试次数和失败降级路径。</w:t>
      </w:r>
    </w:p>
    <w:p>
      <w:pPr>
        <w:pStyle w:val="ListBullet"/>
        <w:spacing w:after="40" w:line="276" w:lineRule="auto"/>
      </w:pPr>
      <w:r>
        <w:rPr>
          <w:rFonts w:ascii="Noto Sans CJK SC" w:hAnsi="Noto Sans CJK SC" w:eastAsia="Noto Sans CJK SC"/>
          <w:b w:val="0"/>
          <w:i w:val="0"/>
        </w:rPr>
        <w:t>Golden Query 或指标服务命中时跳过自由规划，直接进入受控查询；未命中时再调用本地 Qwen。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Python FastAPI + LangGraph 或自研状态机；与 Java 会话/权限服务通过内部 API 解耦</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存储</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Redis 保存短期会话与流程状态；PostgreSQL 持久化会话摘要、请求与链路记录</w:t>
            </w:r>
          </w:p>
        </w:tc>
      </w:tr>
    </w:tbl>
    <w:p>
      <w:pPr>
        <w:spacing w:after="40"/>
      </w:pPr>
    </w:p>
    <w:p>
      <w:pPr>
        <w:pStyle w:val="Heading2"/>
        <w:keepNext/>
      </w:pPr>
      <w:r>
        <w:t>4.7 业务域识别与路由</w:t>
      </w:r>
    </w:p>
    <w:p>
      <w:pPr>
        <w:pStyle w:val="ListBullet"/>
        <w:spacing w:after="40" w:line="276" w:lineRule="auto"/>
      </w:pPr>
      <w:r>
        <w:rPr>
          <w:rFonts w:ascii="Noto Sans CJK SC" w:hAnsi="Noto Sans CJK SC" w:eastAsia="Noto Sans CJK SC"/>
          <w:b w:val="0"/>
          <w:i w:val="0"/>
        </w:rPr>
        <w:t>根据问题语义、员工可访问域和当前会话识别销售、财务、供应链、研发等目标业务域。</w:t>
      </w:r>
    </w:p>
    <w:p>
      <w:pPr>
        <w:pStyle w:val="ListBullet"/>
        <w:spacing w:after="40" w:line="276" w:lineRule="auto"/>
      </w:pPr>
      <w:r>
        <w:rPr>
          <w:rFonts w:ascii="Noto Sans CJK SC" w:hAnsi="Noto Sans CJK SC" w:eastAsia="Noto Sans CJK SC"/>
          <w:b w:val="0"/>
          <w:i w:val="0"/>
        </w:rPr>
        <w:t>路由结果必须与 SecurityContext 交叉校验；对无权限业务域直接拒绝，并记录审计事件。</w:t>
      </w:r>
    </w:p>
    <w:p>
      <w:pPr>
        <w:pStyle w:val="ListBullet"/>
        <w:spacing w:after="40" w:line="276" w:lineRule="auto"/>
      </w:pPr>
      <w:r>
        <w:rPr>
          <w:rFonts w:ascii="Noto Sans CJK SC" w:hAnsi="Noto Sans CJK SC" w:eastAsia="Noto Sans CJK SC"/>
          <w:b w:val="0"/>
          <w:i w:val="0"/>
        </w:rPr>
        <w:t>跨域问题首期应拆分或进入澄清，不允许模型隐式选择跨域 Join 路径。</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接口</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routeDomain、validateDomainAccess、clarifyDomain</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维护方式</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路由规则 + 标注样例集 + Benchmark + 版本号 + 回滚</w:t>
            </w:r>
          </w:p>
        </w:tc>
      </w:tr>
    </w:tbl>
    <w:p>
      <w:pPr>
        <w:spacing w:after="40"/>
      </w:pPr>
    </w:p>
    <w:p>
      <w:pPr>
        <w:pStyle w:val="Heading2"/>
        <w:keepNext/>
      </w:pPr>
      <w:r>
        <w:t>4.8 企业语义层与元数据检索</w:t>
      </w:r>
    </w:p>
    <w:p>
      <w:pPr>
        <w:pStyle w:val="ListBullet"/>
        <w:spacing w:after="40" w:line="276" w:lineRule="auto"/>
      </w:pPr>
      <w:r>
        <w:rPr>
          <w:rFonts w:ascii="Noto Sans CJK SC" w:hAnsi="Noto Sans CJK SC" w:eastAsia="Noto Sans CJK SC"/>
          <w:b w:val="0"/>
          <w:i w:val="0"/>
        </w:rPr>
        <w:t>统一管理指标、维度、实体、Join、时间口径、默认过滤、同义词、Golden Query、数据负责人和敏感级别。</w:t>
      </w:r>
    </w:p>
    <w:p>
      <w:pPr>
        <w:pStyle w:val="ListBullet"/>
        <w:spacing w:after="40" w:line="276" w:lineRule="auto"/>
      </w:pPr>
      <w:r>
        <w:rPr>
          <w:rFonts w:ascii="Noto Sans CJK SC" w:hAnsi="Noto Sans CJK SC" w:eastAsia="Noto Sans CJK SC"/>
          <w:b w:val="0"/>
          <w:i w:val="0"/>
        </w:rPr>
        <w:t>检索采用关键词 + 向量 + 业务域 + SecurityContext 权限过滤 + 可信等级的混合策略。</w:t>
      </w:r>
    </w:p>
    <w:p>
      <w:pPr>
        <w:pStyle w:val="ListBullet"/>
        <w:spacing w:after="40" w:line="276" w:lineRule="auto"/>
      </w:pPr>
      <w:r>
        <w:rPr>
          <w:rFonts w:ascii="Noto Sans CJK SC" w:hAnsi="Noto Sans CJK SC" w:eastAsia="Noto Sans CJK SC"/>
          <w:b w:val="0"/>
          <w:i w:val="0"/>
        </w:rPr>
        <w:t>仅检索元数据与业务知识，包括指标说明、数据字典、术语、字段枚举、历史验证问题和数据质量说明；不向量化全量业务明细。</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PostgreSQL + pgvector 或企业元数据平台；语义资产采用 Git/数据库版本化管理</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评测</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Recall@K、指标/维度命中率、Golden Query 命中率、权限过滤正确率</w:t>
            </w:r>
          </w:p>
        </w:tc>
      </w:tr>
    </w:tbl>
    <w:p>
      <w:pPr>
        <w:spacing w:after="40"/>
      </w:pPr>
    </w:p>
    <w:p>
      <w:pPr>
        <w:pStyle w:val="Heading2"/>
        <w:keepNext/>
      </w:pPr>
      <w:r>
        <w:t>4.9 本地 Qwen 模型服务与模型服务网关</w:t>
      </w:r>
    </w:p>
    <w:p>
      <w:pPr>
        <w:pStyle w:val="ListBullet"/>
        <w:spacing w:after="40" w:line="276" w:lineRule="auto"/>
      </w:pPr>
      <w:r>
        <w:rPr>
          <w:rFonts w:ascii="Noto Sans CJK SC" w:hAnsi="Noto Sans CJK SC" w:eastAsia="Noto Sans CJK SC"/>
          <w:b w:val="0"/>
          <w:i w:val="0"/>
        </w:rPr>
        <w:t>模型服务网关统一封装本地 Qwen 的模型路由、限流、超时、重试、Prompt 管理、Embedding/Rerank 和调用审计。</w:t>
      </w:r>
    </w:p>
    <w:p>
      <w:pPr>
        <w:pStyle w:val="ListBullet"/>
        <w:spacing w:after="40" w:line="276" w:lineRule="auto"/>
      </w:pPr>
      <w:r>
        <w:rPr>
          <w:rFonts w:ascii="Noto Sans CJK SC" w:hAnsi="Noto Sans CJK SC" w:eastAsia="Noto Sans CJK SC"/>
          <w:b w:val="0"/>
          <w:i w:val="0"/>
        </w:rPr>
        <w:t>本地 Qwen 负责意图理解、查询计划、Text-to-SQL 和结果解释；不得持有数据库账号，也不得直接连接任何数据源。</w:t>
      </w:r>
    </w:p>
    <w:p>
      <w:pPr>
        <w:pStyle w:val="ListBullet"/>
        <w:spacing w:after="40" w:line="276" w:lineRule="auto"/>
      </w:pPr>
      <w:r>
        <w:rPr>
          <w:rFonts w:ascii="Noto Sans CJK SC" w:hAnsi="Noto Sans CJK SC" w:eastAsia="Noto Sans CJK SC"/>
          <w:b w:val="0"/>
          <w:i w:val="0"/>
        </w:rPr>
        <w:t>模型、Prompt、Embedding 和 Rerank 必须固定版本并可回切；模型不可用时优先降级到 Golden Query、指标服务或已生成 QueryPlan。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部署方式</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本地化推理集群或内部推理平台；模型网关双副本，Qwen 按 GPU 利用率水平扩缩容</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关键控制</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结构化输出 Schema、Prompt 模板、敏感信息过滤、调用审计、Golden Query 短路</w:t>
            </w:r>
          </w:p>
        </w:tc>
      </w:tr>
    </w:tbl>
    <w:p>
      <w:pPr>
        <w:spacing w:after="40"/>
      </w:pPr>
    </w:p>
    <w:p>
      <w:pPr>
        <w:pStyle w:val="Heading2"/>
        <w:keepNext/>
      </w:pPr>
      <w:r>
        <w:t>4.10 查询计划与 Text-to-SQL</w:t>
      </w:r>
    </w:p>
    <w:p>
      <w:pPr>
        <w:pStyle w:val="ListBullet"/>
        <w:spacing w:after="40" w:line="276" w:lineRule="auto"/>
      </w:pPr>
      <w:r>
        <w:rPr>
          <w:rFonts w:ascii="Noto Sans CJK SC" w:hAnsi="Noto Sans CJK SC" w:eastAsia="Noto Sans CJK SC"/>
          <w:b w:val="0"/>
          <w:i w:val="0"/>
        </w:rPr>
        <w:t>本地 Qwen 优先输出结构化 QueryPlan；确需 Text-to-SQL 时只生成受限 SQL 草案，不直接执行。</w:t>
      </w:r>
    </w:p>
    <w:p>
      <w:pPr>
        <w:pStyle w:val="ListBullet"/>
        <w:spacing w:after="40" w:line="276" w:lineRule="auto"/>
      </w:pPr>
      <w:r>
        <w:rPr>
          <w:rFonts w:ascii="Noto Sans CJK SC" w:hAnsi="Noto Sans CJK SC" w:eastAsia="Noto Sans CJK SC"/>
          <w:b w:val="0"/>
          <w:i w:val="0"/>
        </w:rPr>
        <w:t>QueryPlan 至少包含业务域、指标、维度、时间范围、过滤、排序、限制、比较方式、分析类型、数据源和可视化建议。</w:t>
      </w:r>
    </w:p>
    <w:p>
      <w:pPr>
        <w:pStyle w:val="ListBullet"/>
        <w:spacing w:after="40" w:line="276" w:lineRule="auto"/>
      </w:pPr>
      <w:r>
        <w:rPr>
          <w:rFonts w:ascii="Noto Sans CJK SC" w:hAnsi="Noto Sans CJK SC" w:eastAsia="Noto Sans CJK SC"/>
          <w:b w:val="0"/>
          <w:i w:val="0"/>
        </w:rPr>
        <w:t>企业语义层对指标与维度兼容性、时间字段、Join 路径、数据源白名单和权限范围进行校验。</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标准化问题、SecurityContext、业务域、语义检索结果、会话状态</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输出</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已校验 QueryPlan 或 SQL 草案 + 语义/模型/Prompt 版本 + 可信等级</w:t>
            </w:r>
          </w:p>
        </w:tc>
      </w:tr>
    </w:tbl>
    <w:p>
      <w:pPr>
        <w:spacing w:after="40"/>
      </w:pPr>
    </w:p>
    <w:p>
      <w:pPr>
        <w:pStyle w:val="Heading2"/>
        <w:keepNext/>
      </w:pPr>
      <w:r>
        <w:t>4.11 SQL 安全校验与改写</w:t>
      </w:r>
    </w:p>
    <w:p>
      <w:pPr>
        <w:pStyle w:val="ListBullet"/>
        <w:spacing w:after="40" w:line="276" w:lineRule="auto"/>
      </w:pPr>
      <w:r>
        <w:rPr>
          <w:rFonts w:ascii="Noto Sans CJK SC" w:hAnsi="Noto Sans CJK SC" w:eastAsia="Noto Sans CJK SC"/>
          <w:b w:val="0"/>
          <w:i w:val="0"/>
        </w:rPr>
        <w:t>服务解析 SQL AST，根据 QueryPlan、语义模型和 SecurityContext 进行确定性改写，注入组织、项目、区域和行列权限过滤。</w:t>
      </w:r>
    </w:p>
    <w:p>
      <w:pPr>
        <w:pStyle w:val="ListBullet"/>
        <w:spacing w:after="40" w:line="276" w:lineRule="auto"/>
      </w:pPr>
      <w:r>
        <w:rPr>
          <w:rFonts w:ascii="Noto Sans CJK SC" w:hAnsi="Noto Sans CJK SC" w:eastAsia="Noto Sans CJK SC"/>
          <w:b w:val="0"/>
          <w:i w:val="0"/>
        </w:rPr>
        <w:t>强制执行只读、多语句、表白名单、敏感列、时间过滤、LIMIT、超时、扫描量和危险函数检查。</w:t>
      </w:r>
    </w:p>
    <w:p>
      <w:pPr>
        <w:pStyle w:val="ListBullet"/>
        <w:spacing w:after="40" w:line="276" w:lineRule="auto"/>
      </w:pPr>
      <w:r>
        <w:rPr>
          <w:rFonts w:ascii="Noto Sans CJK SC" w:hAnsi="Noto Sans CJK SC" w:eastAsia="Noto Sans CJK SC"/>
          <w:b w:val="0"/>
          <w:i w:val="0"/>
        </w:rPr>
        <w:t>校验通过的 SQL 才能交给 Query Proxy；拒绝、改写和执行前 SQL 哈希均需记录审计。</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建议技术</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SQLGlot 适合 Python 路线；Java 体系可评估 Apache Calcite</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强制策略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禁止写操作、跨域越权、绕过 Query Proxy、访问非白名单表和核心生产 OLTP 明细</w:t>
            </w:r>
          </w:p>
        </w:tc>
      </w:tr>
    </w:tbl>
    <w:p>
      <w:pPr>
        <w:spacing w:after="40"/>
      </w:pPr>
    </w:p>
    <w:p>
      <w:pPr>
        <w:pStyle w:val="Heading2"/>
        <w:keepNext/>
      </w:pPr>
      <w:r>
        <w:t>4.12 统一查询代理、SQL 查询引擎与数据源</w:t>
      </w:r>
    </w:p>
    <w:p>
      <w:pPr>
        <w:pStyle w:val="ListBullet"/>
        <w:spacing w:after="40" w:line="276" w:lineRule="auto"/>
      </w:pPr>
      <w:r>
        <w:rPr>
          <w:rFonts w:ascii="Noto Sans CJK SC" w:hAnsi="Noto Sans CJK SC" w:eastAsia="Noto Sans CJK SC"/>
          <w:b w:val="0"/>
          <w:i w:val="0"/>
        </w:rPr>
        <w:t>Query Proxy 作为唯一查询执行入口，负责身份透传、查询队列、超时、缓存、重试、限流、结果大小控制和执行审计。</w:t>
      </w:r>
    </w:p>
    <w:p>
      <w:pPr>
        <w:pStyle w:val="ListBullet"/>
        <w:spacing w:after="40" w:line="276" w:lineRule="auto"/>
      </w:pPr>
      <w:r>
        <w:rPr>
          <w:rFonts w:ascii="Noto Sans CJK SC" w:hAnsi="Noto Sans CJK SC" w:eastAsia="Noto Sans CJK SC"/>
          <w:b w:val="0"/>
          <w:i w:val="0"/>
        </w:rPr>
        <w:t>统一 SQL 查询引擎可采用 Trino 或企业数仓服务，统一访问 ODS、DWD、DWS、ADS、湖仓数据集和受控数据服务。</w:t>
      </w:r>
    </w:p>
    <w:p>
      <w:pPr>
        <w:pStyle w:val="ListBullet"/>
        <w:spacing w:after="40" w:line="276" w:lineRule="auto"/>
      </w:pPr>
      <w:r>
        <w:rPr>
          <w:rFonts w:ascii="Noto Sans CJK SC" w:hAnsi="Noto Sans CJK SC" w:eastAsia="Noto Sans CJK SC"/>
          <w:b w:val="0"/>
          <w:i w:val="0"/>
        </w:rPr>
        <w:t>Doris、ClickHouse、GaussDB 等分析型数据库，以及业务数据库/数据服务 API，均通过连接器或适配器白名单只读接入。</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数据接入</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ODS/DWD/DWS/ADS、Doris/ClickHouse/GaussDB、业务数据库与数据服务 API</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执行约束</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只读服务账号、数据源白名单、超时与行数限制、缓存按权限隔离、禁止直连核心 OLTP</w:t>
            </w:r>
          </w:p>
        </w:tc>
      </w:tr>
    </w:tbl>
    <w:p>
      <w:pPr>
        <w:spacing w:after="40"/>
      </w:pPr>
    </w:p>
    <w:p>
      <w:pPr>
        <w:pStyle w:val="Heading2"/>
        <w:keepNext/>
      </w:pPr>
      <w:r>
        <w:t>4.13 结果解释与可视化</w:t>
      </w:r>
    </w:p>
    <w:p>
      <w:pPr>
        <w:pStyle w:val="ListBullet"/>
        <w:spacing w:after="40" w:line="276" w:lineRule="auto"/>
      </w:pPr>
      <w:r>
        <w:rPr>
          <w:rFonts w:ascii="Noto Sans CJK SC" w:hAnsi="Noto Sans CJK SC" w:eastAsia="Noto Sans CJK SC"/>
          <w:b w:val="0"/>
          <w:i w:val="0"/>
        </w:rPr>
        <w:t>执行结果先经过空结果、异常值、粒度、总分一致性、基期完整性、除零和敏感字段检查。</w:t>
      </w:r>
    </w:p>
    <w:p>
      <w:pPr>
        <w:pStyle w:val="ListBullet"/>
        <w:spacing w:after="40" w:line="276" w:lineRule="auto"/>
      </w:pPr>
      <w:r>
        <w:rPr>
          <w:rFonts w:ascii="Noto Sans CJK SC" w:hAnsi="Noto Sans CJK SC" w:eastAsia="Noto Sans CJK SC"/>
          <w:b w:val="0"/>
          <w:i w:val="0"/>
        </w:rPr>
        <w:t>展示数字、表格、图表、同比环比、指标口径、数据来源、更新时间、查询条件和导出控制。</w:t>
      </w:r>
    </w:p>
    <w:p>
      <w:pPr>
        <w:pStyle w:val="ListBullet"/>
        <w:spacing w:after="40" w:line="276" w:lineRule="auto"/>
      </w:pPr>
      <w:r>
        <w:rPr>
          <w:rFonts w:ascii="Noto Sans CJK SC" w:hAnsi="Noto Sans CJK SC" w:eastAsia="Noto Sans CJK SC"/>
          <w:b w:val="0"/>
          <w:i w:val="0"/>
        </w:rPr>
        <w:t>自然语言总结只能由本地 Qwen 基于结构化查询结果生成，推测性表述必须明确标识。</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展示组件</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指标卡、折线图、柱状图、明细表、口径抽屉、数据来源、受控 SQL 查看</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降级</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模型总结失败时仍返回结构化数据和图表</w:t>
            </w:r>
          </w:p>
        </w:tc>
      </w:tr>
    </w:tbl>
    <w:p>
      <w:pPr>
        <w:spacing w:after="40"/>
      </w:pPr>
    </w:p>
    <w:p>
      <w:pPr>
        <w:pStyle w:val="Heading2"/>
        <w:keepNext/>
      </w:pPr>
      <w:r>
        <w:t>4.14 审计与监控</w:t>
      </w:r>
    </w:p>
    <w:p>
      <w:pPr>
        <w:pStyle w:val="ListBullet"/>
        <w:spacing w:after="40" w:line="276" w:lineRule="auto"/>
      </w:pPr>
      <w:r>
        <w:rPr>
          <w:rFonts w:ascii="Noto Sans CJK SC" w:hAnsi="Noto Sans CJK SC" w:eastAsia="Noto Sans CJK SC"/>
          <w:b w:val="0"/>
          <w:i w:val="0"/>
        </w:rPr>
        <w:t>记录问题、W3 员工 ID、SecurityContext 摘要、业务域、语义/模型/Prompt 版本、QueryPlan、SQL 哈希、查询引擎、访问表、耗时、结果状态和反馈。</w:t>
      </w:r>
    </w:p>
    <w:p>
      <w:pPr>
        <w:pStyle w:val="ListBullet"/>
        <w:spacing w:after="40" w:line="276" w:lineRule="auto"/>
      </w:pPr>
      <w:r>
        <w:rPr>
          <w:rFonts w:ascii="Noto Sans CJK SC" w:hAnsi="Noto Sans CJK SC" w:eastAsia="Noto Sans CJK SC"/>
          <w:b w:val="0"/>
          <w:i w:val="0"/>
        </w:rPr>
        <w:t>成功、失败、拒绝、改写和降级均需审计；敏感明细不写入普通日志，审计数据按分级策略留存。</w:t>
      </w:r>
    </w:p>
    <w:p>
      <w:pPr>
        <w:pStyle w:val="ListBullet"/>
        <w:spacing w:after="40" w:line="276" w:lineRule="auto"/>
      </w:pPr>
      <w:r>
        <w:rPr>
          <w:rFonts w:ascii="Noto Sans CJK SC" w:hAnsi="Noto Sans CJK SC" w:eastAsia="Noto Sans CJK SC"/>
          <w:b w:val="0"/>
          <w:i w:val="0"/>
        </w:rPr>
        <w:t>Benchmark 作为发布门禁，并对域路由、语义检索、Qwen 输出、SQL 安全、Query Proxy 和数据源错误进行分类归因。</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项目</w:t>
            </w:r>
          </w:p>
        </w:tc>
        <w:tc>
          <w:tcPr>
            <w:tcW w:type="dxa" w:w="714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核心看板</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登录成功率、Qwen 调用成功率、Query Proxy P95、SQL 成功率、越权拦截数、数据源健康度</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审计要求</w:t>
            </w:r>
          </w:p>
        </w:tc>
        <w:tc>
          <w:tcPr>
            <w:tcW w:type="dxa" w:w="714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查询全量可追踪；敏感明细不写普通日志；审计链路与告警 100% 覆盖</w:t>
            </w:r>
          </w:p>
        </w:tc>
      </w:tr>
    </w:tbl>
    <w:p>
      <w:pPr>
        <w:spacing w:after="40"/>
      </w:pPr>
    </w:p>
    <w:p>
      <w:pPr>
        <w:pStyle w:val="Heading1"/>
        <w:keepNext/>
      </w:pPr>
      <w:r>
        <w:t>5. 数据与语义资产建设</w:t>
      </w:r>
    </w:p>
    <w:p>
      <w:pPr>
        <w:pStyle w:val="Heading2"/>
        <w:keepNext/>
      </w:pPr>
      <w:r>
        <w:t>5.1 试点业务域选择标准</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92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维度</w:t>
            </w:r>
          </w:p>
        </w:tc>
        <w:tc>
          <w:tcPr>
            <w:tcW w:type="dxa" w:w="703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选择标准</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业务价值</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问题频率高、人工取数成本高、对业务决策有明确帮助</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数据成熟度</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已有 ADS/宽表或稳定指标服务，字段和更新周期明确</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权限复杂度</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首期能够定义清晰的组织/项目/区域数据范围</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问题可验证性</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能够提供历史正确 SQL、报表或标准结果</w:t>
            </w:r>
          </w:p>
        </w:tc>
      </w:tr>
      <w:tr>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负责人</w:t>
            </w:r>
          </w:p>
        </w:tc>
        <w:tc>
          <w:tcPr>
            <w:tcW w:type="dxa" w:w="703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业务、数据和安全负责人能够参与评审与验收</w:t>
            </w:r>
          </w:p>
        </w:tc>
      </w:tr>
    </w:tbl>
    <w:p>
      <w:pPr>
        <w:spacing w:after="40"/>
      </w:pPr>
    </w:p>
    <w:p>
      <w:pPr>
        <w:pStyle w:val="Heading2"/>
        <w:keepNext/>
      </w:pPr>
      <w:r>
        <w:t>5.2 资产建设清单</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资产类型</w:t>
            </w:r>
          </w:p>
        </w:tc>
        <w:tc>
          <w:tcPr>
            <w:tcW w:type="dxa" w:w="158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首期建议数量</w:t>
            </w:r>
          </w:p>
        </w:tc>
        <w:tc>
          <w:tcPr>
            <w:tcW w:type="dxa" w:w="566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必填信息</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核心指标</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20～30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名称、公式、描述、时间字段、允许维度、负责人、敏感级别</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维度</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30～60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名称、层级、同义词、枚举值、数据范围属性</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数据视图/宽表</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5～15</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ODS/DWD/DWS/ADS 层级、主键、时间字段、更新频率、字段注释、质量规则</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50～100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问题模式、参数、SQL/指标服务、适用角色、验证结果、版本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业务术语</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50～150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术语、同义词、定义、业务域、负责人</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Benchmark</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100～300</w:t>
            </w:r>
          </w:p>
        </w:tc>
        <w:tc>
          <w:tcPr>
            <w:tcW w:type="dxa" w:w="56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问题、期望计划、期望结果、角色、禁止资产</w:t>
            </w:r>
          </w:p>
        </w:tc>
      </w:tr>
    </w:tbl>
    <w:p>
      <w:pPr>
        <w:spacing w:after="40"/>
      </w:pPr>
    </w:p>
    <w:p>
      <w:pPr>
        <w:pStyle w:val="Heading2"/>
        <w:keepNext/>
      </w:pPr>
      <w:r>
        <w:t>5.3 语义资产发布流程</w:t>
      </w:r>
    </w:p>
    <w:p>
      <w:pPr>
        <w:spacing w:after="0" w:before="0"/>
        <w:ind w:left="397" w:hanging="283"/>
      </w:pPr>
      <w:r>
        <w:rPr>
          <w:rFonts w:ascii="Noto Sans CJK SC" w:hAnsi="Noto Sans CJK SC" w:eastAsia="Noto Sans CJK SC"/>
          <w:b w:val="0"/>
          <w:i w:val="0"/>
        </w:rPr>
        <w:t>1. 提出变更申请并说明业务原因。</w:t>
      </w:r>
    </w:p>
    <w:p>
      <w:pPr>
        <w:spacing w:after="0" w:before="0"/>
        <w:ind w:left="397" w:hanging="283"/>
      </w:pPr>
      <w:r>
        <w:rPr>
          <w:rFonts w:ascii="Noto Sans CJK SC" w:hAnsi="Noto Sans CJK SC" w:eastAsia="Noto Sans CJK SC"/>
          <w:b w:val="0"/>
          <w:i w:val="0"/>
        </w:rPr>
        <w:t>2. 数据负责人确认指标公式、维度和数据来源。</w:t>
      </w:r>
    </w:p>
    <w:p>
      <w:pPr>
        <w:spacing w:after="0" w:before="0"/>
        <w:ind w:left="397" w:hanging="283"/>
      </w:pPr>
      <w:r>
        <w:rPr>
          <w:rFonts w:ascii="Noto Sans CJK SC" w:hAnsi="Noto Sans CJK SC" w:eastAsia="Noto Sans CJK SC"/>
          <w:b w:val="0"/>
          <w:i w:val="0"/>
        </w:rPr>
        <w:t>3. 安全负责人确认敏感级别、行列权限和导出规则。</w:t>
      </w:r>
    </w:p>
    <w:p>
      <w:pPr>
        <w:spacing w:after="0" w:before="0"/>
        <w:ind w:left="397" w:hanging="283"/>
      </w:pPr>
      <w:r>
        <w:rPr>
          <w:rFonts w:ascii="Noto Sans CJK SC" w:hAnsi="Noto Sans CJK SC" w:eastAsia="Noto Sans CJK SC"/>
          <w:b w:val="0"/>
          <w:i w:val="0"/>
        </w:rPr>
        <w:t>4. 自动执行语义校验、SQL编译测试和 Benchmark 回归。</w:t>
      </w:r>
    </w:p>
    <w:p>
      <w:pPr>
        <w:spacing w:after="0" w:before="0"/>
        <w:ind w:left="397" w:hanging="283"/>
      </w:pPr>
      <w:r>
        <w:rPr>
          <w:rFonts w:ascii="Noto Sans CJK SC" w:hAnsi="Noto Sans CJK SC" w:eastAsia="Noto Sans CJK SC"/>
          <w:b w:val="0"/>
          <w:i w:val="0"/>
        </w:rPr>
        <w:t>5. 评审通过后发布新语义版本，并保留一键回滚能力。</w:t>
      </w:r>
    </w:p>
    <w:p>
      <w:pPr>
        <w:spacing w:after="0" w:before="0"/>
        <w:ind w:left="397" w:hanging="283"/>
      </w:pPr>
      <w:r>
        <w:rPr>
          <w:rFonts w:ascii="Noto Sans CJK SC" w:hAnsi="Noto Sans CJK SC" w:eastAsia="Noto Sans CJK SC"/>
          <w:b w:val="0"/>
          <w:i w:val="0"/>
        </w:rPr>
        <w:t>6. 上线后监控命中率、错误率和用户反馈。</w:t>
      </w:r>
    </w:p>
    <w:p>
      <w:pPr>
        <w:pStyle w:val="Heading2"/>
        <w:keepNext/>
      </w:pPr>
      <w:r>
        <w:t>5.4 数据质量门禁</w:t>
      </w:r>
    </w:p>
    <w:p>
      <w:pPr>
        <w:pStyle w:val="ListBullet"/>
        <w:spacing w:after="40" w:line="276" w:lineRule="auto"/>
      </w:pPr>
      <w:r>
        <w:rPr>
          <w:rFonts w:ascii="Noto Sans CJK SC" w:hAnsi="Noto Sans CJK SC" w:eastAsia="Noto Sans CJK SC"/>
          <w:b w:val="0"/>
          <w:i w:val="0"/>
        </w:rPr>
        <w:t>数据更新时间满足业务 SLA；</w:t>
      </w:r>
    </w:p>
    <w:p>
      <w:pPr>
        <w:pStyle w:val="ListBullet"/>
        <w:spacing w:after="40" w:line="276" w:lineRule="auto"/>
      </w:pPr>
      <w:r>
        <w:rPr>
          <w:rFonts w:ascii="Noto Sans CJK SC" w:hAnsi="Noto Sans CJK SC" w:eastAsia="Noto Sans CJK SC"/>
          <w:b w:val="0"/>
          <w:i w:val="0"/>
        </w:rPr>
        <w:t>关键字段空值率、重复率和枚举值异常在阈值内；</w:t>
      </w:r>
    </w:p>
    <w:p>
      <w:pPr>
        <w:pStyle w:val="ListBullet"/>
        <w:spacing w:after="40" w:line="276" w:lineRule="auto"/>
      </w:pPr>
      <w:r>
        <w:rPr>
          <w:rFonts w:ascii="Noto Sans CJK SC" w:hAnsi="Noto Sans CJK SC" w:eastAsia="Noto Sans CJK SC"/>
          <w:b w:val="0"/>
          <w:i w:val="0"/>
        </w:rPr>
        <w:t>指标总量与现有权威报表完成对账；</w:t>
      </w:r>
    </w:p>
    <w:p>
      <w:pPr>
        <w:pStyle w:val="ListBullet"/>
        <w:spacing w:after="40" w:line="276" w:lineRule="auto"/>
      </w:pPr>
      <w:r>
        <w:rPr>
          <w:rFonts w:ascii="Noto Sans CJK SC" w:hAnsi="Noto Sans CJK SC" w:eastAsia="Noto Sans CJK SC"/>
          <w:b w:val="0"/>
          <w:i w:val="0"/>
        </w:rPr>
        <w:t>分组求和与总量一致；</w:t>
      </w:r>
    </w:p>
    <w:p>
      <w:pPr>
        <w:pStyle w:val="ListBullet"/>
        <w:spacing w:after="40" w:line="276" w:lineRule="auto"/>
      </w:pPr>
      <w:r>
        <w:rPr>
          <w:rFonts w:ascii="Noto Sans CJK SC" w:hAnsi="Noto Sans CJK SC" w:eastAsia="Noto Sans CJK SC"/>
          <w:b w:val="0"/>
          <w:i w:val="0"/>
        </w:rPr>
        <w:t>历史回溯数据可支撑同比、环比和趋势分析；</w:t>
      </w:r>
    </w:p>
    <w:p>
      <w:pPr>
        <w:pStyle w:val="ListBullet"/>
        <w:spacing w:after="40" w:line="276" w:lineRule="auto"/>
      </w:pPr>
      <w:r>
        <w:rPr>
          <w:rFonts w:ascii="Noto Sans CJK SC" w:hAnsi="Noto Sans CJK SC" w:eastAsia="Noto Sans CJK SC"/>
          <w:b w:val="0"/>
          <w:i w:val="0"/>
        </w:rPr>
        <w:t>质量异常时问数系统应提示“数据延迟/质量异常”，而非继续生成结论。</w:t>
      </w:r>
    </w:p>
    <w:p>
      <w:pPr>
        <w:pStyle w:val="Heading1"/>
        <w:keepNext/>
      </w:pPr>
      <w:r>
        <w:t>6. W3 身份与数据权限实施</w:t>
      </w:r>
    </w:p>
    <w:p>
      <w:pPr>
        <w:pStyle w:val="Heading2"/>
        <w:keepNext/>
      </w:pPr>
      <w:r>
        <w:t>6.1 W3 Unipoortal 对接待确认清单</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36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类别</w:t>
            </w:r>
          </w:p>
        </w:tc>
        <w:tc>
          <w:tcPr>
            <w:tcW w:type="dxa" w:w="5556"/>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待确认项</w:t>
            </w:r>
          </w:p>
        </w:tc>
        <w:tc>
          <w:tcPr>
            <w:tcW w:type="dxa" w:w="204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责任方</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协议</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 Unipoortal 支持的 OIDC / SAML / OAuth / CAS / 内部协议及推荐 Flow</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团队</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端点</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登录、Token、用户信息、JWK/证书、登出地址</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团队</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Claim</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不可变员工 ID、账号、姓名、员工类型、组织 ID、BG/BU、区域、岗位、状态</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 HR/组织平台</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Token寿命、刷新、签名算法、回调白名单、双因子要求</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安全团队</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生命周期</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入转调离事件、冻结、组织变化、同步方式</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IAM/组织平台</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环境</w:t>
            </w:r>
          </w:p>
        </w:tc>
        <w:tc>
          <w:tcPr>
            <w:tcW w:type="dxa" w:w="5556"/>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开发、测试、预生产、生产 Client 与回调地址</w:t>
            </w:r>
          </w:p>
        </w:tc>
        <w:tc>
          <w:tcPr>
            <w:tcW w:type="dxa" w:w="204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平台运维</w:t>
            </w:r>
          </w:p>
        </w:tc>
      </w:tr>
    </w:tbl>
    <w:p>
      <w:pPr>
        <w:spacing w:after="40"/>
      </w:pPr>
    </w:p>
    <w:p>
      <w:pPr>
        <w:pStyle w:val="Heading2"/>
        <w:keepNext/>
      </w:pPr>
      <w:r>
        <w:t>6.2 SecurityContext 生成流程</w:t>
      </w:r>
    </w:p>
    <w:p>
      <w:pPr>
        <w:spacing w:after="0" w:before="0"/>
        <w:ind w:left="397" w:hanging="283"/>
      </w:pPr>
      <w:r>
        <w:rPr>
          <w:rFonts w:ascii="Noto Sans CJK SC" w:hAnsi="Noto Sans CJK SC" w:eastAsia="Noto Sans CJK SC"/>
          <w:b w:val="0"/>
          <w:i w:val="0"/>
        </w:rPr>
        <w:t>1. W3 Unipoortal SSO 适配器验证身份并获得稳定员工 ID。</w:t>
      </w:r>
    </w:p>
    <w:p>
      <w:pPr>
        <w:spacing w:after="0" w:before="0"/>
        <w:ind w:left="397" w:hanging="283"/>
      </w:pPr>
      <w:r>
        <w:rPr>
          <w:rFonts w:ascii="Noto Sans CJK SC" w:hAnsi="Noto Sans CJK SC" w:eastAsia="Noto Sans CJK SC"/>
          <w:b w:val="0"/>
          <w:i w:val="0"/>
        </w:rPr>
        <w:t>2. 组织与用户属性服务获取员工类型、部门、BG/BU、区域、岗位和账号状态。</w:t>
      </w:r>
    </w:p>
    <w:p>
      <w:pPr>
        <w:spacing w:after="0" w:before="0"/>
        <w:ind w:left="397" w:hanging="283"/>
      </w:pPr>
      <w:r>
        <w:rPr>
          <w:rFonts w:ascii="Noto Sans CJK SC" w:hAnsi="Noto Sans CJK SC" w:eastAsia="Noto Sans CJK SC"/>
          <w:b w:val="0"/>
          <w:i w:val="0"/>
        </w:rPr>
        <w:t>3. 统一权限中心根据角色和属性计算业务域、组织、项目、区域、表/行/列、指标和操作范围。</w:t>
      </w:r>
    </w:p>
    <w:p>
      <w:pPr>
        <w:spacing w:after="0" w:before="0"/>
        <w:ind w:left="397" w:hanging="283"/>
      </w:pPr>
      <w:r>
        <w:rPr>
          <w:rFonts w:ascii="Noto Sans CJK SC" w:hAnsi="Noto Sans CJK SC" w:eastAsia="Noto Sans CJK SC"/>
          <w:b w:val="0"/>
          <w:i w:val="0"/>
        </w:rPr>
        <w:t>4. 生成不可由前端修改的 SecurityContext，并在服务间使用签名或服务身份传递。</w:t>
      </w:r>
    </w:p>
    <w:p>
      <w:pPr>
        <w:spacing w:after="0" w:before="0"/>
        <w:ind w:left="397" w:hanging="283"/>
      </w:pPr>
      <w:r>
        <w:rPr>
          <w:rFonts w:ascii="Noto Sans CJK SC" w:hAnsi="Noto Sans CJK SC" w:eastAsia="Noto Sans CJK SC"/>
          <w:b w:val="0"/>
          <w:i w:val="0"/>
        </w:rPr>
        <w:t>5. SQL 安全校验与改写服务将数据范围转为确定性过滤条件；Query Proxy 与数据服务层再次校验。</w:t>
      </w:r>
    </w:p>
    <w:p>
      <w:pPr>
        <w:pStyle w:val="Heading2"/>
        <w:keepNext/>
      </w:pPr>
      <w:r>
        <w:t>6.3 权限测试矩阵</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测试类型</w:t>
            </w:r>
          </w:p>
        </w:tc>
        <w:tc>
          <w:tcPr>
            <w:tcW w:type="dxa" w:w="408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示例</w:t>
            </w:r>
          </w:p>
        </w:tc>
        <w:tc>
          <w:tcPr>
            <w:tcW w:type="dxa" w:w="317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期望结果</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正向授权</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区域经理查询被授权区域汇总数据</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正常返回</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横向越权</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区域经理查询其他区域</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在业务域路由、SQL 安全或 Query Proxy 阶段拒绝</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纵向越权</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普通员工访问主管级敏感指标</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拒绝并审计</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列级权限</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无权限用户查询手机号/薪酬列</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列隐藏或脱敏</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缓存隔离</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低权限用户重复高权限问题</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不能命中高权限结果缓存</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离职冻结</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账号冻结后已有会话继续请求</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会话失效并拒绝</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Prompt 注入</w:t>
            </w:r>
          </w:p>
        </w:tc>
        <w:tc>
          <w:tcPr>
            <w:tcW w:type="dxa" w:w="408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要求忽略权限并查询全量数据</w:t>
            </w:r>
          </w:p>
        </w:tc>
        <w:tc>
          <w:tcPr>
            <w:tcW w:type="dxa" w:w="317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SecurityContext 不可被 Prompt 修改，查询被拒绝并审计</w:t>
            </w:r>
          </w:p>
        </w:tc>
      </w:tr>
    </w:tbl>
    <w:p>
      <w:pPr>
        <w:spacing w:after="40"/>
      </w:pPr>
    </w:p>
    <w:p>
      <w:pPr>
        <w:pStyle w:val="Heading1"/>
        <w:keepNext/>
      </w:pPr>
      <w:r>
        <w:t>7. 智能问数核心链路与接口契约</w:t>
      </w:r>
    </w:p>
    <w:p>
      <w:pPr>
        <w:pStyle w:val="Heading2"/>
        <w:keepNext/>
      </w:pPr>
      <w:r>
        <w:t>7.1 端到端执行流程</w:t>
      </w:r>
    </w:p>
    <w:p>
      <w:pPr>
        <w:spacing w:after="0" w:before="0"/>
        <w:ind w:left="397" w:hanging="283"/>
      </w:pPr>
      <w:r>
        <w:rPr>
          <w:rFonts w:ascii="Noto Sans CJK SC" w:hAnsi="Noto Sans CJK SC" w:eastAsia="Noto Sans CJK SC"/>
          <w:b w:val="0"/>
          <w:i w:val="0"/>
        </w:rPr>
        <w:t>1. WAF/API Gateway 校验访问请求和安全会话，生成 request_id，并加载 W3 员工身份。</w:t>
      </w:r>
    </w:p>
    <w:p>
      <w:pPr>
        <w:spacing w:after="0" w:before="0"/>
        <w:ind w:left="397" w:hanging="283"/>
      </w:pPr>
      <w:r>
        <w:rPr>
          <w:rFonts w:ascii="Noto Sans CJK SC" w:hAnsi="Noto Sans CJK SC" w:eastAsia="Noto Sans CJK SC"/>
          <w:b w:val="0"/>
          <w:i w:val="0"/>
        </w:rPr>
        <w:t>2. 统一权限中心结合组织与用户属性生成 SecurityContext。</w:t>
      </w:r>
    </w:p>
    <w:p>
      <w:pPr>
        <w:spacing w:after="0" w:before="0"/>
        <w:ind w:left="397" w:hanging="283"/>
      </w:pPr>
      <w:r>
        <w:rPr>
          <w:rFonts w:ascii="Noto Sans CJK SC" w:hAnsi="Noto Sans CJK SC" w:eastAsia="Noto Sans CJK SC"/>
          <w:b w:val="0"/>
          <w:i w:val="0"/>
        </w:rPr>
        <w:t>3. AI 问数编排服务加载会话上下文并标准化用户问题。</w:t>
      </w:r>
    </w:p>
    <w:p>
      <w:pPr>
        <w:spacing w:after="0" w:before="0"/>
        <w:ind w:left="397" w:hanging="283"/>
      </w:pPr>
      <w:r>
        <w:rPr>
          <w:rFonts w:ascii="Noto Sans CJK SC" w:hAnsi="Noto Sans CJK SC" w:eastAsia="Noto Sans CJK SC"/>
          <w:b w:val="0"/>
          <w:i w:val="0"/>
        </w:rPr>
        <w:t>4. 业务域识别与路由服务确定目标业务域，并校验员工是否具备该域访问权限。</w:t>
      </w:r>
    </w:p>
    <w:p>
      <w:pPr>
        <w:spacing w:after="0" w:before="0"/>
        <w:ind w:left="397" w:hanging="283"/>
      </w:pPr>
      <w:r>
        <w:rPr>
          <w:rFonts w:ascii="Noto Sans CJK SC" w:hAnsi="Noto Sans CJK SC" w:eastAsia="Noto Sans CJK SC"/>
          <w:b w:val="0"/>
          <w:i w:val="0"/>
        </w:rPr>
        <w:t>5. 企业语义层检索指标、维度、Join、术语和 Golden Query，并按 SecurityContext 过滤。</w:t>
      </w:r>
    </w:p>
    <w:p>
      <w:pPr>
        <w:spacing w:after="0" w:before="0"/>
        <w:ind w:left="397" w:hanging="283"/>
      </w:pPr>
      <w:r>
        <w:rPr>
          <w:rFonts w:ascii="Noto Sans CJK SC" w:hAnsi="Noto Sans CJK SC" w:eastAsia="Noto Sans CJK SC"/>
          <w:b w:val="0"/>
          <w:i w:val="0"/>
        </w:rPr>
        <w:t>6. 命中 Golden Query 或指标服务时直接形成受控查询；未命中时经模型服务网关调用本地 Qwen。</w:t>
      </w:r>
    </w:p>
    <w:p>
      <w:pPr>
        <w:spacing w:after="0" w:before="0"/>
        <w:ind w:left="397" w:hanging="283"/>
      </w:pPr>
      <w:r>
        <w:rPr>
          <w:rFonts w:ascii="Noto Sans CJK SC" w:hAnsi="Noto Sans CJK SC" w:eastAsia="Noto Sans CJK SC"/>
          <w:b w:val="0"/>
          <w:i w:val="0"/>
        </w:rPr>
        <w:t>7. 本地 Qwen 生成结构化 QueryPlan 或受限 Text-to-SQL 草案。</w:t>
      </w:r>
    </w:p>
    <w:p>
      <w:pPr>
        <w:spacing w:after="0" w:before="0"/>
        <w:ind w:left="397" w:hanging="283"/>
      </w:pPr>
      <w:r>
        <w:rPr>
          <w:rFonts w:ascii="Noto Sans CJK SC" w:hAnsi="Noto Sans CJK SC" w:eastAsia="Noto Sans CJK SC"/>
          <w:b w:val="0"/>
          <w:i w:val="0"/>
        </w:rPr>
        <w:t>8. 企业语义层校验指标、维度、时间、Join、数据源和权限范围，并完成必要的语义编译。</w:t>
      </w:r>
    </w:p>
    <w:p>
      <w:pPr>
        <w:spacing w:after="0" w:before="0"/>
        <w:ind w:left="397" w:hanging="283"/>
      </w:pPr>
      <w:r>
        <w:rPr>
          <w:rFonts w:ascii="Noto Sans CJK SC" w:hAnsi="Noto Sans CJK SC" w:eastAsia="Noto Sans CJK SC"/>
          <w:b w:val="0"/>
          <w:i w:val="0"/>
        </w:rPr>
        <w:t>9. SQL 安全校验与改写服务完成 AST、只读、白名单、权限、LIMIT、超时和扫描量检查。</w:t>
      </w:r>
    </w:p>
    <w:p>
      <w:pPr>
        <w:spacing w:after="0" w:before="0"/>
        <w:ind w:left="397" w:hanging="283"/>
      </w:pPr>
      <w:r>
        <w:rPr>
          <w:rFonts w:ascii="Noto Sans CJK SC" w:hAnsi="Noto Sans CJK SC" w:eastAsia="Noto Sans CJK SC"/>
          <w:b w:val="0"/>
          <w:i w:val="0"/>
        </w:rPr>
        <w:t>10. Query Proxy 将查询提交给 Trino 或企业数仓服务，并访问 ODS/DWD/DWS/ADS、分析库或业务数据 API。</w:t>
      </w:r>
    </w:p>
    <w:p>
      <w:pPr>
        <w:spacing w:after="0" w:before="0"/>
        <w:ind w:left="397" w:hanging="283"/>
      </w:pPr>
      <w:r>
        <w:rPr>
          <w:rFonts w:ascii="Noto Sans CJK SC" w:hAnsi="Noto Sans CJK SC" w:eastAsia="Noto Sans CJK SC"/>
          <w:b w:val="0"/>
          <w:i w:val="0"/>
        </w:rPr>
        <w:t>11. 结果校验服务检查空结果、异常值、粒度、总分一致性、敏感字段和数据更新时间。</w:t>
      </w:r>
    </w:p>
    <w:p>
      <w:pPr>
        <w:spacing w:after="0" w:before="0"/>
        <w:ind w:left="397" w:hanging="283"/>
      </w:pPr>
      <w:r>
        <w:rPr>
          <w:rFonts w:ascii="Noto Sans CJK SC" w:hAnsi="Noto Sans CJK SC" w:eastAsia="Noto Sans CJK SC"/>
          <w:b w:val="0"/>
          <w:i w:val="0"/>
        </w:rPr>
        <w:t>12. 结果解释与可视化服务生成表格、图表、口径与来源；本地 Qwen 仅基于结构化结果生成摘要。</w:t>
      </w:r>
    </w:p>
    <w:p>
      <w:pPr>
        <w:spacing w:after="0" w:before="0"/>
        <w:ind w:left="397" w:hanging="283"/>
      </w:pPr>
      <w:r>
        <w:rPr>
          <w:rFonts w:ascii="Noto Sans CJK SC" w:hAnsi="Noto Sans CJK SC" w:eastAsia="Noto Sans CJK SC"/>
          <w:b w:val="0"/>
          <w:i w:val="0"/>
        </w:rPr>
        <w:t>13. 审计与监控平台记录全链路事件、性能指标、拒绝原因和用户反馈。</w:t>
      </w:r>
    </w:p>
    <w:p>
      <w:pPr>
        <w:pStyle w:val="Heading2"/>
        <w:keepNext/>
      </w:pPr>
      <w:r>
        <w:t>7.2 路由优先级</w:t>
      </w: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查询路径优先级</w:t>
              <w:br/>
              <w:t>Golden Query / 指标服务 API ＞ 语义约束 QueryPlan 编译 ＞ 受限 Text-to-SQL ＞ 澄清或拒答。任何路径都必须经过统一权限中心、SQL 安全校验与 Query Proxy；首期建议默认关闭自由 SQL。</w:t>
            </w:r>
          </w:p>
        </w:tc>
      </w:tr>
    </w:tbl>
    <w:p>
      <w:pPr>
        <w:spacing w:after="40"/>
      </w:pPr>
    </w:p>
    <w:p>
      <w:pPr>
        <w:pStyle w:val="Heading2"/>
        <w:keepNext/>
      </w:pPr>
      <w:r>
        <w:t>7.3 失败与降级策略</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失败点</w:t>
            </w:r>
          </w:p>
        </w:tc>
        <w:tc>
          <w:tcPr>
            <w:tcW w:type="dxa" w:w="396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降级方式</w:t>
            </w:r>
          </w:p>
        </w:tc>
        <w:tc>
          <w:tcPr>
            <w:tcW w:type="dxa" w:w="328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用户提示</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W3/IAM 不可用</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不创建新会话；已有会话按策略短时续用或失效</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统一认证暂不可用</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不可用</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Query/指标服务继续可用；已校验 QueryPlan 可按策略执行</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智能理解暂不可用，可使用推荐问题</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语义检索不可用</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使用上一已发布语义版本和 Golden Query，禁止自由 Text-to-SQL</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语义检索能力降级</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 Proxy/查询引擎超时</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取消查询、返回 request_id、释放资源并允许重试</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数据查询超时，未生成结论</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总结模型失败</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返回数字、表格、图表和口径，不返回 AI 摘要</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数据已返回，文字总结暂不可用</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语义歧义</w:t>
            </w:r>
          </w:p>
        </w:tc>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进入澄清节点，不执行 SQL</w:t>
            </w:r>
          </w:p>
        </w:tc>
        <w:tc>
          <w:tcPr>
            <w:tcW w:type="dxa" w:w="328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请确认指标/时间/范围</w:t>
            </w:r>
          </w:p>
        </w:tc>
      </w:tr>
    </w:tbl>
    <w:p>
      <w:pPr>
        <w:spacing w:after="40"/>
      </w:pPr>
    </w:p>
    <w:p>
      <w:pPr>
        <w:pStyle w:val="Heading1"/>
        <w:keepNext/>
      </w:pPr>
      <w:r>
        <w:t>8. 数据模型与接口设计</w:t>
      </w:r>
    </w:p>
    <w:p>
      <w:pPr>
        <w:pStyle w:val="Heading2"/>
        <w:keepNext/>
      </w:pPr>
      <w:r>
        <w:t>8.1 核心数据表</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表/集合</w:t>
            </w:r>
          </w:p>
        </w:tc>
        <w:tc>
          <w:tcPr>
            <w:tcW w:type="dxa" w:w="311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用途</w:t>
            </w:r>
          </w:p>
        </w:tc>
        <w:tc>
          <w:tcPr>
            <w:tcW w:type="dxa" w:w="385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关键字段</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sys_user</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员工本地映射，不保存 W3 密码</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id、w3_user_id、account、status</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organization_snapshot</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员工组织、BG/BU、区域和岗位快照</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user_id、org_path、bu、region、position、version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role / permission / policy</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RBAC/ABAC 与表/行/列/指标策略</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role_code、action、resource、condition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semantic_metric</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指标定义</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metric_code、formula、time_dimension、owner、version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semantic_dimension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维度定义</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dimension_code、column、synonyms、scope_type</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semantic_relation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实体和 Join 关系</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left_entity、right_entity、join_key、cardinality</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glossary_asset</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业务术语与同义词</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term、definition、domain、embedding</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golden_query</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可信问题、SQL 或指标服务模板</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pattern、params、query_template、verified、version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conversation / message</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会话与消息</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conversation_id、user_id、content、state</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query_request</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一次问数主记录</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request_id、user_id、question、domain、router_version、status</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query_plan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结构化计划及版本</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request_id、plan_json、semantic_version</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sql_execution</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 Proxy 与 SQL 执行审计</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sql_hash、engine、datasource、tables、rows、duration、status</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feedback</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用户评价与纠错</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request_id、rating、category、comment</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benchmark_case</w:t>
            </w:r>
          </w:p>
        </w:tc>
        <w:tc>
          <w:tcPr>
            <w:tcW w:type="dxa" w:w="311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回归用例</w:t>
            </w:r>
          </w:p>
        </w:tc>
        <w:tc>
          <w:tcPr>
            <w:tcW w:type="dxa" w:w="385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question、expected_plan、expected_result、role</w:t>
            </w:r>
          </w:p>
        </w:tc>
      </w:tr>
    </w:tbl>
    <w:p>
      <w:pPr>
        <w:spacing w:after="40"/>
      </w:pPr>
    </w:p>
    <w:p>
      <w:pPr>
        <w:pStyle w:val="Heading2"/>
        <w:keepNext/>
      </w:pPr>
      <w:r>
        <w:t>8.2 核心接口</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38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接口</w:t>
            </w:r>
          </w:p>
        </w:tc>
        <w:tc>
          <w:tcPr>
            <w:tcW w:type="dxa" w:w="102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方法</w:t>
            </w:r>
          </w:p>
        </w:tc>
        <w:tc>
          <w:tcPr>
            <w:tcW w:type="dxa" w:w="368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用途</w:t>
            </w:r>
          </w:p>
        </w:tc>
        <w:tc>
          <w:tcPr>
            <w:tcW w:type="dxa" w:w="187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鉴权</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/auth/login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生成 W3 Unipoortal 登录跳转</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匿名</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/auth/callback</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处理 W3 回调并创建安全会话</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state/nonce/签名校验</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/api/v1/session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获取当前员工及可用业务域</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安全会话</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/api/v1/query/stream</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提交问数并通过 SSE 返回进度和结果</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SecurityContext</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/api/v1/conversations</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GET/POST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历史会话管理</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本人数据</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/api/v1/feedback</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提交评价和问题分类</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本人请求</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/internal/v1/authorize</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计算 SecurityContext</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/internal/v1/domain/route</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识别业务域并校验域权限</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 + SecurityContext</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/internal/v1/query/plan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调用 Qwen 生成/校验 QueryPlan 或 SQL 草案</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/internal/v1/query/execute</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 安全改写并经 Query Proxy 执行</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服务身份 + SecurityContext</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/admin/v1/semantic/*</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CRUD</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语义资产管理</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语义管理员</w:t>
            </w:r>
          </w:p>
        </w:tc>
      </w:tr>
      <w:tr>
        <w:tc>
          <w:tcPr>
            <w:tcW w:type="dxa" w:w="238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/admin/v1/benchmark/run</w:t>
            </w:r>
          </w:p>
        </w:tc>
        <w:tc>
          <w:tcPr>
            <w:tcW w:type="dxa" w:w="10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POST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执行回归评测</w:t>
            </w:r>
          </w:p>
        </w:tc>
        <w:tc>
          <w:tcPr>
            <w:tcW w:type="dxa" w:w="187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平台/评测管理员</w:t>
            </w:r>
          </w:p>
        </w:tc>
      </w:tr>
    </w:tbl>
    <w:p>
      <w:pPr>
        <w:spacing w:after="40"/>
      </w:pPr>
    </w:p>
    <w:p>
      <w:pPr>
        <w:pStyle w:val="Heading1"/>
        <w:keepNext/>
      </w:pPr>
      <w:r>
        <w:t>9. 部署、环境与网络实施</w:t>
      </w:r>
    </w:p>
    <w:p>
      <w:pPr>
        <w:pStyle w:val="Heading2"/>
        <w:keepNext/>
      </w:pPr>
      <w:r>
        <w:t>9.1 推荐部署单元</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工作负载</w:t>
            </w:r>
          </w:p>
        </w:tc>
        <w:tc>
          <w:tcPr>
            <w:tcW w:type="dxa" w:w="464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首期职责</w:t>
            </w:r>
          </w:p>
        </w:tc>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扩缩容方式</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askdata-web</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智能问数前端静态资源与可视化组件</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按访问量水平扩展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access-session-service</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API Gateway 适配、W3 会话、组织属性、SSE</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无状态多副本</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askdata-orchestrator</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会话编排、业务域路由、工具调用、结果融合</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无状态多副本，状态放 Redis/PostgreSQL</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authorization-semantic-service</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统一权限、企业语义、元数据检索、Golden Query</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按业务域扩展，语义索引独立扩容</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model-gateway</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模型路由、Prompt、限流、脱敏、审计、降级</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双副本或平台托管</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qwen-model-service</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推理、Embedding、Rerank</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 GPU 利用率和并发水平扩展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query-proxy</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SQL 安全改写后的统一执行、队列、超时、缓存、审计</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按并发与数据源隔离扩展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sql-engine-adapter</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Trino/企业数仓服务及各类数据源连接器</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按数据源类型和吞吐扩展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PostgreSQL/pgvector + Redis + Kafka + Audit</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配置、语义索引、会话缓存、异步审计与监控数据</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主备/集群，按内部平台标准</w:t>
            </w:r>
          </w:p>
        </w:tc>
      </w:tr>
    </w:tbl>
    <w:p>
      <w:pPr>
        <w:spacing w:after="40"/>
      </w:pPr>
    </w:p>
    <w:p>
      <w:pPr>
        <w:pStyle w:val="Heading2"/>
        <w:keepNext/>
      </w:pPr>
      <w:r>
        <w:t>9.2 环境划分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41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环境</w:t>
            </w:r>
          </w:p>
        </w:tc>
        <w:tc>
          <w:tcPr>
            <w:tcW w:type="dxa" w:w="368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用途</w:t>
            </w:r>
          </w:p>
        </w:tc>
        <w:tc>
          <w:tcPr>
            <w:tcW w:type="dxa" w:w="379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数据要求</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DEV</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开发和单元测试</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模拟数据或脱敏小样本</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SIT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服务联调、W3测试 Client、数据接口联调</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脱敏测试数据</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UAT</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业务验收和 Benchmark</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接近生产口径的脱敏数据</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PRE</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容量、网络、安全和发布演练</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生产同构，数据最小化</w:t>
            </w:r>
          </w:p>
        </w:tc>
      </w:tr>
      <w:tr>
        <w:tc>
          <w:tcPr>
            <w:tcW w:type="dxa" w:w="141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PROD</w:t>
            </w:r>
          </w:p>
        </w:tc>
        <w:tc>
          <w:tcPr>
            <w:tcW w:type="dxa" w:w="368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正式使用</w:t>
            </w:r>
          </w:p>
        </w:tc>
        <w:tc>
          <w:tcPr>
            <w:tcW w:type="dxa" w:w="379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真实授权数据，严格审计</w:t>
            </w:r>
          </w:p>
        </w:tc>
      </w:tr>
    </w:tbl>
    <w:p>
      <w:pPr>
        <w:spacing w:after="40"/>
      </w:pPr>
    </w:p>
    <w:p>
      <w:pPr>
        <w:pStyle w:val="Heading2"/>
        <w:keepNext/>
      </w:pPr>
      <w:r>
        <w:t>9.3 网络与端口原则</w:t>
      </w:r>
    </w:p>
    <w:p>
      <w:pPr>
        <w:pStyle w:val="ListBullet"/>
        <w:spacing w:after="40" w:line="276" w:lineRule="auto"/>
      </w:pPr>
      <w:r>
        <w:rPr>
          <w:rFonts w:ascii="Noto Sans CJK SC" w:hAnsi="Noto Sans CJK SC" w:eastAsia="Noto Sans CJK SC"/>
          <w:b w:val="0"/>
          <w:i w:val="0"/>
        </w:rPr>
        <w:t>系统仅在内部网络、VPN 或零信任环境可达。</w:t>
      </w:r>
    </w:p>
    <w:p>
      <w:pPr>
        <w:pStyle w:val="ListBullet"/>
        <w:spacing w:after="40" w:line="276" w:lineRule="auto"/>
      </w:pPr>
      <w:r>
        <w:rPr>
          <w:rFonts w:ascii="Noto Sans CJK SC" w:hAnsi="Noto Sans CJK SC" w:eastAsia="Noto Sans CJK SC"/>
          <w:b w:val="0"/>
          <w:i w:val="0"/>
        </w:rPr>
        <w:t>客户端到入口只开放 HTTPS 443。</w:t>
      </w:r>
    </w:p>
    <w:p>
      <w:pPr>
        <w:pStyle w:val="ListBullet"/>
        <w:spacing w:after="40" w:line="276" w:lineRule="auto"/>
      </w:pPr>
      <w:r>
        <w:rPr>
          <w:rFonts w:ascii="Noto Sans CJK SC" w:hAnsi="Noto Sans CJK SC" w:eastAsia="Noto Sans CJK SC"/>
          <w:b w:val="0"/>
          <w:i w:val="0"/>
        </w:rPr>
        <w:t>应用服务之间优先使用 mTLS 和服务身份。</w:t>
      </w:r>
    </w:p>
    <w:p>
      <w:pPr>
        <w:pStyle w:val="ListBullet"/>
        <w:spacing w:after="40" w:line="276" w:lineRule="auto"/>
      </w:pPr>
      <w:r>
        <w:rPr>
          <w:rFonts w:ascii="Noto Sans CJK SC" w:hAnsi="Noto Sans CJK SC" w:eastAsia="Noto Sans CJK SC"/>
          <w:b w:val="0"/>
          <w:i w:val="0"/>
        </w:rPr>
        <w:t>仅 Query Proxy、SQL 查询引擎适配器或批准的数据服务可以跨区访问数据层。</w:t>
      </w:r>
    </w:p>
    <w:p>
      <w:pPr>
        <w:pStyle w:val="ListBullet"/>
        <w:spacing w:after="40" w:line="276" w:lineRule="auto"/>
      </w:pPr>
      <w:r>
        <w:rPr>
          <w:rFonts w:ascii="Noto Sans CJK SC" w:hAnsi="Noto Sans CJK SC" w:eastAsia="Noto Sans CJK SC"/>
          <w:b w:val="0"/>
          <w:i w:val="0"/>
        </w:rPr>
        <w:t>PostgreSQL、Redis、Kafka 等基础设施仅对指定服务账号和网段开放。</w:t>
      </w:r>
    </w:p>
    <w:p>
      <w:pPr>
        <w:pStyle w:val="ListBullet"/>
        <w:spacing w:after="40" w:line="276" w:lineRule="auto"/>
      </w:pPr>
      <w:r>
        <w:rPr>
          <w:rFonts w:ascii="Noto Sans CJK SC" w:hAnsi="Noto Sans CJK SC" w:eastAsia="Noto Sans CJK SC"/>
          <w:b w:val="0"/>
          <w:i w:val="0"/>
        </w:rPr>
        <w:t>运维操作必须经过堡垒机，禁止个人终端直连生产数据库。</w:t>
      </w:r>
    </w:p>
    <w:p>
      <w:pPr>
        <w:pStyle w:val="Heading2"/>
        <w:keepNext/>
      </w:pPr>
      <w:r>
        <w:t>9.4 容量与性能初始基线</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指标</w:t>
            </w:r>
          </w:p>
        </w:tc>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首期建议目标</w:t>
            </w:r>
          </w:p>
        </w:tc>
        <w:tc>
          <w:tcPr>
            <w:tcW w:type="dxa" w:w="4365"/>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说明</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平台可用性</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月度不低于 99.9%</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不含计划维护窗口</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W3登录P95</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2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不含员工二次认证等待</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标准查询 P95</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8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Query/指标服务/缓存路径</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自由组合查询 P95</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30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 Query Proxy 路径，复杂查询可异步</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默认返回行数</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500 行</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超出需分页或导出权限</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最大返回行数</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5000 行</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可按业务域调整</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查询超时</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30～60 秒</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大查询转异步或拒绝</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审计覆盖率</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100%</w:t>
            </w:r>
          </w:p>
        </w:tc>
        <w:tc>
          <w:tcPr>
            <w:tcW w:type="dxa" w:w="4365"/>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成功、失败和拒绝都记录</w:t>
            </w:r>
          </w:p>
        </w:tc>
      </w:tr>
    </w:tbl>
    <w:p>
      <w:pPr>
        <w:spacing w:after="40"/>
      </w:pPr>
    </w:p>
    <w:p>
      <w:pPr>
        <w:pStyle w:val="Heading1"/>
        <w:keepNext/>
      </w:pPr>
      <w:r>
        <w:t>10. 测试、评测与验收</w:t>
      </w:r>
    </w:p>
    <w:p>
      <w:pPr>
        <w:pStyle w:val="Heading2"/>
        <w:keepNext/>
      </w:pPr>
      <w:r>
        <w:t>10.1 测试体系</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测试类型</w:t>
            </w:r>
          </w:p>
        </w:tc>
        <w:tc>
          <w:tcPr>
            <w:tcW w:type="dxa" w:w="527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重点内容</w:t>
            </w:r>
          </w:p>
        </w:tc>
        <w:tc>
          <w:tcPr>
            <w:tcW w:type="dxa" w:w="192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责任方</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单元测试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域路由、QueryPlan、语义校验、权限策略、SQL AST/改写、结果校验</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研发</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组件测试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W3 Adapter、语义检索、模型网关、本地 Qwen、Query Proxy、数据连接器</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研发</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集成测试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登录—授权—域路由—Qwen—SQL 安全—Query Proxy—结果—审计</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研发/测试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数据正确性</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指标对账、时间边界、维度汇总、同比环比、空值与重复</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数据/业务</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安全测试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越权、注入、Token重放、缓存泄露、敏感列、Prompt注入</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安全/测试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性能测试</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并发会话、查询队列、SSE、数据库压力、缓存命中</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性能测试</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模型评测</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域路由、指标/维度、时间、QueryPlan/Text-to-SQL、结论忠实度</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AI/数据</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UAT</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高频业务问题、口径展示、交互、反馈和审计</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业务用户</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灾备演练</w:t>
            </w:r>
          </w:p>
        </w:tc>
        <w:tc>
          <w:tcPr>
            <w:tcW w:type="dxa" w:w="527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模型不可用、数据源不可用、缓存故障、回滚</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运维/研发</w:t>
            </w:r>
          </w:p>
        </w:tc>
      </w:tr>
    </w:tbl>
    <w:p>
      <w:pPr>
        <w:spacing w:after="40"/>
      </w:pPr>
    </w:p>
    <w:p>
      <w:pPr>
        <w:pStyle w:val="Heading2"/>
        <w:keepNext/>
      </w:pPr>
      <w:r>
        <w:t>10.2 Benchmark 设计</w:t>
      </w:r>
    </w:p>
    <w:p>
      <w:pPr>
        <w:pStyle w:val="ListBullet"/>
        <w:spacing w:after="40" w:line="276" w:lineRule="auto"/>
      </w:pPr>
      <w:r>
        <w:rPr>
          <w:rFonts w:ascii="Noto Sans CJK SC" w:hAnsi="Noto Sans CJK SC" w:eastAsia="Noto Sans CJK SC"/>
          <w:b w:val="0"/>
          <w:i w:val="0"/>
        </w:rPr>
        <w:t>核心问题集：领导和业务高频使用的问题，必须有标准结果。</w:t>
      </w:r>
    </w:p>
    <w:p>
      <w:pPr>
        <w:pStyle w:val="ListBullet"/>
        <w:spacing w:after="40" w:line="276" w:lineRule="auto"/>
      </w:pPr>
      <w:r>
        <w:rPr>
          <w:rFonts w:ascii="Noto Sans CJK SC" w:hAnsi="Noto Sans CJK SC" w:eastAsia="Noto Sans CJK SC"/>
          <w:b w:val="0"/>
          <w:i w:val="0"/>
        </w:rPr>
        <w:t>普通问题集：指标和维度自由组合，重点评估 QueryPlan。</w:t>
      </w:r>
    </w:p>
    <w:p>
      <w:pPr>
        <w:pStyle w:val="ListBullet"/>
        <w:spacing w:after="40" w:line="276" w:lineRule="auto"/>
      </w:pPr>
      <w:r>
        <w:rPr>
          <w:rFonts w:ascii="Noto Sans CJK SC" w:hAnsi="Noto Sans CJK SC" w:eastAsia="Noto Sans CJK SC"/>
          <w:b w:val="0"/>
          <w:i w:val="0"/>
        </w:rPr>
        <w:t>歧义问题集：验证系统能否正确澄清，而不是猜测。</w:t>
      </w:r>
    </w:p>
    <w:p>
      <w:pPr>
        <w:pStyle w:val="ListBullet"/>
        <w:spacing w:after="40" w:line="276" w:lineRule="auto"/>
      </w:pPr>
      <w:r>
        <w:rPr>
          <w:rFonts w:ascii="Noto Sans CJK SC" w:hAnsi="Noto Sans CJK SC" w:eastAsia="Noto Sans CJK SC"/>
          <w:b w:val="0"/>
          <w:i w:val="0"/>
        </w:rPr>
        <w:t>越权问题集：验证权限拒绝和审计。</w:t>
      </w:r>
    </w:p>
    <w:p>
      <w:pPr>
        <w:pStyle w:val="ListBullet"/>
        <w:spacing w:after="40" w:line="276" w:lineRule="auto"/>
      </w:pPr>
      <w:r>
        <w:rPr>
          <w:rFonts w:ascii="Noto Sans CJK SC" w:hAnsi="Noto Sans CJK SC" w:eastAsia="Noto Sans CJK SC"/>
          <w:b w:val="0"/>
          <w:i w:val="0"/>
        </w:rPr>
        <w:t>攻击问题集：Prompt注入、SQL注入、敏感数据诱导。</w:t>
      </w:r>
    </w:p>
    <w:p>
      <w:pPr>
        <w:pStyle w:val="ListBullet"/>
        <w:spacing w:after="40" w:line="276" w:lineRule="auto"/>
      </w:pPr>
      <w:r>
        <w:rPr>
          <w:rFonts w:ascii="Noto Sans CJK SC" w:hAnsi="Noto Sans CJK SC" w:eastAsia="Noto Sans CJK SC"/>
          <w:b w:val="0"/>
          <w:i w:val="0"/>
        </w:rPr>
        <w:t>回归问题集：历史线上错误修复后沉淀为永久用例。</w:t>
      </w:r>
    </w:p>
    <w:p>
      <w:pPr>
        <w:pStyle w:val="Heading2"/>
        <w:keepNext/>
      </w:pPr>
      <w:r>
        <w:t>10.3 建议验收指标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96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指标</w:t>
            </w:r>
          </w:p>
        </w:tc>
        <w:tc>
          <w:tcPr>
            <w:tcW w:type="dxa" w:w="493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MVP验收目标</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W3认证成功率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有效员工正常场景不低于 99.9%</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核心问题结果准确率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不低于 95%</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普通问题 QueryPlan / SQL 语义准确率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不低于 85%</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SQL执行成功率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不低于 95%，不含主动拒绝</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越权查询成功数</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危险SQL执行数</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敏感字段非授权暴露数</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审计链路完整率</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100%</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标准查询P95</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不高于 8 秒</w:t>
            </w:r>
          </w:p>
        </w:tc>
      </w:tr>
      <w:tr>
        <w:tc>
          <w:tcPr>
            <w:tcW w:type="dxa" w:w="396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用户满意度</w:t>
            </w:r>
          </w:p>
        </w:tc>
        <w:tc>
          <w:tcPr>
            <w:tcW w:type="dxa" w:w="493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试点用户正向评价不低于 80%</w:t>
            </w:r>
          </w:p>
        </w:tc>
      </w:tr>
    </w:tbl>
    <w:p>
      <w:pPr>
        <w:spacing w:after="40"/>
      </w:pPr>
    </w:p>
    <w:p>
      <w:pPr>
        <w:pStyle w:val="Heading2"/>
        <w:keepNext/>
      </w:pPr>
      <w:r>
        <w:t>10.4 发布门禁</w:t>
      </w: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必须通过的门禁</w:t>
            </w:r>
          </w:p>
          <w:p>
            <w:pPr>
              <w:spacing w:after="0" w:line="288" w:lineRule="auto"/>
            </w:pPr>
            <w:r>
              <w:rPr>
                <w:rFonts w:ascii="Noto Sans CJK SC" w:hAnsi="Noto Sans CJK SC" w:eastAsia="Noto Sans CJK SC"/>
                <w:b w:val="0"/>
                <w:i w:val="0"/>
              </w:rPr>
              <w:t>W3 与权限测试通过；核心 Benchmark 无回归；越权和危险 SQL 为零；数据对账通过；生产网络和证书验证通过；审计和告警可用；回滚方案演练完成。任何一项未通过，不能正式发布。</w:t>
            </w:r>
          </w:p>
        </w:tc>
      </w:tr>
    </w:tbl>
    <w:p>
      <w:pPr>
        <w:spacing w:after="40"/>
      </w:pPr>
    </w:p>
    <w:p>
      <w:pPr>
        <w:pStyle w:val="Heading1"/>
        <w:keepNext/>
      </w:pPr>
      <w:r>
        <w:t>11. 运维与持续运营</w:t>
      </w:r>
    </w:p>
    <w:p>
      <w:pPr>
        <w:pStyle w:val="Heading2"/>
        <w:keepNext/>
      </w:pPr>
      <w:r>
        <w:t>11.1 日常运营流程</w:t>
      </w:r>
    </w:p>
    <w:p>
      <w:pPr>
        <w:spacing w:after="0" w:before="0"/>
        <w:ind w:left="397" w:hanging="283"/>
      </w:pPr>
      <w:r>
        <w:rPr>
          <w:rFonts w:ascii="Noto Sans CJK SC" w:hAnsi="Noto Sans CJK SC" w:eastAsia="Noto Sans CJK SC"/>
          <w:b w:val="0"/>
          <w:i w:val="0"/>
        </w:rPr>
        <w:t>1. 每日检查认证、问数成功率、数据源延迟、P95耗时和错误分类。</w:t>
      </w:r>
    </w:p>
    <w:p>
      <w:pPr>
        <w:spacing w:after="0" w:before="0"/>
        <w:ind w:left="397" w:hanging="283"/>
      </w:pPr>
      <w:r>
        <w:rPr>
          <w:rFonts w:ascii="Noto Sans CJK SC" w:hAnsi="Noto Sans CJK SC" w:eastAsia="Noto Sans CJK SC"/>
          <w:b w:val="0"/>
          <w:i w:val="0"/>
        </w:rPr>
        <w:t>2. 每周处理用户反馈，将高频问题沉淀为 Golden Query 或语义资产。</w:t>
      </w:r>
    </w:p>
    <w:p>
      <w:pPr>
        <w:spacing w:after="0" w:before="0"/>
        <w:ind w:left="397" w:hanging="283"/>
      </w:pPr>
      <w:r>
        <w:rPr>
          <w:rFonts w:ascii="Noto Sans CJK SC" w:hAnsi="Noto Sans CJK SC" w:eastAsia="Noto Sans CJK SC"/>
          <w:b w:val="0"/>
          <w:i w:val="0"/>
        </w:rPr>
        <w:t>3. 每次模型、Prompt、语义、Golden Query、SQL 安全规则、Query Proxy 或数据视图变更前执行 Benchmark。</w:t>
      </w:r>
    </w:p>
    <w:p>
      <w:pPr>
        <w:spacing w:after="0" w:before="0"/>
        <w:ind w:left="397" w:hanging="283"/>
      </w:pPr>
      <w:r>
        <w:rPr>
          <w:rFonts w:ascii="Noto Sans CJK SC" w:hAnsi="Noto Sans CJK SC" w:eastAsia="Noto Sans CJK SC"/>
          <w:b w:val="0"/>
          <w:i w:val="0"/>
        </w:rPr>
        <w:t>4. 每月复盘成本、命中率、拒答率、越权拦截和业务价值。</w:t>
      </w:r>
    </w:p>
    <w:p>
      <w:pPr>
        <w:spacing w:after="0" w:before="0"/>
        <w:ind w:left="397" w:hanging="283"/>
      </w:pPr>
      <w:r>
        <w:rPr>
          <w:rFonts w:ascii="Noto Sans CJK SC" w:hAnsi="Noto Sans CJK SC" w:eastAsia="Noto Sans CJK SC"/>
          <w:b w:val="0"/>
          <w:i w:val="0"/>
        </w:rPr>
        <w:t>5. 敏感数据访问和异常大查询触发安全告警并进入审计复核。</w:t>
      </w:r>
    </w:p>
    <w:p>
      <w:pPr>
        <w:pStyle w:val="Heading2"/>
        <w:keepNext/>
      </w:pPr>
      <w:r>
        <w:t>11.2 可观测性指标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类别</w:t>
            </w:r>
          </w:p>
        </w:tc>
        <w:tc>
          <w:tcPr>
            <w:tcW w:type="dxa" w:w="720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关键指标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活跃用户、问数次数、业务域分布、问题采纳率、反馈率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准确性</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业务域路由准确率、语义命中率、Golden 命中率、QueryPlan/Text-to-SQL 准确率、结果对账率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性能</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各阶段耗时、Qwen 推理耗时、Query Proxy/查询引擎耗时、P95/P99、缓存命中率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可靠性</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服务可用性、错误率、超时率、重试率、降级次数</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认证失败、越权拦截、敏感字段拦截、异常导出、Prompt注入</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成本</w:t>
            </w:r>
          </w:p>
        </w:tc>
        <w:tc>
          <w:tcPr>
            <w:tcW w:type="dxa" w:w="720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Token、查询扫描量、单次问数成本、业务域成本分摊</w:t>
            </w:r>
          </w:p>
        </w:tc>
      </w:tr>
    </w:tbl>
    <w:p>
      <w:pPr>
        <w:spacing w:after="40"/>
      </w:pPr>
    </w:p>
    <w:p>
      <w:pPr>
        <w:pStyle w:val="Heading2"/>
        <w:keepNext/>
      </w:pPr>
      <w:r>
        <w:t>11.3 版本管理</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版本对象</w:t>
            </w:r>
          </w:p>
        </w:tc>
        <w:tc>
          <w:tcPr>
            <w:tcW w:type="dxa" w:w="4762"/>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必须记录</w:t>
            </w:r>
          </w:p>
        </w:tc>
        <w:tc>
          <w:tcPr>
            <w:tcW w:type="dxa" w:w="243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回滚方式</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本地 Qwen 版本、量化方式、参数、推理镜像、发布时间</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模型网关路由回切</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Prompt</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场景、模板、变量、结构化输出 Schema、版本、评测结果</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切换上一版本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语义模型</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指标/维度/Join/权限定义、负责人</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Git 标签或数据库版本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Golden Query</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问题模式、参数、SQL、验证人</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恢复上一有效版本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数据视图</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DDL、字段、口径、更新时间</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回滚视图或切换版本</w:t>
            </w:r>
          </w:p>
        </w:tc>
      </w:tr>
      <w:tr>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应用</w:t>
            </w:r>
          </w:p>
        </w:tc>
        <w:tc>
          <w:tcPr>
            <w:tcW w:type="dxa" w:w="4762"/>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镜像、配置、数据库迁移</w:t>
            </w:r>
          </w:p>
        </w:tc>
        <w:tc>
          <w:tcPr>
            <w:tcW w:type="dxa" w:w="243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蓝绿/灰度回滚</w:t>
            </w:r>
          </w:p>
        </w:tc>
      </w:tr>
    </w:tbl>
    <w:p>
      <w:pPr>
        <w:spacing w:after="40"/>
      </w:pPr>
    </w:p>
    <w:p>
      <w:pPr>
        <w:pStyle w:val="Heading1"/>
        <w:keepNext/>
      </w:pPr>
      <w:r>
        <w:t>12. 项目组织、计划与里程碑</w:t>
      </w:r>
    </w:p>
    <w:p>
      <w:pPr>
        <w:pStyle w:val="Heading2"/>
        <w:keepNext/>
      </w:pPr>
      <w:r>
        <w:t>12.1 推荐角色与职责</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角色</w:t>
            </w:r>
          </w:p>
        </w:tc>
        <w:tc>
          <w:tcPr>
            <w:tcW w:type="dxa" w:w="6633"/>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主要职责</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项目负责人/产品负责人</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范围、优先级、业务价值、跨团队协调和验收</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架构师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总体架构、服务边界、技术标准、关键评审</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前端工程师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问数页面、图表、历史会话、管理后台</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Java 后端工程师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API Gateway/BFF、W3 会话、组织属性、统一权限、Query Proxy 与平台接口</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AI 应用工程师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Orchestrator、业务域路由、语义检索、本地 Qwen、QueryPlan/Text-to-SQL、结果解释</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ODS/DWD/DWS/ADS、Trino/数仓服务、指标口径、数据质量、Golden Query</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测试工程师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功能、接口、回归、性能和UAT组织</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安全工程师</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W3、权限、网络、脱敏、审计和安全测试</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运维/SRE</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环境、发布、监控、告警、容量和故障演练</w:t>
            </w:r>
          </w:p>
        </w:tc>
      </w:tr>
      <w:tr>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业务专家</w:t>
            </w:r>
          </w:p>
        </w:tc>
        <w:tc>
          <w:tcPr>
            <w:tcW w:type="dxa" w:w="6633"/>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业务术语、问题集、结果确认、试点反馈</w:t>
            </w:r>
          </w:p>
        </w:tc>
      </w:tr>
    </w:tbl>
    <w:p>
      <w:pPr>
        <w:spacing w:after="40"/>
      </w:pPr>
    </w:p>
    <w:p>
      <w:pPr>
        <w:pStyle w:val="Heading2"/>
        <w:keepNext/>
      </w:pPr>
      <w:r>
        <w:t>12.2 16周参考计划</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90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周次</w:t>
            </w:r>
          </w:p>
        </w:tc>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身份安全</w:t>
            </w:r>
          </w:p>
        </w:tc>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数据语义</w:t>
            </w:r>
          </w:p>
        </w:tc>
        <w:tc>
          <w:tcPr>
            <w:tcW w:type="dxa" w:w="192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AI与后端</w:t>
            </w:r>
          </w:p>
        </w:tc>
        <w:tc>
          <w:tcPr>
            <w:tcW w:type="dxa" w:w="170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前端运营</w:t>
            </w:r>
          </w:p>
        </w:tc>
        <w:tc>
          <w:tcPr>
            <w:tcW w:type="dxa" w:w="158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6"/>
              </w:rPr>
              <w:t>里程碑</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1-2</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W3/API Gateway 调研、权限模型</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试点域与数据源盘点</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Qwen/Trino/Query Proxy 技术验证、接口契约</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交互原型</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范围与 HLD 评审</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3-4</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SSO、组织属性、SecurityContext</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首批 ODS/DWD/DWS/ADS 与指标</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会话、基础编排、域路由</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登录与问数页面</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可登录并识别权限</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5-6</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表/行/列与指标权限、脱敏</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语义模型、术语、Golden Query</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语义检索、模型网关、本地 Qwen、QueryPlan</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结果骨架与图表</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语义与模型链路可用</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7-8</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权限注入、审计</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数据对账、质量规则</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SQL 安全改写、Query Proxy、Trino/数仓接入</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历史会话、口径查看</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端到端链路打通</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9-10</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安全测试</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扩充Benchmark</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结果校验、失败降级</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反馈、管理后台</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SIT完成</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11-12</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权限矩阵回归</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修复口径与质量问题</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模型/Prompt优化、性能</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UAT支持</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UAT启动</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13-14</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攻防与审计演练</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最终数据验收</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容量、故障、回滚演练</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体验优化</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试点灰度</w:t>
            </w:r>
          </w:p>
        </w:tc>
      </w:tr>
      <w:tr>
        <w:tc>
          <w:tcPr>
            <w:tcW w:type="dxa" w:w="90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15-16</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生产策略确认</w:t>
            </w:r>
          </w:p>
        </w:tc>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生产数据切换</w:t>
            </w:r>
          </w:p>
        </w:tc>
        <w:tc>
          <w:tcPr>
            <w:tcW w:type="dxa" w:w="192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生产发布与值守</w:t>
            </w:r>
          </w:p>
        </w:tc>
        <w:tc>
          <w:tcPr>
            <w:tcW w:type="dxa" w:w="170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培训与运营</w:t>
            </w:r>
          </w:p>
        </w:tc>
        <w:tc>
          <w:tcPr>
            <w:tcW w:type="dxa" w:w="15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6"/>
              </w:rPr>
              <w:t>正式上线与复盘</w:t>
            </w:r>
          </w:p>
        </w:tc>
      </w:tr>
    </w:tbl>
    <w:p>
      <w:pPr>
        <w:spacing w:after="40"/>
      </w:pPr>
    </w:p>
    <w:p>
      <w:pPr>
        <w:pStyle w:val="Heading2"/>
        <w:keepNext/>
      </w:pPr>
      <w:r>
        <w:t>12.3 关键评审点</w:t>
      </w:r>
    </w:p>
    <w:p>
      <w:pPr>
        <w:pStyle w:val="ListBullet"/>
        <w:spacing w:after="40" w:line="276" w:lineRule="auto"/>
      </w:pPr>
      <w:r>
        <w:rPr>
          <w:rFonts w:ascii="Noto Sans CJK SC" w:hAnsi="Noto Sans CJK SC" w:eastAsia="Noto Sans CJK SC"/>
          <w:b w:val="0"/>
          <w:i w:val="0"/>
        </w:rPr>
        <w:t>HLD/LLD 评审：服务边界、W3/API Gateway、统一权限、本地 Qwen、Query Proxy、数据和错误处理。</w:t>
      </w:r>
    </w:p>
    <w:p>
      <w:pPr>
        <w:pStyle w:val="ListBullet"/>
        <w:spacing w:after="40" w:line="276" w:lineRule="auto"/>
      </w:pPr>
      <w:r>
        <w:rPr>
          <w:rFonts w:ascii="Noto Sans CJK SC" w:hAnsi="Noto Sans CJK SC" w:eastAsia="Noto Sans CJK SC"/>
          <w:b w:val="0"/>
          <w:i w:val="0"/>
        </w:rPr>
        <w:t>数据与指标评审：指标口径、Join、时间、质量和权限。</w:t>
      </w:r>
    </w:p>
    <w:p>
      <w:pPr>
        <w:pStyle w:val="ListBullet"/>
        <w:spacing w:after="40" w:line="276" w:lineRule="auto"/>
      </w:pPr>
      <w:r>
        <w:rPr>
          <w:rFonts w:ascii="Noto Sans CJK SC" w:hAnsi="Noto Sans CJK SC" w:eastAsia="Noto Sans CJK SC"/>
          <w:b w:val="0"/>
          <w:i w:val="0"/>
        </w:rPr>
        <w:t>安全评审：网络区划、认证、授权、脱敏、审计和攻击面。</w:t>
      </w:r>
    </w:p>
    <w:p>
      <w:pPr>
        <w:pStyle w:val="ListBullet"/>
        <w:spacing w:after="40" w:line="276" w:lineRule="auto"/>
      </w:pPr>
      <w:r>
        <w:rPr>
          <w:rFonts w:ascii="Noto Sans CJK SC" w:hAnsi="Noto Sans CJK SC" w:eastAsia="Noto Sans CJK SC"/>
          <w:b w:val="0"/>
          <w:i w:val="0"/>
        </w:rPr>
        <w:t>SIT 评审：端到端链路、接口、错误码、性能。</w:t>
      </w:r>
    </w:p>
    <w:p>
      <w:pPr>
        <w:pStyle w:val="ListBullet"/>
        <w:spacing w:after="40" w:line="276" w:lineRule="auto"/>
      </w:pPr>
      <w:r>
        <w:rPr>
          <w:rFonts w:ascii="Noto Sans CJK SC" w:hAnsi="Noto Sans CJK SC" w:eastAsia="Noto Sans CJK SC"/>
          <w:b w:val="0"/>
          <w:i w:val="0"/>
        </w:rPr>
        <w:t>UAT 评审：核心问题结果、业务体验和反馈闭环。</w:t>
      </w:r>
    </w:p>
    <w:p>
      <w:pPr>
        <w:pStyle w:val="ListBullet"/>
        <w:spacing w:after="40" w:line="276" w:lineRule="auto"/>
      </w:pPr>
      <w:r>
        <w:rPr>
          <w:rFonts w:ascii="Noto Sans CJK SC" w:hAnsi="Noto Sans CJK SC" w:eastAsia="Noto Sans CJK SC"/>
          <w:b w:val="0"/>
          <w:i w:val="0"/>
        </w:rPr>
        <w:t>上线评审：门禁、监控、值守、回滚和培训。</w:t>
      </w:r>
    </w:p>
    <w:p>
      <w:pPr>
        <w:pStyle w:val="Heading1"/>
        <w:keepNext/>
      </w:pPr>
      <w:r>
        <w:t>13. 风险与应对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8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风险</w:t>
            </w:r>
          </w:p>
        </w:tc>
        <w:tc>
          <w:tcPr>
            <w:tcW w:type="dxa" w:w="2268"/>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影响</w:t>
            </w:r>
          </w:p>
        </w:tc>
        <w:tc>
          <w:tcPr>
            <w:tcW w:type="dxa" w:w="4649"/>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7"/>
              </w:rPr>
              <w:t>预防与应对</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W3/API Gateway 接口细节不明确</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认证与接入开发阻塞</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第一周锁定 W3/IAM 和网关接口人；先使用 Mock IdP/Gateway 开发；适配层隔离协议</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指标口径不统一</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答案争议、准确率低</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业务与数据负责人共同签字；语义版本化；展示指标口径</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原始表过多且 Join 复杂</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SQL 错误、性能差</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优先建设 ODS/DWD/DWS/ADS 和受控视图；按业务域收敛；限制数据源与表白名单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权限策略复杂</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越权或误拒绝</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RBAC+ABAC建模；权限矩阵测试；数据层二次校验</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模型幻觉或 SQL 语义偏差</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错误计划、SQL 或解释</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结构化 QueryPlan、语义校验、Golden Query、SQL AST 安全改写、结果忠实性检查</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数据质量或延迟</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错误结论</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质量门禁、更新时间展示、异常时停止结论生成</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查询成本过高</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数据仓库与分析库压力</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Query Proxy 队列、时间过滤、LIMIT、扫描量预估、缓存、超时与熔断</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缓存泄露</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低权限命中高权限结果</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缓存Key包含租户/数据范围/语义版本；敏感结果不共享</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本地 Qwen 服务不可用或容量不足</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自由问数失败或响应慢</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Golden Query/指标服务降级；模型网关限流与回切；GPU 容量监控与扩容</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首期范围过大</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延期且准确率差</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只做一个业务域；用验收指标控制扩展</w:t>
            </w:r>
          </w:p>
        </w:tc>
      </w:tr>
      <w:tr>
        <w:tc>
          <w:tcPr>
            <w:tcW w:type="dxa" w:w="198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开源组件合规</w:t>
            </w:r>
          </w:p>
        </w:tc>
        <w:tc>
          <w:tcPr>
            <w:tcW w:type="dxa" w:w="2268"/>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上线受阻</w:t>
            </w:r>
          </w:p>
        </w:tc>
        <w:tc>
          <w:tcPr>
            <w:tcW w:type="dxa" w:w="4649"/>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7"/>
              </w:rPr>
              <w:t>立项时完成许可证、漏洞和供应链安全扫描</w:t>
            </w:r>
          </w:p>
        </w:tc>
      </w:tr>
    </w:tbl>
    <w:p>
      <w:pPr>
        <w:spacing w:after="40"/>
      </w:pPr>
    </w:p>
    <w:p>
      <w:pPr>
        <w:pStyle w:val="Heading1"/>
        <w:keepNext/>
      </w:pPr>
      <w:r>
        <w:t>14. 交付物清单</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类别</w:t>
            </w:r>
          </w:p>
        </w:tc>
        <w:tc>
          <w:tcPr>
            <w:tcW w:type="dxa" w:w="7087"/>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9"/>
              </w:rPr>
              <w:t>交付物</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方案与设计</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总体实施方案、HLD、LLD、接口文档、数据模型、网络与部署说明</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身份与安全</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W3对接说明、SecurityContext规范、权限矩阵、脱敏策略、安全测试报告</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数据与语义</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试点域数据清单、ADS/视图、指标与维度定义、数据字典、Golden Query库</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软件系统</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Web/会话服务、W3/API Gateway 适配、组织属性、统一权限、Orchestrator、业务域路由、企业语义、模型网关、本地 Qwen、SQL 安全、Query Proxy、结果与审计</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测试与评测</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测试用例、Benchmark、性能报告、UAT报告、安全报告、回归基线</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运维与发布</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部署脚本、配置清单、监控看板、告警规则、应急预案、回滚方案、值守手册</w:t>
            </w:r>
          </w:p>
        </w:tc>
      </w:tr>
      <w:tr>
        <w:tc>
          <w:tcPr>
            <w:tcW w:type="dxa" w:w="181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培训与运营</w:t>
            </w:r>
          </w:p>
        </w:tc>
        <w:tc>
          <w:tcPr>
            <w:tcW w:type="dxa" w:w="7087"/>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9"/>
              </w:rPr>
              <w:t>用户手册、管理员手册、业务培训材料、反馈与运营流程</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9184"/>
            <w:shd w:fill="F2F2F2"/>
            <w:tcBorders>
              <w:top w:val="single" w:sz="8" w:color="666666"/>
              <w:left w:val="single" w:sz="8" w:color="666666"/>
              <w:bottom w:val="single" w:sz="8" w:color="666666"/>
              <w:right w:val="single" w:sz="8" w:color="666666"/>
            </w:tcBorders>
            <w:tcMar>
              <w:top w:w="120" w:type="dxa"/>
              <w:start w:w="160" w:type="dxa"/>
              <w:bottom w:w="120" w:type="dxa"/>
              <w:end w:w="160" w:type="dxa"/>
            </w:tcMar>
          </w:tcPr>
          <w:p>
            <w:pPr>
              <w:spacing w:after="40"/>
            </w:pPr>
            <w:r>
              <w:rPr>
                <w:rFonts w:ascii="Noto Sans CJK SC" w:hAnsi="Noto Sans CJK SC" w:eastAsia="Noto Sans CJK SC"/>
                <w:b/>
                <w:i w:val="0"/>
              </w:rPr>
              <w:t>首期最终验收口径</w:t>
              <w:br/>
              <w:t>不是“页面能回答问题”就算完成，而是 W3 身份和组织属性可用、权限无越权、本地 Qwen 不直连数据源、核心指标对账正确、QueryPlan/SQL/Query Proxy 可追踪、结果可解释、Benchmark 可回归、生产可监控、故障可降级、版本可回滚。</w:t>
            </w:r>
          </w:p>
        </w:tc>
      </w:tr>
    </w:tbl>
    <w:p>
      <w:pPr>
        <w:spacing w:after="40"/>
      </w:pPr>
    </w:p>
    <w:p>
      <w:pPr>
        <w:pStyle w:val="Heading1"/>
        <w:keepNext/>
      </w:pPr>
      <w:r>
        <w:t>附录 A. 示例 SecurityContext</w:t>
      </w:r>
    </w:p>
    <w:tbl>
      <w:tblPr>
        <w:tblW w:type="auto" w:w="0"/>
        <w:jc w:val="center"/>
        <w:tblLayout w:type="fixed"/>
        <w:tblLook w:firstColumn="1" w:firstRow="1" w:lastColumn="0" w:lastRow="0" w:noHBand="0" w:noVBand="1" w:val="04A0"/>
      </w:tblPr>
      <w:tblGrid>
        <w:gridCol w:w="9638"/>
      </w:tblGrid>
      <w:tr>
        <w:tc>
          <w:tcPr>
            <w:tcW w:type="dxa" w:w="9071"/>
            <w:shd w:fill="F7F7F7"/>
            <w:tcBorders>
              <w:top w:val="single" w:sz="6" w:color="A6A6A6"/>
              <w:left w:val="single" w:sz="6" w:color="A6A6A6"/>
              <w:bottom w:val="single" w:sz="6" w:color="A6A6A6"/>
              <w:right w:val="single" w:sz="6" w:color="A6A6A6"/>
            </w:tcBorders>
            <w:tcMar>
              <w:top w:w="100" w:type="dxa"/>
              <w:start w:w="140" w:type="dxa"/>
              <w:bottom w:w="100" w:type="dxa"/>
              <w:end w:w="140" w:type="dxa"/>
            </w:tcMar>
          </w:tcPr>
          <w:p>
            <w:pPr>
              <w:spacing w:after="0" w:line="240" w:lineRule="auto"/>
            </w:pPr>
            <w:r>
              <w:rPr>
                <w:rFonts w:ascii="Noto Sans Mono CJK SC" w:hAnsi="Noto Sans Mono CJK SC" w:eastAsia="Noto Sans Mono CJK SC"/>
                <w:b w:val="0"/>
                <w:i w:val="0"/>
                <w:sz w:val="17"/>
              </w:rPr>
              <w:t>{</w:t>
            </w:r>
            <w:r>
              <w:br/>
            </w:r>
            <w:r>
              <w:rPr>
                <w:rFonts w:ascii="Noto Sans Mono CJK SC" w:hAnsi="Noto Sans Mono CJK SC" w:eastAsia="Noto Sans Mono CJK SC"/>
                <w:b w:val="0"/>
                <w:i w:val="0"/>
                <w:sz w:val="17"/>
              </w:rPr>
              <w:t xml:space="preserve">  "request_id": "REQ-20260722-000001",</w:t>
            </w:r>
            <w:r>
              <w:br/>
            </w:r>
            <w:r>
              <w:rPr>
                <w:rFonts w:ascii="Noto Sans Mono CJK SC" w:hAnsi="Noto Sans Mono CJK SC" w:eastAsia="Noto Sans Mono CJK SC"/>
                <w:b w:val="0"/>
                <w:i w:val="0"/>
                <w:sz w:val="17"/>
              </w:rPr>
              <w:t xml:space="preserve">  "employee_id": "&lt;W3不可变员工ID&gt;",</w:t>
            </w:r>
            <w:r>
              <w:br/>
            </w:r>
            <w:r>
              <w:rPr>
                <w:rFonts w:ascii="Noto Sans Mono CJK SC" w:hAnsi="Noto Sans Mono CJK SC" w:eastAsia="Noto Sans Mono CJK SC"/>
                <w:b w:val="0"/>
                <w:i w:val="0"/>
                <w:sz w:val="17"/>
              </w:rPr>
              <w:t xml:space="preserve">  "employee_type": "INTERN",</w:t>
            </w:r>
            <w:r>
              <w:br/>
            </w:r>
            <w:r>
              <w:rPr>
                <w:rFonts w:ascii="Noto Sans Mono CJK SC" w:hAnsi="Noto Sans Mono CJK SC" w:eastAsia="Noto Sans Mono CJK SC"/>
                <w:b w:val="0"/>
                <w:i w:val="0"/>
                <w:sz w:val="17"/>
              </w:rPr>
              <w:t xml:space="preserve">  "organization_ids": ["ORG-001", "ORG-001-02"],</w:t>
            </w:r>
            <w:r>
              <w:br/>
            </w:r>
            <w:r>
              <w:rPr>
                <w:rFonts w:ascii="Noto Sans Mono CJK SC" w:hAnsi="Noto Sans Mono CJK SC" w:eastAsia="Noto Sans Mono CJK SC"/>
                <w:b w:val="0"/>
                <w:i w:val="0"/>
                <w:sz w:val="17"/>
              </w:rPr>
              <w:t xml:space="preserve">  "platform_roles": ["ASKDATA_USER"],</w:t>
            </w:r>
            <w:r>
              <w:br/>
            </w:r>
            <w:r>
              <w:rPr>
                <w:rFonts w:ascii="Noto Sans Mono CJK SC" w:hAnsi="Noto Sans Mono CJK SC" w:eastAsia="Noto Sans Mono CJK SC"/>
                <w:b w:val="0"/>
                <w:i w:val="0"/>
                <w:sz w:val="17"/>
              </w:rPr>
              <w:t xml:space="preserve">  "domain_roles": {</w:t>
            </w:r>
            <w:r>
              <w:br/>
            </w:r>
            <w:r>
              <w:rPr>
                <w:rFonts w:ascii="Noto Sans Mono CJK SC" w:hAnsi="Noto Sans Mono CJK SC" w:eastAsia="Noto Sans Mono CJK SC"/>
                <w:b w:val="0"/>
                <w:i w:val="0"/>
                <w:sz w:val="17"/>
              </w:rPr>
              <w:t xml:space="preserve">    "project_operation": "PROJECT_VIEWER",</w:t>
            </w:r>
            <w:r>
              <w:br/>
            </w:r>
            <w:r>
              <w:rPr>
                <w:rFonts w:ascii="Noto Sans Mono CJK SC" w:hAnsi="Noto Sans Mono CJK SC" w:eastAsia="Noto Sans Mono CJK SC"/>
                <w:b w:val="0"/>
                <w:i w:val="0"/>
                <w:sz w:val="17"/>
              </w:rPr>
              <w:t xml:space="preserve">    "finance": "NO_ACCESS"</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"data_scopes": {</w:t>
            </w:r>
            <w:r>
              <w:br/>
            </w:r>
            <w:r>
              <w:rPr>
                <w:rFonts w:ascii="Noto Sans Mono CJK SC" w:hAnsi="Noto Sans Mono CJK SC" w:eastAsia="Noto Sans Mono CJK SC"/>
                <w:b w:val="0"/>
                <w:i w:val="0"/>
                <w:sz w:val="17"/>
              </w:rPr>
              <w:t xml:space="preserve">    "project_ids": ["P001", "P003"],</w:t>
            </w:r>
            <w:r>
              <w:br/>
            </w:r>
            <w:r>
              <w:rPr>
                <w:rFonts w:ascii="Noto Sans Mono CJK SC" w:hAnsi="Noto Sans Mono CJK SC" w:eastAsia="Noto Sans Mono CJK SC"/>
                <w:b w:val="0"/>
                <w:i w:val="0"/>
                <w:sz w:val="17"/>
              </w:rPr>
              <w:t xml:space="preserve">    "region_codes": ["CN-SOUTH"]</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"allowed_data_levels": ["L1", "L2"],</w:t>
            </w:r>
            <w:r>
              <w:br/>
            </w:r>
            <w:r>
              <w:rPr>
                <w:rFonts w:ascii="Noto Sans Mono CJK SC" w:hAnsi="Noto Sans Mono CJK SC" w:eastAsia="Noto Sans Mono CJK SC"/>
                <w:b w:val="0"/>
                <w:i w:val="0"/>
                <w:sz w:val="17"/>
              </w:rPr>
              <w:t xml:space="preserve">  "allowed_actions": ["QUERY_AGGREGATE", "VIEW_CHART"],</w:t>
            </w:r>
            <w:r>
              <w:br/>
            </w:r>
            <w:r>
              <w:rPr>
                <w:rFonts w:ascii="Noto Sans Mono CJK SC" w:hAnsi="Noto Sans Mono CJK SC" w:eastAsia="Noto Sans Mono CJK SC"/>
                <w:b w:val="0"/>
                <w:i w:val="0"/>
                <w:sz w:val="17"/>
              </w:rPr>
              <w:t xml:space="preserve">  "denied_actions": ["EXPORT_DETAIL", "VIEW_PERSONAL_DATA"],</w:t>
            </w:r>
            <w:r>
              <w:br/>
            </w:r>
            <w:r>
              <w:rPr>
                <w:rFonts w:ascii="Noto Sans Mono CJK SC" w:hAnsi="Noto Sans Mono CJK SC" w:eastAsia="Noto Sans Mono CJK SC"/>
                <w:b w:val="0"/>
                <w:i w:val="0"/>
                <w:sz w:val="17"/>
              </w:rPr>
              <w:t xml:space="preserve">  "policy_version": "authz-v12"</w:t>
            </w:r>
            <w:r>
              <w:br/>
            </w:r>
            <w:r>
              <w:rPr>
                <w:rFonts w:ascii="Noto Sans Mono CJK SC" w:hAnsi="Noto Sans Mono CJK SC" w:eastAsia="Noto Sans Mono CJK SC"/>
                <w:b w:val="0"/>
                <w:i w:val="0"/>
                <w:sz w:val="17"/>
              </w:rPr>
              <w:t>}</w:t>
            </w:r>
          </w:p>
        </w:tc>
      </w:tr>
    </w:tbl>
    <w:p>
      <w:pPr>
        <w:spacing w:after="40"/>
      </w:pPr>
    </w:p>
    <w:p>
      <w:pPr>
        <w:pStyle w:val="Heading1"/>
        <w:keepNext/>
      </w:pPr>
      <w:r>
        <w:t>附录 B. 示例 QueryPlan</w:t>
      </w:r>
    </w:p>
    <w:tbl>
      <w:tblPr>
        <w:tblW w:type="auto" w:w="0"/>
        <w:jc w:val="center"/>
        <w:tblLayout w:type="fixed"/>
        <w:tblLook w:firstColumn="1" w:firstRow="1" w:lastColumn="0" w:lastRow="0" w:noHBand="0" w:noVBand="1" w:val="04A0"/>
      </w:tblPr>
      <w:tblGrid>
        <w:gridCol w:w="9638"/>
      </w:tblGrid>
      <w:tr>
        <w:tc>
          <w:tcPr>
            <w:tcW w:type="dxa" w:w="9071"/>
            <w:shd w:fill="F7F7F7"/>
            <w:tcBorders>
              <w:top w:val="single" w:sz="6" w:color="A6A6A6"/>
              <w:left w:val="single" w:sz="6" w:color="A6A6A6"/>
              <w:bottom w:val="single" w:sz="6" w:color="A6A6A6"/>
              <w:right w:val="single" w:sz="6" w:color="A6A6A6"/>
            </w:tcBorders>
            <w:tcMar>
              <w:top w:w="100" w:type="dxa"/>
              <w:start w:w="140" w:type="dxa"/>
              <w:bottom w:w="100" w:type="dxa"/>
              <w:end w:w="140" w:type="dxa"/>
            </w:tcMar>
          </w:tcPr>
          <w:p>
            <w:pPr>
              <w:spacing w:after="0" w:line="240" w:lineRule="auto"/>
            </w:pPr>
            <w:r>
              <w:rPr>
                <w:rFonts w:ascii="Noto Sans Mono CJK SC" w:hAnsi="Noto Sans Mono CJK SC" w:eastAsia="Noto Sans Mono CJK SC"/>
                <w:b w:val="0"/>
                <w:i w:val="0"/>
                <w:sz w:val="17"/>
              </w:rPr>
              <w:t>{</w:t>
            </w:r>
            <w:r>
              <w:br/>
            </w:r>
            <w:r>
              <w:rPr>
                <w:rFonts w:ascii="Noto Sans Mono CJK SC" w:hAnsi="Noto Sans Mono CJK SC" w:eastAsia="Noto Sans Mono CJK SC"/>
                <w:b w:val="0"/>
                <w:i w:val="0"/>
                <w:sz w:val="17"/>
              </w:rPr>
              <w:t xml:space="preserve">  "domain": "project_operation",</w:t>
            </w:r>
            <w:r>
              <w:br/>
            </w:r>
            <w:r>
              <w:rPr>
                <w:rFonts w:ascii="Noto Sans Mono CJK SC" w:hAnsi="Noto Sans Mono CJK SC" w:eastAsia="Noto Sans Mono CJK SC"/>
                <w:b w:val="0"/>
                <w:i w:val="0"/>
                <w:sz w:val="17"/>
              </w:rPr>
              <w:t xml:space="preserve">  "metrics": [</w:t>
            </w:r>
            <w:r>
              <w:br/>
            </w:r>
            <w:r>
              <w:rPr>
                <w:rFonts w:ascii="Noto Sans Mono CJK SC" w:hAnsi="Noto Sans Mono CJK SC" w:eastAsia="Noto Sans Mono CJK SC"/>
                <w:b w:val="0"/>
                <w:i w:val="0"/>
                <w:sz w:val="17"/>
              </w:rPr>
              <w:t xml:space="preserve">    {"name": "on_time_delivery_rate", "calculation": "value"},</w:t>
            </w:r>
            <w:r>
              <w:br/>
            </w:r>
            <w:r>
              <w:rPr>
                <w:rFonts w:ascii="Noto Sans Mono CJK SC" w:hAnsi="Noto Sans Mono CJK SC" w:eastAsia="Noto Sans Mono CJK SC"/>
                <w:b w:val="0"/>
                <w:i w:val="0"/>
                <w:sz w:val="17"/>
              </w:rPr>
              <w:t xml:space="preserve">    {"name": "on_time_delivery_rate", "calculation": "year_over_year"}</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"dimensions": [</w:t>
            </w:r>
            <w:r>
              <w:br/>
            </w:r>
            <w:r>
              <w:rPr>
                <w:rFonts w:ascii="Noto Sans Mono CJK SC" w:hAnsi="Noto Sans Mono CJK SC" w:eastAsia="Noto Sans Mono CJK SC"/>
                <w:b w:val="0"/>
                <w:i w:val="0"/>
                <w:sz w:val="17"/>
              </w:rPr>
              <w:t xml:space="preserve">    {"name": "project"},</w:t>
            </w:r>
            <w:r>
              <w:br/>
            </w:r>
            <w:r>
              <w:rPr>
                <w:rFonts w:ascii="Noto Sans Mono CJK SC" w:hAnsi="Noto Sans Mono CJK SC" w:eastAsia="Noto Sans Mono CJK SC"/>
                <w:b w:val="0"/>
                <w:i w:val="0"/>
                <w:sz w:val="17"/>
              </w:rPr>
              <w:t xml:space="preserve">    {"name": "month", "granularity": "month"}</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"time_range": {"type": "current_year"},</w:t>
            </w:r>
            <w:r>
              <w:br/>
            </w:r>
            <w:r>
              <w:rPr>
                <w:rFonts w:ascii="Noto Sans Mono CJK SC" w:hAnsi="Noto Sans Mono CJK SC" w:eastAsia="Noto Sans Mono CJK SC"/>
                <w:b w:val="0"/>
                <w:i w:val="0"/>
                <w:sz w:val="17"/>
              </w:rPr>
              <w:t xml:space="preserve">  "filters": [</w:t>
            </w:r>
            <w:r>
              <w:br/>
            </w:r>
            <w:r>
              <w:rPr>
                <w:rFonts w:ascii="Noto Sans Mono CJK SC" w:hAnsi="Noto Sans Mono CJK SC" w:eastAsia="Noto Sans Mono CJK SC"/>
                <w:b w:val="0"/>
                <w:i w:val="0"/>
                <w:sz w:val="17"/>
              </w:rPr>
              <w:t xml:space="preserve">    {"field": "project", "operator": "in_authorized_scope"}</w:t>
            </w:r>
            <w:r>
              <w:br/>
            </w:r>
            <w:r>
              <w:rPr>
                <w:rFonts w:ascii="Noto Sans Mono CJK SC" w:hAnsi="Noto Sans Mono CJK SC" w:eastAsia="Noto Sans Mono CJK SC"/>
                <w:b w:val="0"/>
                <w:i w:val="0"/>
                <w:sz w:val="17"/>
              </w:rPr>
              <w:t xml:space="preserve">  ],</w:t>
            </w:r>
            <w:r>
              <w:br/>
            </w:r>
            <w:r>
              <w:rPr>
                <w:rFonts w:ascii="Noto Sans Mono CJK SC" w:hAnsi="Noto Sans Mono CJK SC" w:eastAsia="Noto Sans Mono CJK SC"/>
                <w:b w:val="0"/>
                <w:i w:val="0"/>
                <w:sz w:val="17"/>
              </w:rPr>
              <w:t xml:space="preserve">  "analysis": ["trend", "largest_negative_change"],</w:t>
            </w:r>
            <w:r>
              <w:br/>
            </w:r>
            <w:r>
              <w:rPr>
                <w:rFonts w:ascii="Noto Sans Mono CJK SC" w:hAnsi="Noto Sans Mono CJK SC" w:eastAsia="Noto Sans Mono CJK SC"/>
                <w:b w:val="0"/>
                <w:i w:val="0"/>
                <w:sz w:val="17"/>
              </w:rPr>
              <w:t xml:space="preserve">  "sort": [{"field": "month", "direction": "asc"}],</w:t>
            </w:r>
            <w:r>
              <w:br/>
            </w:r>
            <w:r>
              <w:rPr>
                <w:rFonts w:ascii="Noto Sans Mono CJK SC" w:hAnsi="Noto Sans Mono CJK SC" w:eastAsia="Noto Sans Mono CJK SC"/>
                <w:b w:val="0"/>
                <w:i w:val="0"/>
                <w:sz w:val="17"/>
              </w:rPr>
              <w:t xml:space="preserve">  "limit": 500,</w:t>
            </w:r>
            <w:r>
              <w:br/>
            </w:r>
            <w:r>
              <w:rPr>
                <w:rFonts w:ascii="Noto Sans Mono CJK SC" w:hAnsi="Noto Sans Mono CJK SC" w:eastAsia="Noto Sans Mono CJK SC"/>
                <w:b w:val="0"/>
                <w:i w:val="0"/>
                <w:sz w:val="17"/>
              </w:rPr>
              <w:t xml:space="preserve">  "visualization": "line_chart",</w:t>
            </w:r>
            <w:r>
              <w:br/>
            </w:r>
            <w:r>
              <w:rPr>
                <w:rFonts w:ascii="Noto Sans Mono CJK SC" w:hAnsi="Noto Sans Mono CJK SC" w:eastAsia="Noto Sans Mono CJK SC"/>
                <w:b w:val="0"/>
                <w:i w:val="0"/>
                <w:sz w:val="17"/>
              </w:rPr>
              <w:t xml:space="preserve">  "semantic_version": "project-domain-v12"</w:t>
            </w:r>
            <w:r>
              <w:br/>
            </w:r>
            <w:r>
              <w:rPr>
                <w:rFonts w:ascii="Noto Sans Mono CJK SC" w:hAnsi="Noto Sans Mono CJK SC" w:eastAsia="Noto Sans Mono CJK SC"/>
                <w:b w:val="0"/>
                <w:i w:val="0"/>
                <w:sz w:val="17"/>
              </w:rPr>
              <w:t>}</w:t>
            </w:r>
          </w:p>
        </w:tc>
      </w:tr>
    </w:tbl>
    <w:p>
      <w:pPr>
        <w:spacing w:after="40"/>
      </w:pPr>
    </w:p>
    <w:p>
      <w:pPr>
        <w:pStyle w:val="Heading1"/>
        <w:keepNext/>
      </w:pPr>
      <w:r>
        <w:t>附录 C. 上线检查清单</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361"/>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检查项</w:t>
            </w:r>
          </w:p>
        </w:tc>
        <w:tc>
          <w:tcPr>
            <w:tcW w:type="dxa" w:w="6520"/>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验收内容</w:t>
            </w:r>
          </w:p>
        </w:tc>
        <w:tc>
          <w:tcPr>
            <w:tcW w:type="dxa" w:w="1134"/>
            <w:shd w:fill="D9D9D9"/>
            <w:vAlign w:val="center"/>
            <w:tcMar>
              <w:top w:w="70" w:type="dxa"/>
              <w:start w:w="70" w:type="dxa"/>
              <w:bottom w:w="70" w:type="dxa"/>
              <w:end w:w="70" w:type="dxa"/>
            </w:tcMar>
          </w:tcPr>
          <w:p>
            <w:pPr>
              <w:spacing w:after="0"/>
              <w:jc w:val="center"/>
            </w:pPr>
            <w:r>
              <w:rPr>
                <w:rFonts w:ascii="Noto Sans CJK SC" w:hAnsi="Noto Sans CJK SC" w:eastAsia="Noto Sans CJK SC"/>
                <w:b/>
                <w:i w:val="0"/>
                <w:sz w:val="18"/>
              </w:rPr>
              <w:t>状态</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身份</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W3 Unipoortal 生产 Client、回调地址、证书/JWK、组织属性、登出和账号冻结验证完成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权限</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RBAC/ABAC、行列、敏感级别、缓存隔离和导出权限测试通过</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数据</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核心指标对账、更新时间、质量规则、数据负责人签字</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语义</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指标/维度/Join/同义词版本发布并可回滚</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查询</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SQL 安全只读/白名单/权限改写生效；Query Proxy、Trino/数仓服务、超时、LIMIT、缓存隔离和审计验证完成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AI</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本地 Qwen、模型网关、Prompt、Embedding、Rerank 版本固定；结构化输出与降级路径验证</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评测</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核心Benchmark、越权集、攻击集、回归集全部通过</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网络</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内网域名、负载均衡/WAF、API Gateway、ACL、mTLS、零信任与堡垒机验证完成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监控</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W3、Qwen、Query Proxy、查询引擎、数据源、审计与安全告警已配置</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发布</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灰度、回滚、备份、数据库迁移、值守和应急联系人确认</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r>
        <w:tc>
          <w:tcPr>
            <w:tcW w:type="dxa" w:w="1361"/>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文档</w:t>
            </w:r>
          </w:p>
        </w:tc>
        <w:tc>
          <w:tcPr>
            <w:tcW w:type="dxa" w:w="6520"/>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用户手册、管理员手册、运维手册和培训材料完成</w:t>
            </w:r>
          </w:p>
        </w:tc>
        <w:tc>
          <w:tcPr>
            <w:tcW w:type="dxa" w:w="1134"/>
            <w:vAlign w:val="center"/>
            <w:tcMar>
              <w:top w:w="70" w:type="dxa"/>
              <w:start w:w="70" w:type="dxa"/>
              <w:bottom w:w="70" w:type="dxa"/>
              <w:end w:w="70" w:type="dxa"/>
            </w:tcMar>
          </w:tcPr>
          <w:p>
            <w:pPr>
              <w:spacing w:after="0" w:line="264" w:lineRule="auto"/>
            </w:pPr>
            <w:r>
              <w:rPr>
                <w:rFonts w:ascii="Noto Sans CJK SC" w:hAnsi="Noto Sans CJK SC" w:eastAsia="Noto Sans CJK SC"/>
                <w:b w:val="0"/>
                <w:i w:val="0"/>
                <w:sz w:val="18"/>
              </w:rPr>
              <w:t>□ 未确认</w:t>
            </w:r>
          </w:p>
        </w:tc>
      </w:tr>
    </w:tbl>
    <w:p>
      <w:pPr>
        <w:spacing w:after="40"/>
      </w:pPr>
    </w:p>
    <w:p>
      <w:pPr>
        <w:spacing w:before="360"/>
        <w:jc w:val="center"/>
      </w:pPr>
      <w:r>
        <w:rPr>
          <w:rFonts w:ascii="Noto Sans CJK SC" w:hAnsi="Noto Sans CJK SC" w:eastAsia="Noto Sans CJK SC"/>
          <w:b/>
          <w:i w:val="0"/>
          <w:sz w:val="20"/>
        </w:rPr>
        <w:t>—— 文档结束 ——</w:t>
      </w:r>
    </w:p>
    <w:sectPr w:rsidR="00FC693F" w:rsidRPr="0006063C" w:rsidSect="00034616">
      <w:headerReference w:type="default" r:id="rId14"/>
      <w:footerReference w:type="default" r:id="rId15"/>
      <w:pgSz w:w="11906" w:h="16838"/>
      <w:pgMar w:top="1020" w:right="1134" w:bottom="907"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b w:val="0"/>
        <w:i w:val="0"/>
        <w:sz w:val="17"/>
      </w:rPr>
      <w:t>AIDataSmartRequest 落地实施方案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b w:val="0"/>
        <w:i w:val="0"/>
        <w:sz w:val="17"/>
      </w:rPr>
      <w:t>AIDataSmartRequest 落地实施方案</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SC" w:hAnsi="Noto Sans CJK SC" w:eastAsia="Noto Sans CJK SC"/>
        <w:b w:val="0"/>
        <w:i w:val="0"/>
        <w:sz w:val="17"/>
      </w:rPr>
      <w:t>AIDataSmartRequest 落地实施方案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CJK SC" w:hAnsi="Noto Sans CJK SC"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3" w:right="283"/>
    </w:pPr>
    <w:rPr>
      <w:rFonts w:ascii="Noto Sans Mono CJK SC" w:hAnsi="Noto Sans Mono CJK SC" w:eastAsia="Noto Sans Mono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AIDataSmartRequest 华为内部 AI 智能问数平台落地实施方案</dc:title>
  <dc:subject>基于新版总体架构的落地实施方案 V1.1</dc:subject>
  <dc:creator>OpenAI</dc:creator>
  <cp:keywords>W3 Unipoortal, Qwen, Query Proxy, Trino, 企业语义层, SQL安全, 智能问数</cp:keywords>
  <dc:description>依据华为 AI 智能问数平台总体架构图修订。</dc:description>
  <cp:lastModifiedBy/>
  <cp:revision>1</cp:revision>
  <dcterms:created xsi:type="dcterms:W3CDTF">2013-12-23T23:15:00Z</dcterms:created>
  <dcterms:modified xsi:type="dcterms:W3CDTF">2013-12-23T23:15:00Z</dcterms:modified>
  <cp:category/>
</cp:coreProperties>
</file>