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94F9A">
      <w:r>
        <w:rPr>
          <w:rFonts w:hint="eastAsia"/>
        </w:rPr>
        <w:t>渲染管线的流程</w:t>
      </w:r>
    </w:p>
    <w:p w14:paraId="133914F1">
      <w:r>
        <w:rPr>
          <w:rFonts w:hint="eastAsia"/>
        </w:rPr>
        <w:drawing>
          <wp:inline distT="0" distB="0" distL="114300" distR="114300">
            <wp:extent cx="4790440" cy="2373630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D98A"/>
    <w:p w14:paraId="302D414F">
      <w:r>
        <w:fldChar w:fldCharType="begin"/>
      </w:r>
      <w:r>
        <w:instrText xml:space="preserve"> HYPERLINK "https://docs.unity.cn/cn/2020.3/Manual/render-pipelines.html" </w:instrText>
      </w:r>
      <w:r>
        <w:fldChar w:fldCharType="separate"/>
      </w:r>
      <w:r>
        <w:rPr>
          <w:rFonts w:hint="eastAsia"/>
        </w:rPr>
        <w:t>渲染管线</w:t>
      </w:r>
      <w:r>
        <w:rPr>
          <w:rFonts w:hint="eastAsia"/>
        </w:rPr>
        <w:fldChar w:fldCharType="end"/>
      </w:r>
      <w:r>
        <w:rPr>
          <w:rFonts w:hint="eastAsia"/>
        </w:rPr>
        <w:t>确定场景中对象的显示方式，分为三个主要阶段。</w:t>
      </w:r>
    </w:p>
    <w:p w14:paraId="77DFA9B4">
      <w:r>
        <w:rPr>
          <w:rFonts w:hint="eastAsia"/>
        </w:rPr>
        <w:tab/>
      </w:r>
      <w:r>
        <w:rPr>
          <w:rFonts w:hint="eastAsia"/>
        </w:rPr>
        <w:t>第一步是剔除；它列出了需要渲染的对象，最好是那些对摄像机可见的对象（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"https://docs.unity.cn/Manual/UnderstandingFrustum.html" </w:instrText>
      </w:r>
      <w:r>
        <w:rPr>
          <w:rFonts w:hint="eastAsia"/>
        </w:rPr>
        <w:fldChar w:fldCharType="separate"/>
      </w:r>
      <w:r>
        <w:rPr>
          <w:rFonts w:hint="eastAsia"/>
        </w:rPr>
        <w:t>视锥体剔除</w:t>
      </w:r>
      <w:r>
        <w:rPr>
          <w:rFonts w:hint="eastAsia"/>
        </w:rPr>
        <w:fldChar w:fldCharType="end"/>
      </w:r>
      <w:r>
        <w:rPr>
          <w:rFonts w:hint="eastAsia"/>
        </w:rPr>
        <w:t>）和其他对象不遮挡的对象（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"https://docs.unity.cn/Manual/OcclusionCulling.html" </w:instrText>
      </w:r>
      <w:r>
        <w:rPr>
          <w:rFonts w:hint="eastAsia"/>
        </w:rPr>
        <w:fldChar w:fldCharType="separate"/>
      </w:r>
      <w:r>
        <w:rPr>
          <w:rFonts w:hint="eastAsia"/>
        </w:rPr>
        <w:t>遮挡剔除</w:t>
      </w:r>
      <w:r>
        <w:rPr>
          <w:rFonts w:hint="eastAsia"/>
        </w:rPr>
        <w:fldChar w:fldCharType="end"/>
      </w:r>
      <w:r>
        <w:rPr>
          <w:rFonts w:hint="eastAsia"/>
        </w:rPr>
        <w:t>）。</w:t>
      </w:r>
    </w:p>
    <w:p w14:paraId="25C268AA">
      <w:r>
        <w:rPr>
          <w:rFonts w:hint="eastAsia"/>
        </w:rPr>
        <w:tab/>
      </w:r>
      <w:r>
        <w:rPr>
          <w:rFonts w:hint="eastAsia"/>
        </w:rPr>
        <w:t>第二个阶段渲染是指将这些对象绘制到基于像素的缓冲区中（通过正确的光照以及它们的一些属性）。</w:t>
      </w:r>
    </w:p>
    <w:p w14:paraId="6756BF13">
      <w:r>
        <w:rPr>
          <w:rFonts w:hint="eastAsia"/>
        </w:rPr>
        <w:tab/>
      </w:r>
      <w:r>
        <w:rPr>
          <w:rFonts w:hint="eastAsia"/>
        </w:rPr>
        <w:t>最后，可以在这些缓冲区上执行后期处理操作，例如，应用颜色分级、泛光和景深，从而生成发送到显示设备的最终输出帧。</w:t>
      </w:r>
    </w:p>
    <w:p w14:paraId="14A4C3E7"/>
    <w:p w14:paraId="7F549E84">
      <w:r>
        <w:rPr>
          <w:rFonts w:hint="eastAsia"/>
        </w:rPr>
        <w:t>主要是顶点着色器和片段着色器</w:t>
      </w:r>
    </w:p>
    <w:p w14:paraId="11B43A34"/>
    <w:p w14:paraId="48682C46">
      <w:pPr>
        <w:rPr>
          <w:rFonts w:ascii="宋体" w:hAnsi="宋体" w:cs="宋体"/>
        </w:rPr>
      </w:pPr>
      <w:r>
        <w:fldChar w:fldCharType="begin"/>
      </w:r>
      <w:r>
        <w:instrText xml:space="preserve"> HYPERLINK "https://docs.unity.cn/cn/2020.3/Manual/BestPracticeLightingPipelines.html" </w:instrText>
      </w:r>
      <w:r>
        <w:fldChar w:fldCharType="separate"/>
      </w:r>
      <w:r>
        <w:rPr>
          <w:rStyle w:val="5"/>
          <w:rFonts w:ascii="宋体" w:hAnsi="宋体" w:cs="宋体"/>
        </w:rPr>
        <w:t>选择和配置渲染管线和光照解决方案 - Unity 手册</w:t>
      </w:r>
      <w:r>
        <w:rPr>
          <w:rStyle w:val="5"/>
          <w:rFonts w:ascii="宋体" w:hAnsi="宋体" w:cs="宋体"/>
        </w:rPr>
        <w:fldChar w:fldCharType="end"/>
      </w:r>
    </w:p>
    <w:p w14:paraId="54E24744">
      <w:pPr>
        <w:rPr>
          <w:rFonts w:ascii="宋体" w:hAnsi="宋体" w:cs="宋体"/>
        </w:rPr>
      </w:pPr>
    </w:p>
    <w:p w14:paraId="19DC7363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着色器是在图形处理单元 (GPU) 上运行的程序或程序集合的通用名称。</w:t>
      </w:r>
    </w:p>
    <w:p w14:paraId="758588B0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计算着色器：计算着色器允许程序员利用 GPU 的大量并行处理能力，用于任何类型的数学运算，如光照剔除、粒子物理或体积模拟。</w:t>
      </w:r>
    </w:p>
    <w:p w14:paraId="4721ED0B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前向渲染根据影响对象的光源在一个或多个通道中渲染每个对象。光源本身也可以通过前向渲染进行不同的处理，具体取决于它们的设置和强度。</w:t>
      </w:r>
    </w:p>
    <w:p w14:paraId="4017F214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帧率：每秒的帧数，等于帧数/时间</w:t>
      </w:r>
    </w:p>
    <w:p w14:paraId="45DFBADB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Shader语言</w:t>
      </w:r>
    </w:p>
    <w:p w14:paraId="5CD9F488"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- HLSL：基于DirectX的High Level Shading Language</w:t>
      </w:r>
    </w:p>
    <w:p w14:paraId="17CCC5A8"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- GLSL：基于OpenGL的OpenGL Shading Language</w:t>
      </w:r>
    </w:p>
    <w:p w14:paraId="519EBBEC"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- CG：NVIDIA（英伟达）公司的C for Graphic，更底层，和HLSL差不多</w:t>
      </w:r>
    </w:p>
    <w:p w14:paraId="294CBB89">
      <w:pPr>
        <w:ind w:firstLine="420"/>
        <w:rPr>
          <w:rFonts w:ascii="宋体" w:hAnsi="宋体" w:cs="宋体"/>
        </w:rPr>
      </w:pPr>
    </w:p>
    <w:p w14:paraId="786FB84B"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Unity用HLSL、CG或基本的GLSL</w:t>
      </w:r>
    </w:p>
    <w:p w14:paraId="567C9168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GPU计算不依赖其他类型数据，且独立运算快（控制弱，计算强）</w:t>
      </w:r>
    </w:p>
    <w:p w14:paraId="79C955E3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hint="eastAsia" w:ascii="宋体" w:hAnsi="宋体" w:cs="宋体"/>
        </w:rPr>
        <w:t>Unity中的坐标系：</w:t>
      </w:r>
    </w:p>
    <w:p w14:paraId="7CEA44E0"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- local：左手系，受对象rotation影响</w:t>
      </w:r>
    </w:p>
    <w:p w14:paraId="387C0920"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- global：左手系，全局的，不受对象rotation影响</w:t>
      </w:r>
    </w:p>
    <w:p w14:paraId="0859954E"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- view port：右手系，原点摄像机位置，z为镜头之后</w:t>
      </w:r>
    </w:p>
    <w:p w14:paraId="3764FCFA"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- screen：左手系，左下角是原点，→x，上y</w:t>
      </w:r>
    </w:p>
    <w:p w14:paraId="613FD9B5">
      <w:pPr>
        <w:rPr>
          <w:rFonts w:ascii="宋体" w:hAnsi="宋体" w:cs="宋体"/>
        </w:rPr>
      </w:pPr>
      <w:r>
        <w:rPr>
          <w:rFonts w:ascii="宋体" w:hAnsi="宋体" w:cs="宋体"/>
        </w:rPr>
        <w:t>7. 光栅化</w:t>
      </w:r>
      <w:r>
        <w:rPr>
          <w:rFonts w:hint="eastAsia" w:ascii="宋体" w:hAnsi="宋体" w:cs="宋体"/>
        </w:rPr>
        <w:t>：</w:t>
      </w:r>
      <w:r>
        <w:rPr>
          <w:rFonts w:ascii="宋体" w:hAnsi="宋体" w:cs="宋体"/>
        </w:rPr>
        <w:t>像素中心是否在三角形内</w:t>
      </w:r>
    </w:p>
    <w:p w14:paraId="1E3436CF">
      <w:pPr>
        <w:rPr>
          <w:rFonts w:ascii="宋体" w:hAnsi="宋体" w:cs="宋体"/>
        </w:rPr>
      </w:pPr>
      <w:r>
        <w:rPr>
          <w:rFonts w:ascii="宋体" w:hAnsi="宋体" w:cs="宋体"/>
        </w:rPr>
        <w:t>点是否在矩阵内</w:t>
      </w:r>
      <w:r>
        <w:rPr>
          <w:rFonts w:hint="eastAsia" w:ascii="宋体" w:hAnsi="宋体" w:cs="宋体"/>
        </w:rPr>
        <w:t>：x</w:t>
      </w:r>
      <w:r>
        <w:rPr>
          <w:rFonts w:ascii="宋体" w:hAnsi="宋体" w:cs="宋体"/>
        </w:rPr>
        <w:t>Min &lt;= x &lt; xMax &amp;&amp; yMin &lt;=y &lt; yMax</w:t>
      </w:r>
    </w:p>
    <w:p w14:paraId="78395063">
      <w:pPr>
        <w:rPr>
          <w:rFonts w:ascii="宋体" w:hAnsi="宋体" w:cs="宋体"/>
        </w:rPr>
      </w:pPr>
    </w:p>
    <w:p w14:paraId="7E81E874"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</w:rPr>
      </w:pPr>
      <w:r>
        <w:rPr>
          <w:rFonts w:ascii="宋体" w:hAnsi="宋体" w:cs="宋体"/>
        </w:rPr>
        <w:t>Unity内的Tex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ascii="宋体" w:hAnsi="宋体" w:cs="宋体"/>
        </w:rPr>
        <w:t>Normal: 最高</w:t>
      </w:r>
      <w:r>
        <w:rPr>
          <w:rFonts w:hint="eastAsia" w:ascii="宋体" w:hAnsi="宋体" w:cs="宋体"/>
        </w:rPr>
        <w:t xml:space="preserve"> </w:t>
      </w:r>
      <w:r>
        <w:rPr>
          <w:rFonts w:ascii="宋体" w:hAnsi="宋体" w:cs="宋体"/>
        </w:rPr>
        <w:t xml:space="preserve">   MainTex</w:t>
      </w:r>
      <w:r>
        <w:rPr>
          <w:rFonts w:hint="eastAsia" w:ascii="宋体" w:hAnsi="宋体" w:cs="宋体"/>
        </w:rPr>
        <w:t>：</w:t>
      </w:r>
      <w:r>
        <w:rPr>
          <w:rFonts w:ascii="宋体" w:hAnsi="宋体" w:cs="宋体"/>
        </w:rPr>
        <w:t>中等</w:t>
      </w:r>
      <w:r>
        <w:rPr>
          <w:rFonts w:hint="eastAsia" w:ascii="宋体" w:hAnsi="宋体" w:cs="宋体"/>
        </w:rPr>
        <w:t xml:space="preserve"> </w:t>
      </w:r>
      <w:r>
        <w:rPr>
          <w:rFonts w:ascii="宋体" w:hAnsi="宋体" w:cs="宋体"/>
        </w:rPr>
        <w:t xml:space="preserve">  Emit</w:t>
      </w:r>
      <w:r>
        <w:rPr>
          <w:rFonts w:hint="eastAsia" w:ascii="宋体" w:hAnsi="宋体" w:cs="宋体"/>
        </w:rPr>
        <w:t>：最低</w:t>
      </w:r>
    </w:p>
    <w:p w14:paraId="0EE52E33"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sRGB是人眼看的才开启（基本纹理、UI），像法线（Normal、紫、细节）、高度（形变）、反射（发光）、粗糙度这些不用开启。</w:t>
      </w:r>
    </w:p>
    <w:p w14:paraId="6F6E0833"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color w:val="0000FF"/>
          <w:lang w:val="en-US" w:eastAsia="zh-CN"/>
        </w:rPr>
        <w:t>UE贴图类型</w:t>
      </w:r>
      <w:r>
        <w:rPr>
          <w:rFonts w:hint="eastAsia" w:ascii="宋体" w:hAnsi="宋体" w:cs="宋体"/>
          <w:lang w:val="en-US" w:eastAsia="zh-CN"/>
        </w:rPr>
        <w:t>：SRGB的会标注，没有就不开     （连线的节点）</w:t>
      </w:r>
    </w:p>
    <w:p w14:paraId="7A670F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0" w:right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使用2的幂次方尺寸的</w:t>
      </w:r>
      <w:r>
        <w:rPr>
          <w:rFonts w:hint="eastAsia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ascii="Arial" w:hAnsi="Arial" w:eastAsia="宋体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有助于生成Mipmap并进行流送</w:t>
      </w:r>
      <w:r>
        <w:rPr>
          <w:rFonts w:hint="default" w:ascii="Arial" w:hAnsi="Arial" w:eastAsia="宋体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。</w:t>
      </w:r>
    </w:p>
    <w:p w14:paraId="47CFEF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default" w:eastAsia="宋体"/>
          <w:b/>
          <w:bCs/>
          <w:lang w:val="en-US" w:eastAsia="zh-CN"/>
        </w:rPr>
      </w:pPr>
      <w:r>
        <w:rPr>
          <w:rFonts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基础颜色贴图（Base Color）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SRGB     Diffuse、BaseColor、Albedo、D、BC</w:t>
      </w:r>
    </w:p>
    <w:p w14:paraId="7C6013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0" w:right="0"/>
        <w:jc w:val="left"/>
        <w:rPr>
          <w:rFonts w:hint="eastAsia" w:eastAsia="宋体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基础颜色贴图定义了物体在无光照情况下的颜色。它储存了非导体的漫反射色和金属导体的镜面反射值。</w:t>
      </w:r>
      <w:r>
        <w:rPr>
          <w:rFonts w:hint="eastAsia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使用RGB</w:t>
      </w:r>
      <w:r>
        <w:rPr>
          <w:rFonts w:hint="eastAsia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）</w:t>
      </w:r>
    </w:p>
    <w:p w14:paraId="0E095D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法线贴图（Normal Map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紫色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）</w:t>
      </w:r>
    </w:p>
    <w:p w14:paraId="172270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0" w:right="0"/>
        <w:jc w:val="left"/>
        <w:rPr>
          <w:rFonts w:hint="default" w:eastAsia="宋体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法线贴图用于增加表面的细节，使其看起来更加立体。它通过影响模型表面的阴影来表达凹凸效果。</w:t>
      </w:r>
      <w:r>
        <w:rPr>
          <w:rFonts w:hint="eastAsia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(使用RGB)</w:t>
      </w:r>
    </w:p>
    <w:p w14:paraId="58457D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高光贴图（Specular Map）</w:t>
      </w:r>
    </w:p>
    <w:p w14:paraId="047CBE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0" w:right="0"/>
        <w:jc w:val="left"/>
      </w:pP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高光贴图用于表现光线照射到模型表面时的反射属性，从而区分不同材质的反光程度。</w:t>
      </w:r>
    </w:p>
    <w:p w14:paraId="495E54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/>
        <w:jc w:val="left"/>
        <w:rPr>
          <w:rFonts w:hint="default" w:eastAsia="宋体"/>
          <w:b/>
          <w:bCs/>
          <w:lang w:val="en-US" w:eastAsia="zh-CN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粗糙度贴图（Roughness Map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灰色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）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 w14:paraId="4BD4F1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30" w:lineRule="atLeast"/>
        <w:ind w:left="0" w:right="0"/>
        <w:jc w:val="left"/>
        <w:rPr>
          <w:rFonts w:hint="eastAsia" w:ascii="Arial" w:hAnsi="Arial" w:eastAsia="宋体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粗糙度贴图使用黑白颜色来定义材质的粗糙度。白色表示完全粗糙，黑色表示光滑。</w:t>
      </w:r>
      <w:r>
        <w:rPr>
          <w:rFonts w:hint="eastAsia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  <w:t>使用R/G/B</w:t>
      </w:r>
      <w:r>
        <w:rPr>
          <w:rFonts w:hint="eastAsia" w:ascii="Arial" w:hAnsi="Arial" w:cs="Arial"/>
          <w:i w:val="0"/>
          <w:iCs w:val="0"/>
          <w:caps w:val="0"/>
          <w:color w:val="111111"/>
          <w:spacing w:val="0"/>
          <w:sz w:val="21"/>
          <w:szCs w:val="21"/>
          <w:shd w:val="clear" w:fill="FFFFFF"/>
          <w:lang w:eastAsia="zh-CN"/>
        </w:rPr>
        <w:t>）</w:t>
      </w:r>
    </w:p>
    <w:p w14:paraId="7F58146B"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cs="宋体"/>
        </w:rPr>
      </w:pPr>
      <w:bookmarkStart w:id="0" w:name="_GoBack"/>
      <w:bookmarkEnd w:id="0"/>
    </w:p>
    <w:p w14:paraId="0F60AFF7">
      <w:pPr>
        <w:rPr>
          <w:rFonts w:ascii="宋体" w:hAnsi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0A742F"/>
    <w:multiLevelType w:val="singleLevel"/>
    <w:tmpl w:val="330A74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mZDg1NTRhNjI2NmM2OTNjMWM1YTM3YTYxNzYwODIifQ=="/>
  </w:docVars>
  <w:rsids>
    <w:rsidRoot w:val="004C5B93"/>
    <w:rsid w:val="0003359C"/>
    <w:rsid w:val="004C5B93"/>
    <w:rsid w:val="005E32C7"/>
    <w:rsid w:val="006011E4"/>
    <w:rsid w:val="00B323C3"/>
    <w:rsid w:val="00FB34C6"/>
    <w:rsid w:val="098D4F60"/>
    <w:rsid w:val="1AC15A62"/>
    <w:rsid w:val="1B0D58DA"/>
    <w:rsid w:val="1F017CD7"/>
    <w:rsid w:val="1F94083D"/>
    <w:rsid w:val="28AE16CA"/>
    <w:rsid w:val="2ECD62BB"/>
    <w:rsid w:val="3D2F09DD"/>
    <w:rsid w:val="3F512FA9"/>
    <w:rsid w:val="407056B1"/>
    <w:rsid w:val="435A7F52"/>
    <w:rsid w:val="479E0D55"/>
    <w:rsid w:val="4C43243E"/>
    <w:rsid w:val="4D2E027D"/>
    <w:rsid w:val="4D63013C"/>
    <w:rsid w:val="50F812E1"/>
    <w:rsid w:val="5F78276B"/>
    <w:rsid w:val="63821678"/>
    <w:rsid w:val="63892462"/>
    <w:rsid w:val="6882452D"/>
    <w:rsid w:val="6C0920D4"/>
    <w:rsid w:val="6E4B4EE4"/>
    <w:rsid w:val="703805D0"/>
    <w:rsid w:val="77DA078C"/>
    <w:rsid w:val="786E55A1"/>
    <w:rsid w:val="799303AB"/>
    <w:rsid w:val="79B0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610</Words>
  <Characters>800</Characters>
  <Lines>8</Lines>
  <Paragraphs>2</Paragraphs>
  <TotalTime>0</TotalTime>
  <ScaleCrop>false</ScaleCrop>
  <LinksUpToDate>false</LinksUpToDate>
  <CharactersWithSpaces>845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2020-04-10T01:49:00Z</dcterms:created>
  <dc:creator>Administrator</dc:creator>
  <cp:lastModifiedBy>夏湾</cp:lastModifiedBy>
  <dcterms:modified xsi:type="dcterms:W3CDTF">2025-02-23T07:23:42Z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5EDECB90965943F8A0B3403D4484D841</vt:lpwstr>
  </property>
  <property fmtid="{D5CDD505-2E9C-101B-9397-08002B2CF9AE}" pid="4" name="KSOTemplateDocerSaveRecord">
    <vt:lpwstr>eyJoZGlkIjoiODE4MDhhZmZjNzRmOTdjYjUyYzUwZjA5NTk4MmEwODQiLCJ1c2VySWQiOiIxMjI5OTEzMjIwIn0=</vt:lpwstr>
  </property>
</Properties>
</file>