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D9AAD" w14:textId="0C02E239" w:rsidR="007D2FEC" w:rsidRPr="00B42344" w:rsidRDefault="00AA09B2" w:rsidP="007D2FEC">
      <w:pPr>
        <w:spacing w:line="480" w:lineRule="auto"/>
        <w:rPr>
          <w:b/>
          <w:bCs/>
          <w:sz w:val="32"/>
          <w:szCs w:val="32"/>
        </w:rPr>
      </w:pPr>
      <w:r w:rsidRPr="00AA09B2">
        <w:rPr>
          <w:rFonts w:hint="eastAsia"/>
          <w:b/>
          <w:bCs/>
          <w:sz w:val="32"/>
          <w:szCs w:val="32"/>
        </w:rPr>
        <w:t xml:space="preserve">Determinants of Taiwanese </w:t>
      </w:r>
      <w:r w:rsidR="000320A3">
        <w:rPr>
          <w:b/>
          <w:bCs/>
          <w:sz w:val="32"/>
          <w:szCs w:val="32"/>
        </w:rPr>
        <w:t>Attitude toward Independence</w:t>
      </w:r>
      <w:r w:rsidR="00A07F76">
        <w:rPr>
          <w:b/>
          <w:bCs/>
          <w:sz w:val="32"/>
          <w:szCs w:val="32"/>
        </w:rPr>
        <w:t xml:space="preserve"> in 2024</w:t>
      </w:r>
    </w:p>
    <w:p w14:paraId="67CDFE40" w14:textId="773E688B" w:rsidR="009A1545" w:rsidRPr="00434B77" w:rsidRDefault="009A01D0" w:rsidP="007D2FEC">
      <w:pPr>
        <w:spacing w:line="480" w:lineRule="auto"/>
        <w:rPr>
          <w:b/>
          <w:bCs/>
          <w:sz w:val="28"/>
          <w:szCs w:val="28"/>
        </w:rPr>
      </w:pPr>
      <w:r w:rsidRPr="00434B77">
        <w:rPr>
          <w:b/>
          <w:bCs/>
          <w:sz w:val="28"/>
          <w:szCs w:val="28"/>
        </w:rPr>
        <w:t>Introduction</w:t>
      </w:r>
    </w:p>
    <w:p w14:paraId="24015085" w14:textId="62085E2F" w:rsidR="006620BD" w:rsidRDefault="009A1545" w:rsidP="007D2FEC">
      <w:pPr>
        <w:spacing w:line="480" w:lineRule="auto"/>
        <w:ind w:firstLine="720"/>
      </w:pPr>
      <w:r w:rsidRPr="009A1545">
        <w:t xml:space="preserve">Taiwan's complex relationship with mainland China represents one of the most </w:t>
      </w:r>
      <w:r w:rsidR="006620BD">
        <w:rPr>
          <w:rFonts w:hint="eastAsia"/>
        </w:rPr>
        <w:t xml:space="preserve">sensitive </w:t>
      </w:r>
      <w:r w:rsidRPr="009A1545">
        <w:t>geopolitical flashpoints in East Asia. At the heart of this relationship lies a fundamental question about Taiwan's future status—whether it should pursue formal independence, maintain the status quo, or seek reunification with mainland China. Public opinion on this question has profound implications for Taiwan's domestic politics, cross-strait relations, and regional security dynamics.</w:t>
      </w:r>
    </w:p>
    <w:p w14:paraId="7C89F6C4" w14:textId="2AA2F790" w:rsidR="006620BD" w:rsidRDefault="006620BD" w:rsidP="007D2FEC">
      <w:pPr>
        <w:spacing w:line="480" w:lineRule="auto"/>
        <w:ind w:firstLine="720"/>
      </w:pPr>
      <w:r w:rsidRPr="006620BD">
        <w:t xml:space="preserve">This study examines what factors most significantly influence </w:t>
      </w:r>
      <w:r w:rsidR="00444D6F" w:rsidRPr="006620BD">
        <w:t xml:space="preserve">Taiwanese public opinion </w:t>
      </w:r>
      <w:r w:rsidR="00444D6F">
        <w:rPr>
          <w:rFonts w:hint="eastAsia"/>
        </w:rPr>
        <w:t>toward</w:t>
      </w:r>
      <w:r w:rsidR="00444D6F" w:rsidRPr="006620BD">
        <w:t xml:space="preserve"> independence</w:t>
      </w:r>
      <w:r w:rsidR="00B42344">
        <w:t xml:space="preserve"> in 2024.</w:t>
      </w:r>
      <w:r w:rsidRPr="006620BD">
        <w:t xml:space="preserve"> While previous research has identified multiple determinants shaping Taiwanese preferences—including national identity, economic considerations, generational differences, and security concerns—these factors have typically been studied in isolation, leaving their relative importance and complex interactions underexplored.</w:t>
      </w:r>
    </w:p>
    <w:p w14:paraId="2F40283E" w14:textId="77777777" w:rsidR="00AB7C80" w:rsidRDefault="006620BD" w:rsidP="007D2FEC">
      <w:pPr>
        <w:spacing w:line="480" w:lineRule="auto"/>
        <w:ind w:firstLine="720"/>
      </w:pPr>
      <w:r>
        <w:rPr>
          <w:rFonts w:hint="eastAsia"/>
        </w:rPr>
        <w:t>As Chu (2004)</w:t>
      </w:r>
      <w:r>
        <w:rPr>
          <w:rStyle w:val="FootnoteReference"/>
        </w:rPr>
        <w:footnoteReference w:id="1"/>
      </w:r>
      <w:r>
        <w:rPr>
          <w:rFonts w:hint="eastAsia"/>
        </w:rPr>
        <w:t xml:space="preserve"> and </w:t>
      </w:r>
      <w:proofErr w:type="spellStart"/>
      <w:r>
        <w:rPr>
          <w:rFonts w:hint="eastAsia"/>
        </w:rPr>
        <w:t>Niou</w:t>
      </w:r>
      <w:proofErr w:type="spellEnd"/>
      <w:r>
        <w:rPr>
          <w:rFonts w:hint="eastAsia"/>
        </w:rPr>
        <w:t xml:space="preserve"> (2004)</w:t>
      </w:r>
      <w:r>
        <w:rPr>
          <w:rStyle w:val="FootnoteReference"/>
        </w:rPr>
        <w:footnoteReference w:id="2"/>
      </w:r>
      <w:r>
        <w:rPr>
          <w:rFonts w:hint="eastAsia"/>
        </w:rPr>
        <w:t xml:space="preserve"> argue, </w:t>
      </w:r>
      <w:r w:rsidRPr="006620BD">
        <w:t>Taiwanese attitudes toward independence and unification are not static positions but rather conditional preferences that shift in response to changing circumstances.</w:t>
      </w:r>
      <w:r>
        <w:rPr>
          <w:rFonts w:hint="eastAsia"/>
        </w:rPr>
        <w:t xml:space="preserve"> P</w:t>
      </w:r>
      <w:r w:rsidRPr="006620BD">
        <w:t>ublic preferences in Taiwan are heavily contingent on the perceived costs and benefits of different outcomes</w:t>
      </w:r>
      <w:r>
        <w:rPr>
          <w:rStyle w:val="FootnoteReference"/>
        </w:rPr>
        <w:footnoteReference w:id="3"/>
      </w:r>
      <w:r w:rsidRPr="006620BD">
        <w:t xml:space="preserve">, particularly regarding China's potential military response and the economic implications of altered cross-strait relations. This conditional nature of preferences creates methodological challenges for researchers attempting to measure public opinion accurately, as standard survey questions that force respondents to choose between </w:t>
      </w:r>
      <w:r w:rsidRPr="006620BD">
        <w:lastRenderedPageBreak/>
        <w:t>independence, unification, or the status quo fail to capture the strategic and conditional character of these preferences</w:t>
      </w:r>
      <w:r>
        <w:rPr>
          <w:rStyle w:val="FootnoteReference"/>
        </w:rPr>
        <w:footnoteReference w:id="4"/>
      </w:r>
      <w:r w:rsidRPr="006620BD">
        <w:t>.</w:t>
      </w:r>
    </w:p>
    <w:p w14:paraId="1A246D1E" w14:textId="6DE545A7" w:rsidR="00AB7C80" w:rsidRDefault="006620BD" w:rsidP="007D2FEC">
      <w:pPr>
        <w:spacing w:line="480" w:lineRule="auto"/>
        <w:ind w:firstLine="720"/>
      </w:pPr>
      <w:r w:rsidRPr="006620BD">
        <w:t>The methodological challenge of "preference ambiguity"</w:t>
      </w:r>
      <w:r w:rsidR="00434B77">
        <w:rPr>
          <w:rStyle w:val="FootnoteReference"/>
        </w:rPr>
        <w:footnoteReference w:id="5"/>
      </w:r>
      <w:r w:rsidRPr="006620BD">
        <w:t xml:space="preserve"> has plagued research in this field, with many Taiwanese respondents selecting the status quo option in surveys not because they genuinely prefer it, but because this middle position allows them to </w:t>
      </w:r>
      <w:r w:rsidR="00AB7C80">
        <w:rPr>
          <w:rFonts w:hint="eastAsia"/>
        </w:rPr>
        <w:t xml:space="preserve">hide </w:t>
      </w:r>
      <w:r w:rsidRPr="006620BD">
        <w:t xml:space="preserve">their </w:t>
      </w:r>
      <w:r>
        <w:rPr>
          <w:rFonts w:hint="eastAsia"/>
        </w:rPr>
        <w:t xml:space="preserve">calculated </w:t>
      </w:r>
      <w:r w:rsidRPr="006620BD">
        <w:t>conditional preferences</w:t>
      </w:r>
      <w:r w:rsidR="00AB7C80">
        <w:rPr>
          <w:rStyle w:val="FootnoteReference"/>
        </w:rPr>
        <w:footnoteReference w:id="6"/>
      </w:r>
      <w:r w:rsidRPr="006620BD">
        <w:t>. This pattern aligns with established findings in survey methodology, which show that offering a middle response category significantly increases the proportion of respondents selecting that option (Presser and Schuman, 1980)</w:t>
      </w:r>
      <w:r>
        <w:rPr>
          <w:rStyle w:val="FootnoteReference"/>
        </w:rPr>
        <w:footnoteReference w:id="7"/>
      </w:r>
      <w:r w:rsidRPr="006620BD">
        <w:t>. To overcome this limitation, researchers</w:t>
      </w:r>
      <w:r w:rsidR="00AA09B2">
        <w:rPr>
          <w:rFonts w:hint="eastAsia"/>
        </w:rPr>
        <w:t xml:space="preserve"> who study Taiwanese public opinion</w:t>
      </w:r>
      <w:r w:rsidRPr="006620BD">
        <w:rPr>
          <w:rFonts w:hint="eastAsia"/>
        </w:rPr>
        <w:t xml:space="preserve"> </w:t>
      </w:r>
      <w:r w:rsidRPr="006620BD">
        <w:t>need more sophisticated approaches to capture the conditional nature of Taiwanese attitudes.</w:t>
      </w:r>
    </w:p>
    <w:p w14:paraId="7692CA40" w14:textId="0FAE14F4" w:rsidR="00434B77" w:rsidRDefault="00AB7C80" w:rsidP="007D2FEC">
      <w:pPr>
        <w:spacing w:line="480" w:lineRule="auto"/>
        <w:ind w:firstLine="720"/>
      </w:pPr>
      <w:r>
        <w:rPr>
          <w:rFonts w:hint="eastAsia"/>
        </w:rPr>
        <w:t xml:space="preserve">Thus, my research </w:t>
      </w:r>
      <w:r w:rsidR="007532FF">
        <w:rPr>
          <w:rFonts w:hint="eastAsia"/>
        </w:rPr>
        <w:t xml:space="preserve">utilizes </w:t>
      </w:r>
      <w:r>
        <w:rPr>
          <w:rFonts w:hint="eastAsia"/>
        </w:rPr>
        <w:t xml:space="preserve">Chu (2004) and </w:t>
      </w:r>
      <w:proofErr w:type="spellStart"/>
      <w:r>
        <w:rPr>
          <w:rFonts w:hint="eastAsia"/>
        </w:rPr>
        <w:t>Niou</w:t>
      </w:r>
      <w:proofErr w:type="spellEnd"/>
      <w:r>
        <w:rPr>
          <w:rFonts w:hint="eastAsia"/>
        </w:rPr>
        <w:t xml:space="preserve"> (2004)</w:t>
      </w:r>
      <w:r>
        <w:t>’</w:t>
      </w:r>
      <w:r>
        <w:rPr>
          <w:rFonts w:hint="eastAsia"/>
        </w:rPr>
        <w:t xml:space="preserve">s innovative </w:t>
      </w:r>
      <w:r>
        <w:t>“</w:t>
      </w:r>
      <w:r>
        <w:rPr>
          <w:rFonts w:hint="eastAsia"/>
        </w:rPr>
        <w:t>conditional preference</w:t>
      </w:r>
      <w:r>
        <w:t>”</w:t>
      </w:r>
      <w:r>
        <w:rPr>
          <w:rFonts w:hint="eastAsia"/>
        </w:rPr>
        <w:t xml:space="preserve"> framework that uses paired conditional questions to directly examine the impact of various factors </w:t>
      </w:r>
      <w:r w:rsidR="007532FF">
        <w:rPr>
          <w:rFonts w:hint="eastAsia"/>
        </w:rPr>
        <w:t>on public opinion toward Taiwan</w:t>
      </w:r>
      <w:r w:rsidR="007532FF">
        <w:t>’</w:t>
      </w:r>
      <w:r w:rsidR="007532FF">
        <w:rPr>
          <w:rFonts w:hint="eastAsia"/>
        </w:rPr>
        <w:t xml:space="preserve">s independence and reunification. </w:t>
      </w:r>
      <w:r w:rsidR="00434B77">
        <w:rPr>
          <w:rFonts w:hint="eastAsia"/>
        </w:rPr>
        <w:t xml:space="preserve">I argue that Taiwanese preferences toward independence are shaped by a complex interplay between national identity, perceived military threat from China, expectations about economic benefits from cross-strait relations, and generational differences </w:t>
      </w:r>
      <w:r w:rsidR="00434B77">
        <w:t>–</w:t>
      </w:r>
      <w:r w:rsidR="00434B77">
        <w:rPr>
          <w:rFonts w:hint="eastAsia"/>
        </w:rPr>
        <w:t xml:space="preserve"> with no single factor alone sufficient to explain the patterns in public opinion.</w:t>
      </w:r>
    </w:p>
    <w:p w14:paraId="0E1270D3" w14:textId="44915F66" w:rsidR="00434B77" w:rsidRDefault="006620BD" w:rsidP="007D2FEC">
      <w:pPr>
        <w:spacing w:line="480" w:lineRule="auto"/>
        <w:ind w:firstLine="720"/>
      </w:pPr>
      <w:r w:rsidRPr="006620BD">
        <w:t xml:space="preserve">This paper makes </w:t>
      </w:r>
      <w:r w:rsidR="00444D6F">
        <w:rPr>
          <w:rFonts w:hint="eastAsia"/>
        </w:rPr>
        <w:t>two</w:t>
      </w:r>
      <w:r w:rsidRPr="006620BD">
        <w:t xml:space="preserve"> </w:t>
      </w:r>
      <w:r w:rsidR="00444D6F">
        <w:rPr>
          <w:rFonts w:hint="eastAsia"/>
        </w:rPr>
        <w:t>main</w:t>
      </w:r>
      <w:r w:rsidRPr="006620BD">
        <w:t xml:space="preserve"> contributions to our understanding of Taiwanese public opinion on independence and unification. First</w:t>
      </w:r>
      <w:r w:rsidR="00444D6F">
        <w:rPr>
          <w:rFonts w:hint="eastAsia"/>
        </w:rPr>
        <w:t>,</w:t>
      </w:r>
      <w:r w:rsidRPr="006620BD">
        <w:t xml:space="preserve"> it systematically evaluates the relative impact of multiple factors on shaping these attitudes, </w:t>
      </w:r>
      <w:r w:rsidR="00444D6F">
        <w:rPr>
          <w:rFonts w:hint="eastAsia"/>
        </w:rPr>
        <w:t>and evaluates</w:t>
      </w:r>
      <w:r w:rsidRPr="006620BD">
        <w:t xml:space="preserve"> which determinants exert the greatest </w:t>
      </w:r>
      <w:r w:rsidRPr="006620BD">
        <w:lastRenderedPageBreak/>
        <w:t xml:space="preserve">influence in </w:t>
      </w:r>
      <w:r w:rsidR="00B42344">
        <w:t>2024</w:t>
      </w:r>
      <w:r w:rsidRPr="006620BD">
        <w:t xml:space="preserve">. </w:t>
      </w:r>
      <w:r w:rsidR="00444D6F">
        <w:rPr>
          <w:rFonts w:hint="eastAsia"/>
        </w:rPr>
        <w:t>Second</w:t>
      </w:r>
      <w:r w:rsidRPr="006620BD">
        <w:t>, it advances a theoretical framework that conceptualizes Taiwanese preferences as conditional and strategic, influenced by a combination of identity, security, and economic considerations rather than by any single factor in isolation.</w:t>
      </w:r>
    </w:p>
    <w:p w14:paraId="63482B3E" w14:textId="18059A5C" w:rsidR="00434B77" w:rsidRDefault="006620BD" w:rsidP="00B42344">
      <w:pPr>
        <w:spacing w:line="480" w:lineRule="auto"/>
        <w:ind w:firstLine="720"/>
      </w:pPr>
      <w:r w:rsidRPr="006620BD">
        <w:t>Understanding the complex determinants of Taiwanese public opinion carries significant implications for cross-strait relations, regional security, and international diplomacy. As Taiwan navigates its complex relationship with an increasingly assertive China, policymakers on both sides of the Taiwan Strait—as well as in Washington, Tokyo, and other capitals</w:t>
      </w:r>
      <w:r w:rsidR="00434B77">
        <w:rPr>
          <w:rFonts w:hint="eastAsia"/>
        </w:rPr>
        <w:t xml:space="preserve"> in the Indo-Pacific - </w:t>
      </w:r>
      <w:r w:rsidRPr="006620BD">
        <w:t xml:space="preserve">would benefit from a more </w:t>
      </w:r>
      <w:r w:rsidR="00434B77">
        <w:rPr>
          <w:rFonts w:hint="eastAsia"/>
        </w:rPr>
        <w:t>rigorous</w:t>
      </w:r>
      <w:r w:rsidRPr="006620BD">
        <w:t xml:space="preserve"> understanding of what shapes Taiwanese attitudes toward their island's future status and how these attitudes might evolve in response to changing circumstances.</w:t>
      </w:r>
    </w:p>
    <w:p w14:paraId="69FFAE4E" w14:textId="044EEF8A" w:rsidR="009A01D0" w:rsidRPr="00434B77" w:rsidRDefault="00434B77" w:rsidP="007D2FEC">
      <w:pPr>
        <w:spacing w:line="480" w:lineRule="auto"/>
        <w:rPr>
          <w:b/>
          <w:bCs/>
          <w:sz w:val="28"/>
          <w:szCs w:val="28"/>
        </w:rPr>
      </w:pPr>
      <w:r w:rsidRPr="00434B77">
        <w:rPr>
          <w:rFonts w:hint="eastAsia"/>
          <w:b/>
          <w:bCs/>
          <w:sz w:val="28"/>
          <w:szCs w:val="28"/>
        </w:rPr>
        <w:t>Theoretical Framework</w:t>
      </w:r>
    </w:p>
    <w:p w14:paraId="0C5F5307" w14:textId="43A401EB" w:rsidR="00434B77" w:rsidRDefault="00434B77" w:rsidP="007D2FEC">
      <w:pPr>
        <w:spacing w:line="480" w:lineRule="auto"/>
        <w:rPr>
          <w:b/>
          <w:bCs/>
        </w:rPr>
      </w:pPr>
      <w:r>
        <w:rPr>
          <w:rFonts w:hint="eastAsia"/>
          <w:b/>
          <w:bCs/>
        </w:rPr>
        <w:t>Previous Research on Determinants of Taiwanese Public Opinion</w:t>
      </w:r>
    </w:p>
    <w:p w14:paraId="05CBBEF4" w14:textId="69BC3463" w:rsidR="004B185A" w:rsidRDefault="00654DCB" w:rsidP="00444D6F">
      <w:pPr>
        <w:spacing w:before="240" w:after="240" w:line="480" w:lineRule="auto"/>
        <w:ind w:firstLine="720"/>
      </w:pPr>
      <w:r>
        <w:rPr>
          <w:rFonts w:hint="eastAsia"/>
        </w:rPr>
        <w:t xml:space="preserve">Past </w:t>
      </w:r>
      <w:r w:rsidRPr="00D01A45">
        <w:t xml:space="preserve">studies have </w:t>
      </w:r>
      <w:r>
        <w:rPr>
          <w:rFonts w:hint="eastAsia"/>
        </w:rPr>
        <w:t>collectively identified</w:t>
      </w:r>
      <w:r w:rsidRPr="00D01A45">
        <w:t xml:space="preserve"> </w:t>
      </w:r>
      <w:r>
        <w:rPr>
          <w:rFonts w:hint="eastAsia"/>
        </w:rPr>
        <w:t>multiple</w:t>
      </w:r>
      <w:r w:rsidRPr="00D01A45">
        <w:t xml:space="preserve"> factors shaping Taiwanese public opinion on independence, the status quo, and </w:t>
      </w:r>
      <w:r>
        <w:rPr>
          <w:rFonts w:hint="eastAsia"/>
        </w:rPr>
        <w:t>re</w:t>
      </w:r>
      <w:r w:rsidRPr="00D01A45">
        <w:t>unification</w:t>
      </w:r>
      <w:r>
        <w:rPr>
          <w:rFonts w:hint="eastAsia"/>
        </w:rPr>
        <w:t xml:space="preserve">. Notably Chinese military threat, national identity as Taiwanese or Chinese or both, economic </w:t>
      </w:r>
      <w:r>
        <w:t>intercedence</w:t>
      </w:r>
      <w:r>
        <w:rPr>
          <w:rFonts w:hint="eastAsia"/>
        </w:rPr>
        <w:t xml:space="preserve">, </w:t>
      </w:r>
      <w:r w:rsidR="006D6BE8">
        <w:rPr>
          <w:rFonts w:hint="eastAsia"/>
        </w:rPr>
        <w:t>party identification, and generational differences.</w:t>
      </w:r>
      <w:r>
        <w:rPr>
          <w:rFonts w:hint="eastAsia"/>
        </w:rPr>
        <w:t xml:space="preserve"> </w:t>
      </w:r>
      <w:r w:rsidRPr="00D01A45">
        <w:t>Chu's (2004) analysis of longitudinal survey data reveals that while efforts by Taiwanese leaders to promote a pro-independence sentiment have had some effect</w:t>
      </w:r>
      <w:r>
        <w:t xml:space="preserve">, the perception of China's </w:t>
      </w:r>
      <w:r>
        <w:rPr>
          <w:i/>
        </w:rPr>
        <w:t>growing economic potential</w:t>
      </w:r>
      <w:r>
        <w:t xml:space="preserve"> and the </w:t>
      </w:r>
      <w:r>
        <w:rPr>
          <w:i/>
        </w:rPr>
        <w:t>increasing inevitability of cross-strait economic integration</w:t>
      </w:r>
      <w:r>
        <w:t xml:space="preserve"> have somewhat constrained the popular support for Taiwan independence, particularly among the younger generation</w:t>
      </w:r>
      <w:r>
        <w:rPr>
          <w:vertAlign w:val="superscript"/>
        </w:rPr>
        <w:footnoteReference w:id="8"/>
      </w:r>
      <w:r>
        <w:t xml:space="preserve">. </w:t>
      </w:r>
      <w:r w:rsidR="006D6BE8">
        <w:rPr>
          <w:rFonts w:hint="eastAsia"/>
        </w:rPr>
        <w:t>Tang</w:t>
      </w:r>
      <w:r w:rsidR="006D6BE8">
        <w:t>’</w:t>
      </w:r>
      <w:r w:rsidR="006D6BE8">
        <w:rPr>
          <w:rFonts w:hint="eastAsia"/>
        </w:rPr>
        <w:t>s (2007) analysis of survey data reveals that education, socioeconomic status, and economic considerations influence citizen</w:t>
      </w:r>
      <w:r w:rsidR="006D6BE8">
        <w:t>’</w:t>
      </w:r>
      <w:r w:rsidR="006D6BE8">
        <w:rPr>
          <w:rFonts w:hint="eastAsia"/>
        </w:rPr>
        <w:t xml:space="preserve">s cross-strait </w:t>
      </w:r>
      <w:r w:rsidR="006D6BE8">
        <w:rPr>
          <w:rFonts w:hint="eastAsia"/>
        </w:rPr>
        <w:lastRenderedPageBreak/>
        <w:t>attitudes</w:t>
      </w:r>
      <w:r w:rsidR="006D6BE8">
        <w:rPr>
          <w:rStyle w:val="FootnoteReference"/>
        </w:rPr>
        <w:footnoteReference w:id="9"/>
      </w:r>
      <w:r w:rsidR="006D6BE8">
        <w:rPr>
          <w:rFonts w:hint="eastAsia"/>
        </w:rPr>
        <w:t xml:space="preserve">. </w:t>
      </w:r>
      <w:r>
        <w:rPr>
          <w:rFonts w:hint="eastAsia"/>
        </w:rPr>
        <w:t>S</w:t>
      </w:r>
      <w:r>
        <w:t>obel et al. (2010)</w:t>
      </w:r>
      <w:r>
        <w:rPr>
          <w:vertAlign w:val="superscript"/>
        </w:rPr>
        <w:footnoteReference w:id="10"/>
      </w:r>
      <w:r>
        <w:t xml:space="preserve"> also note that cross-strait tensions and specific events like China's missile tests and leaders' speeches have influenced the Taiwanese public to become more independence-minded. Furthermore, </w:t>
      </w:r>
      <w:r w:rsidR="00CA541C">
        <w:t>Wang (2017)</w:t>
      </w:r>
      <w:r w:rsidR="00CA541C">
        <w:rPr>
          <w:vertAlign w:val="superscript"/>
        </w:rPr>
        <w:footnoteReference w:id="11"/>
      </w:r>
      <w:r w:rsidR="00CA541C">
        <w:t xml:space="preserve"> also identifies the feeling of hostility from Beijing, particularly regarding diplomatic isolation, has also been a significant factor in hardening Taiwanese identity and a preference for </w:t>
      </w:r>
      <w:r w:rsidR="00CA541C">
        <w:rPr>
          <w:rFonts w:hint="eastAsia"/>
        </w:rPr>
        <w:t>independence</w:t>
      </w:r>
      <w:r w:rsidR="00CA541C">
        <w:t>.</w:t>
      </w:r>
      <w:r w:rsidR="00CA541C">
        <w:rPr>
          <w:rFonts w:hint="eastAsia"/>
        </w:rPr>
        <w:t xml:space="preserve"> </w:t>
      </w:r>
      <w:r w:rsidR="00CA541C">
        <w:t xml:space="preserve">Lastly, </w:t>
      </w:r>
      <w:r>
        <w:t>Wang et al. (2025)</w:t>
      </w:r>
      <w:r>
        <w:rPr>
          <w:vertAlign w:val="superscript"/>
        </w:rPr>
        <w:footnoteReference w:id="12"/>
      </w:r>
      <w:r>
        <w:t xml:space="preserve"> </w:t>
      </w:r>
      <w:r w:rsidR="00B435A7">
        <w:t>concludes</w:t>
      </w:r>
      <w:r>
        <w:t xml:space="preserve"> that while Taiwanese nationalism has risen significantly, the majority still prefer the status quo due to a combination of concerns about China's potential military </w:t>
      </w:r>
      <w:r w:rsidR="006D6BE8">
        <w:rPr>
          <w:rFonts w:hint="eastAsia"/>
        </w:rPr>
        <w:t>threat</w:t>
      </w:r>
      <w:r>
        <w:t xml:space="preserve"> and the economic reliance on China. </w:t>
      </w:r>
    </w:p>
    <w:p w14:paraId="0C3C5011" w14:textId="0F60E646" w:rsidR="005D0F21" w:rsidRPr="005D0F21" w:rsidRDefault="005D0F21" w:rsidP="007D2FEC">
      <w:pPr>
        <w:spacing w:before="240" w:after="240" w:line="480" w:lineRule="auto"/>
        <w:rPr>
          <w:b/>
          <w:bCs/>
        </w:rPr>
      </w:pPr>
      <w:r w:rsidRPr="005D0F21">
        <w:rPr>
          <w:rFonts w:hint="eastAsia"/>
          <w:b/>
          <w:bCs/>
        </w:rPr>
        <w:t>Methodological Limitations in Previous Research</w:t>
      </w:r>
    </w:p>
    <w:p w14:paraId="5F3F288E" w14:textId="77777777" w:rsidR="001332A6" w:rsidRDefault="00654DCB" w:rsidP="007D2FEC">
      <w:pPr>
        <w:spacing w:before="240" w:after="240" w:line="480" w:lineRule="auto"/>
        <w:ind w:firstLine="720"/>
      </w:pPr>
      <w:r>
        <w:t xml:space="preserve">While </w:t>
      </w:r>
      <w:r>
        <w:rPr>
          <w:rFonts w:hint="eastAsia"/>
        </w:rPr>
        <w:t>these</w:t>
      </w:r>
      <w:r>
        <w:t xml:space="preserve"> studies provide valuable insights into the determinants of Taiwanese public opinion on cross-strait relations, they often examine these factors in isolation, leaving their interactions and collective influence underexplored.</w:t>
      </w:r>
      <w:r>
        <w:rPr>
          <w:rFonts w:hint="eastAsia"/>
        </w:rPr>
        <w:t xml:space="preserve"> </w:t>
      </w:r>
      <w:r w:rsidRPr="00676876">
        <w:t>A common issue that challenges accurate measurement of Taiwanese attitudes toward independence is "preference ambiguity."</w:t>
      </w:r>
      <w:r w:rsidR="00CA541C">
        <w:rPr>
          <w:rStyle w:val="FootnoteReference"/>
        </w:rPr>
        <w:footnoteReference w:id="13"/>
      </w:r>
      <w:r w:rsidRPr="00676876">
        <w:t xml:space="preserve"> Typical questionnaires only ask respondents to choose one option among reunification, independence, or maintaining the status quo. When asked to indicate a clear preference, survey respondents tend to hide their conditional preferences by selecting the "status quo" answer. This pattern is consistent </w:t>
      </w:r>
      <w:r w:rsidRPr="00676876">
        <w:lastRenderedPageBreak/>
        <w:t>with established findings in survey design research, which shows that offering a middle position significantly increases the proportion of respondents selecting that category</w:t>
      </w:r>
      <w:r>
        <w:rPr>
          <w:rStyle w:val="FootnoteReference"/>
        </w:rPr>
        <w:footnoteReference w:id="14"/>
      </w:r>
      <w:r w:rsidRPr="00676876">
        <w:t xml:space="preserve">. Furthermore, Presser and Schuman </w:t>
      </w:r>
      <w:r>
        <w:rPr>
          <w:rFonts w:hint="eastAsia"/>
        </w:rPr>
        <w:t>(</w:t>
      </w:r>
      <w:r w:rsidRPr="00676876">
        <w:t>1980) argue that respondents with less intense opinions are more affected by the presence or absence of a middle response category than those who feel strongly about the issue</w:t>
      </w:r>
      <w:r>
        <w:rPr>
          <w:rStyle w:val="FootnoteReference"/>
        </w:rPr>
        <w:footnoteReference w:id="15"/>
      </w:r>
      <w:r w:rsidRPr="00676876">
        <w:t xml:space="preserve">. This observation </w:t>
      </w:r>
      <w:r w:rsidR="00CA541C">
        <w:rPr>
          <w:rFonts w:hint="eastAsia"/>
        </w:rPr>
        <w:t xml:space="preserve">also </w:t>
      </w:r>
      <w:r w:rsidRPr="00676876">
        <w:t xml:space="preserve">aligns with the consistent finding that most Taiwanese express a preference for </w:t>
      </w:r>
      <w:r>
        <w:rPr>
          <w:rFonts w:hint="eastAsia"/>
        </w:rPr>
        <w:t xml:space="preserve">the less intense option of </w:t>
      </w:r>
      <w:r w:rsidRPr="00676876">
        <w:t>maintaining the status quo</w:t>
      </w:r>
      <w:r w:rsidR="00CA541C">
        <w:rPr>
          <w:rStyle w:val="FootnoteReference"/>
        </w:rPr>
        <w:footnoteReference w:id="16"/>
      </w:r>
      <w:r w:rsidRPr="00676876">
        <w:t>.</w:t>
      </w:r>
      <w:r>
        <w:rPr>
          <w:rFonts w:hint="eastAsia"/>
        </w:rPr>
        <w:t xml:space="preserve"> However, </w:t>
      </w:r>
      <w:r>
        <w:t>to</w:t>
      </w:r>
      <w:r>
        <w:rPr>
          <w:rFonts w:hint="eastAsia"/>
        </w:rPr>
        <w:t xml:space="preserve"> </w:t>
      </w:r>
      <w:r w:rsidRPr="001617DE">
        <w:t xml:space="preserve">achieve a more meticulous examination of Taiwanese public opinion, researchers need to design better questions </w:t>
      </w:r>
      <w:r w:rsidR="0000679D">
        <w:rPr>
          <w:rFonts w:hint="eastAsia"/>
        </w:rPr>
        <w:t>by</w:t>
      </w:r>
      <w:r w:rsidRPr="001617DE">
        <w:t xml:space="preserve"> </w:t>
      </w:r>
      <w:r w:rsidR="0000679D">
        <w:rPr>
          <w:rFonts w:hint="eastAsia"/>
        </w:rPr>
        <w:t>incorporating</w:t>
      </w:r>
      <w:r w:rsidRPr="001617DE">
        <w:t xml:space="preserve"> condition</w:t>
      </w:r>
      <w:r w:rsidR="00CA541C">
        <w:rPr>
          <w:rFonts w:hint="eastAsia"/>
        </w:rPr>
        <w:t xml:space="preserve"> sets</w:t>
      </w:r>
      <w:r w:rsidRPr="001617DE">
        <w:t xml:space="preserve"> that</w:t>
      </w:r>
      <w:r w:rsidR="00CA541C">
        <w:rPr>
          <w:rFonts w:hint="eastAsia"/>
        </w:rPr>
        <w:t xml:space="preserve"> better</w:t>
      </w:r>
      <w:r w:rsidRPr="001617DE">
        <w:t xml:space="preserve"> capture the complex essence of strategic, conditional preferences</w:t>
      </w:r>
      <w:r w:rsidR="0000679D">
        <w:rPr>
          <w:rFonts w:hint="eastAsia"/>
        </w:rPr>
        <w:t xml:space="preserve"> of Taiwanese public</w:t>
      </w:r>
      <w:r>
        <w:rPr>
          <w:rFonts w:hint="eastAsia"/>
        </w:rPr>
        <w:t xml:space="preserve">. </w:t>
      </w:r>
    </w:p>
    <w:p w14:paraId="07904348" w14:textId="66ADDF2A" w:rsidR="00654DCB" w:rsidRPr="0053077D" w:rsidRDefault="001332A6" w:rsidP="007D2FEC">
      <w:pPr>
        <w:spacing w:before="240" w:after="240" w:line="480" w:lineRule="auto"/>
        <w:ind w:firstLine="720"/>
      </w:pPr>
      <w:r>
        <w:rPr>
          <w:rFonts w:hint="eastAsia"/>
        </w:rPr>
        <w:t xml:space="preserve">Recognizing this limitation, </w:t>
      </w:r>
      <w:r w:rsidRPr="0053077D">
        <w:t>Chu (</w:t>
      </w:r>
      <w:r>
        <w:rPr>
          <w:rFonts w:hint="eastAsia"/>
        </w:rPr>
        <w:t>2004</w:t>
      </w:r>
      <w:r w:rsidRPr="0053077D">
        <w:t>)</w:t>
      </w:r>
      <w:r>
        <w:rPr>
          <w:rStyle w:val="FootnoteReference"/>
        </w:rPr>
        <w:footnoteReference w:id="17"/>
      </w:r>
      <w:r w:rsidRPr="0053077D">
        <w:t xml:space="preserve"> </w:t>
      </w:r>
      <w:r w:rsidR="00993B11">
        <w:rPr>
          <w:rFonts w:hint="eastAsia"/>
        </w:rPr>
        <w:t>introduces</w:t>
      </w:r>
      <w:r>
        <w:rPr>
          <w:rFonts w:hint="eastAsia"/>
        </w:rPr>
        <w:t xml:space="preserve"> a conditional preference framework to improve the </w:t>
      </w:r>
      <w:r>
        <w:t>measurement</w:t>
      </w:r>
      <w:r>
        <w:rPr>
          <w:rFonts w:hint="eastAsia"/>
        </w:rPr>
        <w:t xml:space="preserve"> of Taiwanese attitudes. Instead of forcing respondents into static categories, Chu design</w:t>
      </w:r>
      <w:r w:rsidR="00993B11">
        <w:rPr>
          <w:rFonts w:hint="eastAsia"/>
        </w:rPr>
        <w:t>s</w:t>
      </w:r>
      <w:r>
        <w:rPr>
          <w:rFonts w:hint="eastAsia"/>
        </w:rPr>
        <w:t xml:space="preserve"> a paired-</w:t>
      </w:r>
      <w:r>
        <w:t>question</w:t>
      </w:r>
      <w:r>
        <w:rPr>
          <w:rFonts w:hint="eastAsia"/>
        </w:rPr>
        <w:t xml:space="preserve"> methodology that ask</w:t>
      </w:r>
      <w:r w:rsidR="00993B11">
        <w:rPr>
          <w:rFonts w:hint="eastAsia"/>
        </w:rPr>
        <w:t>s</w:t>
      </w:r>
      <w:r w:rsidR="00654DCB" w:rsidRPr="0053077D">
        <w:t xml:space="preserve"> respondents to express their views on two carefully crafted </w:t>
      </w:r>
      <w:r>
        <w:rPr>
          <w:rFonts w:hint="eastAsia"/>
        </w:rPr>
        <w:t xml:space="preserve">hypothetical </w:t>
      </w:r>
      <w:r w:rsidR="00993B11">
        <w:rPr>
          <w:rFonts w:hint="eastAsia"/>
        </w:rPr>
        <w:t>questions</w:t>
      </w:r>
      <w:r w:rsidR="00654DCB" w:rsidRPr="0053077D">
        <w:t>:</w:t>
      </w:r>
    </w:p>
    <w:p w14:paraId="4471C858" w14:textId="03218B62" w:rsidR="00654DCB" w:rsidRPr="001332A6" w:rsidRDefault="00654DCB" w:rsidP="007D2FEC">
      <w:pPr>
        <w:numPr>
          <w:ilvl w:val="0"/>
          <w:numId w:val="1"/>
        </w:numPr>
        <w:spacing w:before="240" w:after="240" w:line="480" w:lineRule="auto"/>
        <w:rPr>
          <w:i/>
          <w:iCs/>
        </w:rPr>
      </w:pPr>
      <w:r w:rsidRPr="001332A6">
        <w:rPr>
          <w:i/>
          <w:iCs/>
        </w:rPr>
        <w:t>Taiwan should become a new state if it can maintain peace with mainland China after declaring independence.</w:t>
      </w:r>
    </w:p>
    <w:p w14:paraId="5C1FB1BB" w14:textId="3DE7BFF8" w:rsidR="00654DCB" w:rsidRPr="001332A6" w:rsidRDefault="00654DCB" w:rsidP="007D2FEC">
      <w:pPr>
        <w:numPr>
          <w:ilvl w:val="0"/>
          <w:numId w:val="1"/>
        </w:numPr>
        <w:spacing w:before="240" w:after="240" w:line="480" w:lineRule="auto"/>
        <w:rPr>
          <w:i/>
          <w:iCs/>
        </w:rPr>
      </w:pPr>
      <w:r w:rsidRPr="001332A6">
        <w:rPr>
          <w:i/>
          <w:iCs/>
        </w:rPr>
        <w:t>The two sides should unite if mainland's social, economic, and political conditions become comparable to Taiwan.</w:t>
      </w:r>
    </w:p>
    <w:p w14:paraId="5E4A9F05" w14:textId="490021A9" w:rsidR="00993B11" w:rsidRDefault="00993B11" w:rsidP="00B42344">
      <w:pPr>
        <w:spacing w:line="480" w:lineRule="auto"/>
        <w:ind w:firstLine="360"/>
      </w:pPr>
      <w:r w:rsidRPr="0053077D">
        <w:rPr>
          <w:noProof/>
        </w:rPr>
        <w:lastRenderedPageBreak/>
        <w:drawing>
          <wp:anchor distT="0" distB="0" distL="114300" distR="114300" simplePos="0" relativeHeight="251659264" behindDoc="1" locked="0" layoutInCell="1" allowOverlap="1" wp14:anchorId="386C3723" wp14:editId="16EF0D3C">
            <wp:simplePos x="0" y="0"/>
            <wp:positionH relativeFrom="column">
              <wp:posOffset>482946</wp:posOffset>
            </wp:positionH>
            <wp:positionV relativeFrom="paragraph">
              <wp:posOffset>1734762</wp:posOffset>
            </wp:positionV>
            <wp:extent cx="5186680" cy="2576195"/>
            <wp:effectExtent l="0" t="0" r="0" b="1905"/>
            <wp:wrapTopAndBottom/>
            <wp:docPr id="1775956151"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56151" name="Picture 1" descr="A table with text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86680" cy="2576195"/>
                    </a:xfrm>
                    <a:prstGeom prst="rect">
                      <a:avLst/>
                    </a:prstGeom>
                  </pic:spPr>
                </pic:pic>
              </a:graphicData>
            </a:graphic>
            <wp14:sizeRelH relativeFrom="page">
              <wp14:pctWidth>0</wp14:pctWidth>
            </wp14:sizeRelH>
            <wp14:sizeRelV relativeFrom="page">
              <wp14:pctHeight>0</wp14:pctHeight>
            </wp14:sizeRelV>
          </wp:anchor>
        </w:drawing>
      </w:r>
      <w:r w:rsidR="00654DCB" w:rsidRPr="0053077D">
        <w:t xml:space="preserve">For each question, respondents could select "agree," "no opinion," or "disagree." By cross tabulating these responses, Chu created a </w:t>
      </w:r>
      <w:r w:rsidR="00654DCB">
        <w:rPr>
          <w:rFonts w:hint="eastAsia"/>
        </w:rPr>
        <w:t xml:space="preserve">response </w:t>
      </w:r>
      <w:r w:rsidR="00654DCB" w:rsidRPr="0053077D">
        <w:t>matrix with nine distinct orientations toward Taiwan's future</w:t>
      </w:r>
      <w:r>
        <w:rPr>
          <w:rFonts w:hint="eastAsia"/>
        </w:rPr>
        <w:t xml:space="preserve"> (in Table 1)</w:t>
      </w:r>
      <w:r w:rsidR="00654DCB" w:rsidRPr="0053077D">
        <w:t xml:space="preserve">. This methodology </w:t>
      </w:r>
      <w:r>
        <w:rPr>
          <w:rFonts w:hint="eastAsia"/>
        </w:rPr>
        <w:t>represents</w:t>
      </w:r>
      <w:r w:rsidR="00654DCB" w:rsidRPr="0053077D">
        <w:t xml:space="preserve"> a significant advancement beyond conventional surveys that forced respondents to choose between independence, unification, or maintaining the status quo without capturing the conditional nature of these preferences.</w:t>
      </w:r>
    </w:p>
    <w:p w14:paraId="7A04915E" w14:textId="4FCF2A0A" w:rsidR="007D2FEC" w:rsidRDefault="00993B11" w:rsidP="00B42344">
      <w:pPr>
        <w:spacing w:line="480" w:lineRule="auto"/>
        <w:jc w:val="center"/>
      </w:pPr>
      <w:r>
        <w:rPr>
          <w:rFonts w:hint="eastAsia"/>
        </w:rPr>
        <w:t>Table 1. Nine Orientations toward Unification toward Independence (Chu 2004)</w:t>
      </w:r>
      <w:r>
        <w:rPr>
          <w:rStyle w:val="FootnoteReference"/>
        </w:rPr>
        <w:footnoteReference w:id="18"/>
      </w:r>
    </w:p>
    <w:p w14:paraId="5FF1ECFC" w14:textId="4663B431" w:rsidR="00130EB7" w:rsidRDefault="00130EB7" w:rsidP="007D2FEC">
      <w:pPr>
        <w:spacing w:line="480" w:lineRule="auto"/>
        <w:ind w:firstLine="720"/>
      </w:pPr>
      <w:proofErr w:type="spellStart"/>
      <w:r w:rsidRPr="00130EB7">
        <w:t>Niou</w:t>
      </w:r>
      <w:proofErr w:type="spellEnd"/>
      <w:r w:rsidRPr="00130EB7">
        <w:t xml:space="preserve"> (2004) coincides with Chu (2004) in examining Taiwanese public opinion through a conditional preference framework; however, their fundamental differences lie in the weight they assign to national identity versus strategic calculations in shaping cross-strait attitudes.</w:t>
      </w:r>
      <w:r>
        <w:rPr>
          <w:rFonts w:hint="eastAsia"/>
        </w:rPr>
        <w:t xml:space="preserve"> </w:t>
      </w:r>
      <w:r w:rsidR="00BA181D" w:rsidRPr="00BA181D">
        <w:t xml:space="preserve">Chu (2004) argues that national identity is the </w:t>
      </w:r>
      <w:r w:rsidR="00BA181D">
        <w:rPr>
          <w:rFonts w:hint="eastAsia"/>
        </w:rPr>
        <w:t>primary</w:t>
      </w:r>
      <w:r w:rsidR="00BA181D" w:rsidRPr="00BA181D">
        <w:t xml:space="preserve"> driver of cross-strait attitudes. </w:t>
      </w:r>
      <w:r w:rsidR="00DE745D">
        <w:rPr>
          <w:rFonts w:hint="eastAsia"/>
        </w:rPr>
        <w:t xml:space="preserve">While </w:t>
      </w:r>
      <w:r w:rsidR="00BA181D" w:rsidRPr="00BA181D">
        <w:t xml:space="preserve">he acknowledges that external factors—such as security concerns and economic conditions—can influence the intensity of preferences, </w:t>
      </w:r>
      <w:r>
        <w:rPr>
          <w:rFonts w:hint="eastAsia"/>
        </w:rPr>
        <w:t xml:space="preserve">but </w:t>
      </w:r>
      <w:r w:rsidR="00BA181D" w:rsidRPr="00BA181D">
        <w:t>do not fundamentally alter an individual’s underlying identity-based stance. In his model, those who strongly identify as Taiwanese are inherently more likely to support independence, while those with dual identities or stronger connections to Chinese heritage are more open to unification.</w:t>
      </w:r>
      <w:r>
        <w:rPr>
          <w:rFonts w:hint="eastAsia"/>
        </w:rPr>
        <w:t xml:space="preserve"> </w:t>
      </w:r>
    </w:p>
    <w:p w14:paraId="6DACE2CE" w14:textId="08142D70" w:rsidR="00DE745D" w:rsidRDefault="00BA181D" w:rsidP="007D2FEC">
      <w:pPr>
        <w:spacing w:line="480" w:lineRule="auto"/>
        <w:ind w:firstLine="720"/>
      </w:pPr>
      <w:r w:rsidRPr="00BA181D">
        <w:lastRenderedPageBreak/>
        <w:t xml:space="preserve">However, because many respondents prefer not to make a direct or risky political choice, identity-driven preferences often </w:t>
      </w:r>
      <w:r>
        <w:rPr>
          <w:rFonts w:hint="eastAsia"/>
        </w:rPr>
        <w:t>appear</w:t>
      </w:r>
      <w:r w:rsidRPr="00BA181D">
        <w:t xml:space="preserve"> as support for the status quo. Chu’s paired-question methodology was designed to uncover latent identity-driven attitudes by presenting respondents with conditional scenarios—revealing whether their “status quo” preference </w:t>
      </w:r>
      <w:r w:rsidR="00130EB7" w:rsidRPr="00BA181D">
        <w:t>leans</w:t>
      </w:r>
      <w:r w:rsidRPr="00BA181D">
        <w:t xml:space="preserve"> toward independence or unification given the right conditions.</w:t>
      </w:r>
    </w:p>
    <w:p w14:paraId="2843E5AF" w14:textId="77777777" w:rsidR="00B42344" w:rsidRDefault="00DE745D" w:rsidP="00B42344">
      <w:pPr>
        <w:spacing w:line="480" w:lineRule="auto"/>
        <w:ind w:firstLine="720"/>
      </w:pPr>
      <w:proofErr w:type="spellStart"/>
      <w:r w:rsidRPr="00DE745D">
        <w:t>Niou</w:t>
      </w:r>
      <w:proofErr w:type="spellEnd"/>
      <w:r w:rsidRPr="00DE745D">
        <w:t xml:space="preserve"> (2004), by contrast, challenges the notion that identity alone determines cross-strait preferences. He argues that Taiwanese public opinion is highly strategic, with attitudes toward independence or unification shaped by both internal and external factors, including</w:t>
      </w:r>
      <w:r w:rsidR="00130EB7">
        <w:rPr>
          <w:rStyle w:val="FootnoteReference"/>
        </w:rPr>
        <w:footnoteReference w:id="19"/>
      </w:r>
      <w:r w:rsidR="00B42344">
        <w:t xml:space="preserve"> n</w:t>
      </w:r>
      <w:r w:rsidRPr="00DE745D">
        <w:t>ational identity (internal factor)</w:t>
      </w:r>
      <w:r w:rsidR="00B42344">
        <w:t xml:space="preserve">, </w:t>
      </w:r>
      <w:r w:rsidRPr="00DE745D">
        <w:t>China’s military threat (external factor)</w:t>
      </w:r>
      <w:r w:rsidR="00B42344">
        <w:t xml:space="preserve">, </w:t>
      </w:r>
      <w:r w:rsidRPr="00DE745D">
        <w:t>U.S. security commitments (external factor)</w:t>
      </w:r>
      <w:r w:rsidR="00B42344">
        <w:t xml:space="preserve">, </w:t>
      </w:r>
      <w:r w:rsidRPr="00DE745D">
        <w:t>Taiwan’s economic performance (internal factor)</w:t>
      </w:r>
      <w:r w:rsidR="00B42344">
        <w:t xml:space="preserve">, and </w:t>
      </w:r>
      <w:r w:rsidRPr="00DE745D">
        <w:t>China’s economic and political development (external factor)</w:t>
      </w:r>
      <w:r w:rsidR="00B42344">
        <w:t>.</w:t>
      </w:r>
    </w:p>
    <w:p w14:paraId="4B649E13" w14:textId="46572B09" w:rsidR="00FE74C6" w:rsidRDefault="00DE745D" w:rsidP="00B42344">
      <w:pPr>
        <w:spacing w:line="480" w:lineRule="auto"/>
        <w:ind w:firstLine="720"/>
      </w:pPr>
      <w:r w:rsidRPr="00DE745D">
        <w:t xml:space="preserve">Rather than treating identity as the dominant force, </w:t>
      </w:r>
      <w:proofErr w:type="spellStart"/>
      <w:r w:rsidRPr="00DE745D">
        <w:t>Niou</w:t>
      </w:r>
      <w:proofErr w:type="spellEnd"/>
      <w:r w:rsidRPr="00DE745D">
        <w:t xml:space="preserve"> places it on equal footing with other key factors, arguing that individuals engage in cost-benefit analyses when deciding their stance on Taiwan’s future. His hypothetical scenario approach tests how people shift their preferences in response to different strategic conditions—</w:t>
      </w:r>
      <w:r w:rsidR="00237AB9" w:rsidRPr="00237AB9">
        <w:t xml:space="preserve"> any Taiwanese hold conditional preferences, with a significant portion willing to shift toward either independence or unification depending on external circumstances. His work </w:t>
      </w:r>
      <w:r w:rsidR="00237AB9">
        <w:rPr>
          <w:rFonts w:hint="eastAsia"/>
        </w:rPr>
        <w:t>demonstrates</w:t>
      </w:r>
      <w:r w:rsidR="00237AB9" w:rsidRPr="00237AB9">
        <w:t xml:space="preserve"> that </w:t>
      </w:r>
      <w:r w:rsidR="00237AB9">
        <w:rPr>
          <w:rFonts w:hint="eastAsia"/>
        </w:rPr>
        <w:t xml:space="preserve">Taiwanese </w:t>
      </w:r>
      <w:r w:rsidR="00237AB9" w:rsidRPr="00237AB9">
        <w:t xml:space="preserve">preference for the status quo is often a strategic </w:t>
      </w:r>
      <w:r w:rsidR="00237AB9">
        <w:rPr>
          <w:rFonts w:hint="eastAsia"/>
        </w:rPr>
        <w:t>calculation</w:t>
      </w:r>
      <w:r w:rsidR="00237AB9" w:rsidRPr="00237AB9">
        <w:t xml:space="preserve"> against uncertainty, rather than </w:t>
      </w:r>
      <w:r w:rsidR="00237AB9">
        <w:rPr>
          <w:rFonts w:hint="eastAsia"/>
        </w:rPr>
        <w:t>determined by</w:t>
      </w:r>
      <w:r w:rsidR="00237AB9" w:rsidRPr="00237AB9">
        <w:t xml:space="preserve"> inherent ideological commitment</w:t>
      </w:r>
      <w:r w:rsidR="00237AB9">
        <w:rPr>
          <w:rFonts w:hint="eastAsia"/>
        </w:rPr>
        <w:t xml:space="preserve"> as suggested by Chu (2004). </w:t>
      </w:r>
      <w:r w:rsidR="00130EB7" w:rsidRPr="00130EB7">
        <w:t xml:space="preserve">This perspective challenges traditional survey methodologies that assume preferences remain stable across </w:t>
      </w:r>
      <w:r w:rsidR="00130EB7" w:rsidRPr="00130EB7">
        <w:rPr>
          <w:rFonts w:hint="eastAsia"/>
        </w:rPr>
        <w:t xml:space="preserve">different </w:t>
      </w:r>
      <w:r w:rsidR="00130EB7" w:rsidRPr="00130EB7">
        <w:t xml:space="preserve">contexts. </w:t>
      </w:r>
      <w:proofErr w:type="spellStart"/>
      <w:r w:rsidR="00130EB7" w:rsidRPr="00130EB7">
        <w:t>Niou's</w:t>
      </w:r>
      <w:proofErr w:type="spellEnd"/>
      <w:r w:rsidR="00130EB7" w:rsidRPr="00130EB7">
        <w:t xml:space="preserve"> work </w:t>
      </w:r>
      <w:r w:rsidR="00B435A7">
        <w:t>suggests</w:t>
      </w:r>
      <w:r w:rsidR="00130EB7" w:rsidRPr="00130EB7">
        <w:t xml:space="preserve"> how </w:t>
      </w:r>
      <w:r w:rsidR="00130EB7">
        <w:rPr>
          <w:rFonts w:hint="eastAsia"/>
        </w:rPr>
        <w:t xml:space="preserve">internal and external </w:t>
      </w:r>
      <w:r w:rsidR="00130EB7" w:rsidRPr="00130EB7">
        <w:t xml:space="preserve">factors continuously reshape individual decision-making processes </w:t>
      </w:r>
      <w:r w:rsidR="00237AB9">
        <w:rPr>
          <w:rFonts w:hint="eastAsia"/>
        </w:rPr>
        <w:t xml:space="preserve">even </w:t>
      </w:r>
      <w:r w:rsidR="00130EB7" w:rsidRPr="00130EB7">
        <w:t xml:space="preserve">at the grassroots level, suggesting that public opinion on cross-strait </w:t>
      </w:r>
      <w:r w:rsidR="00130EB7" w:rsidRPr="00130EB7">
        <w:lastRenderedPageBreak/>
        <w:t xml:space="preserve">relations is better understood as a series of conditional responses to evolving scenarios rather than </w:t>
      </w:r>
      <w:r w:rsidR="00237AB9">
        <w:rPr>
          <w:rFonts w:hint="eastAsia"/>
        </w:rPr>
        <w:t xml:space="preserve">as determined by </w:t>
      </w:r>
      <w:r w:rsidR="00130EB7" w:rsidRPr="00130EB7">
        <w:t xml:space="preserve">fixed political </w:t>
      </w:r>
      <w:r w:rsidR="00237AB9">
        <w:rPr>
          <w:rFonts w:hint="eastAsia"/>
        </w:rPr>
        <w:t>identities</w:t>
      </w:r>
      <w:r w:rsidR="00130EB7">
        <w:rPr>
          <w:rFonts w:hint="eastAsia"/>
        </w:rPr>
        <w:t>.</w:t>
      </w:r>
    </w:p>
    <w:p w14:paraId="5AC60251" w14:textId="152988C2" w:rsidR="00237AB9" w:rsidRPr="00237AB9" w:rsidRDefault="00237AB9" w:rsidP="007D2FEC">
      <w:pPr>
        <w:spacing w:before="100" w:beforeAutospacing="1" w:after="100" w:afterAutospacing="1" w:line="480" w:lineRule="auto"/>
        <w:ind w:firstLine="720"/>
      </w:pPr>
      <w:r w:rsidRPr="00237AB9">
        <w:t xml:space="preserve">More recently, Wang et al. (2025) expanded on the frameworks of Chu and </w:t>
      </w:r>
      <w:proofErr w:type="spellStart"/>
      <w:r w:rsidRPr="00237AB9">
        <w:t>Niou</w:t>
      </w:r>
      <w:proofErr w:type="spellEnd"/>
      <w:r w:rsidRPr="00237AB9">
        <w:rPr>
          <w:rFonts w:hint="eastAsia"/>
        </w:rPr>
        <w:t xml:space="preserve"> </w:t>
      </w:r>
      <w:r>
        <w:rPr>
          <w:rFonts w:hint="eastAsia"/>
        </w:rPr>
        <w:t>utilizing public opinion</w:t>
      </w:r>
      <w:r w:rsidRPr="00237AB9">
        <w:rPr>
          <w:rFonts w:hint="eastAsia"/>
        </w:rPr>
        <w:t xml:space="preserve"> data from 2002 to 2022</w:t>
      </w:r>
      <w:r w:rsidRPr="00237AB9">
        <w:t xml:space="preserve">, </w:t>
      </w:r>
      <w:r>
        <w:rPr>
          <w:rFonts w:hint="eastAsia"/>
        </w:rPr>
        <w:t>measuring</w:t>
      </w:r>
      <w:r w:rsidRPr="00237AB9">
        <w:t xml:space="preserve"> </w:t>
      </w:r>
      <w:r w:rsidRPr="00237AB9">
        <w:rPr>
          <w:rFonts w:hint="eastAsia"/>
        </w:rPr>
        <w:t xml:space="preserve">if conditional </w:t>
      </w:r>
      <w:r w:rsidRPr="00237AB9">
        <w:t xml:space="preserve">preferences for independence and reunification </w:t>
      </w:r>
      <w:r>
        <w:rPr>
          <w:rFonts w:hint="eastAsia"/>
        </w:rPr>
        <w:t xml:space="preserve">still holds for Taiwanese public opinion </w:t>
      </w:r>
      <w:r w:rsidRPr="00237AB9">
        <w:t>under two specific conditions</w:t>
      </w:r>
      <w:r w:rsidR="007D2FEC">
        <w:rPr>
          <w:rStyle w:val="FootnoteReference"/>
        </w:rPr>
        <w:footnoteReference w:id="20"/>
      </w:r>
      <w:r w:rsidRPr="00237AB9">
        <w:t>:</w:t>
      </w:r>
    </w:p>
    <w:p w14:paraId="7953D083" w14:textId="77777777" w:rsidR="00237AB9" w:rsidRPr="00237AB9" w:rsidRDefault="00237AB9" w:rsidP="007D2FEC">
      <w:pPr>
        <w:spacing w:before="100" w:beforeAutospacing="1" w:after="100" w:afterAutospacing="1" w:line="480" w:lineRule="auto"/>
        <w:ind w:firstLine="720"/>
      </w:pPr>
      <w:r w:rsidRPr="00237AB9">
        <w:t xml:space="preserve">1. </w:t>
      </w:r>
      <w:r w:rsidRPr="00237AB9">
        <w:rPr>
          <w:i/>
          <w:iCs/>
        </w:rPr>
        <w:t>Whether China would declare war following a declaration of independence.</w:t>
      </w:r>
    </w:p>
    <w:p w14:paraId="214A0A7F" w14:textId="7C56997D" w:rsidR="00237AB9" w:rsidRPr="00237AB9" w:rsidRDefault="00237AB9" w:rsidP="007D2FEC">
      <w:pPr>
        <w:spacing w:before="100" w:beforeAutospacing="1" w:after="100" w:afterAutospacing="1" w:line="480" w:lineRule="auto"/>
        <w:ind w:firstLine="720"/>
      </w:pPr>
      <w:r w:rsidRPr="00237AB9">
        <w:t xml:space="preserve">2. </w:t>
      </w:r>
      <w:r w:rsidRPr="00237AB9">
        <w:rPr>
          <w:i/>
          <w:iCs/>
        </w:rPr>
        <w:t>Whether Taiwan and China are politically, economically, and socially compatible.</w:t>
      </w:r>
    </w:p>
    <w:p w14:paraId="70438DF5" w14:textId="220BB476" w:rsidR="00417FDE" w:rsidRPr="00417FDE" w:rsidRDefault="00417FDE" w:rsidP="007D2FEC">
      <w:pPr>
        <w:spacing w:before="100" w:beforeAutospacing="1" w:after="100" w:afterAutospacing="1" w:line="480" w:lineRule="auto"/>
        <w:ind w:firstLine="720"/>
      </w:pPr>
      <w:r w:rsidRPr="00417FDE">
        <w:t>Their findings reinforce earlier research</w:t>
      </w:r>
      <w:r w:rsidR="00444D6F">
        <w:rPr>
          <w:rFonts w:hint="eastAsia"/>
        </w:rPr>
        <w:t xml:space="preserve"> and find</w:t>
      </w:r>
      <w:r w:rsidRPr="00417FDE">
        <w:t xml:space="preserve"> that support for independence increases significantly if China does not threaten military action, while support for unification declines when China is perceived as politically</w:t>
      </w:r>
      <w:r w:rsidRPr="00417FDE">
        <w:rPr>
          <w:rFonts w:hint="eastAsia"/>
        </w:rPr>
        <w:t>/socially/economically</w:t>
      </w:r>
      <w:r w:rsidRPr="00417FDE">
        <w:t xml:space="preserve"> incompatible with Taiwan. However, while Wang et al.'s study </w:t>
      </w:r>
      <w:r w:rsidRPr="00417FDE">
        <w:rPr>
          <w:rFonts w:hint="eastAsia"/>
        </w:rPr>
        <w:t>validates</w:t>
      </w:r>
      <w:r w:rsidRPr="00417FDE">
        <w:t xml:space="preserve"> </w:t>
      </w:r>
      <w:r w:rsidRPr="00417FDE">
        <w:rPr>
          <w:rFonts w:hint="eastAsia"/>
        </w:rPr>
        <w:t>the conditio</w:t>
      </w:r>
      <w:r w:rsidRPr="00417FDE">
        <w:t>n</w:t>
      </w:r>
      <w:r w:rsidRPr="00417FDE">
        <w:rPr>
          <w:rFonts w:hint="eastAsia"/>
        </w:rPr>
        <w:t>al preferences model</w:t>
      </w:r>
      <w:r w:rsidRPr="00417FDE">
        <w:t>,</w:t>
      </w:r>
      <w:r w:rsidRPr="00417FDE">
        <w:rPr>
          <w:rFonts w:hint="eastAsia"/>
        </w:rPr>
        <w:t xml:space="preserve"> </w:t>
      </w:r>
      <w:r w:rsidRPr="00417FDE">
        <w:t>it suffers from key limitations that restrict the depth and explanatory power of its findings.</w:t>
      </w:r>
    </w:p>
    <w:p w14:paraId="2AB89435" w14:textId="77777777" w:rsidR="00417FDE" w:rsidRDefault="00417FDE" w:rsidP="007D2FEC">
      <w:pPr>
        <w:spacing w:before="100" w:beforeAutospacing="1" w:after="100" w:afterAutospacing="1" w:line="480" w:lineRule="auto"/>
        <w:ind w:firstLine="720"/>
      </w:pPr>
      <w:r w:rsidRPr="00417FDE">
        <w:t xml:space="preserve">First, Wang et al. (2025) examine only two conditional variables—military threat and government/social/economic compatibility—when existing literature suggests that Taiwanese preferences are shaped by a broader set of factors, including </w:t>
      </w:r>
      <w:r w:rsidRPr="00417FDE">
        <w:rPr>
          <w:rFonts w:hint="eastAsia"/>
        </w:rPr>
        <w:t xml:space="preserve">national identity, </w:t>
      </w:r>
      <w:r w:rsidRPr="00417FDE">
        <w:t>U.S. security commitments, Taiwan’s economic performance,</w:t>
      </w:r>
      <w:r w:rsidRPr="00417FDE">
        <w:rPr>
          <w:rFonts w:hint="eastAsia"/>
        </w:rPr>
        <w:t xml:space="preserve"> generational differences, and party identification. </w:t>
      </w:r>
      <w:r w:rsidRPr="00417FDE">
        <w:t>By limiting their scope to just two conditions, their study oversimplifies the complexity of cross-strait attitudes, leaving crucial determinants unexamined.</w:t>
      </w:r>
    </w:p>
    <w:p w14:paraId="51AC07DF" w14:textId="1638E102" w:rsidR="00417FDE" w:rsidRPr="00417FDE" w:rsidRDefault="00417FDE" w:rsidP="007D2FEC">
      <w:pPr>
        <w:spacing w:before="100" w:beforeAutospacing="1" w:after="100" w:afterAutospacing="1" w:line="480" w:lineRule="auto"/>
        <w:ind w:firstLine="720"/>
      </w:pPr>
      <w:r>
        <w:rPr>
          <w:rFonts w:hint="eastAsia"/>
        </w:rPr>
        <w:lastRenderedPageBreak/>
        <w:t>Second, their approach is primarily descriptive, relying on cross-tabulations rather than advanced statistical methods that could systematically analyze</w:t>
      </w:r>
      <w:r w:rsidRPr="00417FDE">
        <w:t> </w:t>
      </w:r>
      <w:r w:rsidR="004E79F9">
        <w:rPr>
          <w:rFonts w:hint="eastAsia"/>
        </w:rPr>
        <w:t>the weight of each factor in</w:t>
      </w:r>
      <w:r w:rsidRPr="00417FDE">
        <w:t xml:space="preserve"> shap</w:t>
      </w:r>
      <w:r w:rsidR="004E79F9">
        <w:rPr>
          <w:rFonts w:hint="eastAsia"/>
        </w:rPr>
        <w:t>ing</w:t>
      </w:r>
      <w:r w:rsidRPr="00417FDE">
        <w:t xml:space="preserve"> public opinion. While their findings effectively identify trends, they do not test the relative weight of different variables</w:t>
      </w:r>
      <w:r w:rsidR="00325827">
        <w:rPr>
          <w:rFonts w:hint="eastAsia"/>
        </w:rPr>
        <w:t>.</w:t>
      </w:r>
      <w:r w:rsidRPr="00417FDE">
        <w:t xml:space="preserve"> </w:t>
      </w:r>
      <w:r w:rsidR="00325827">
        <w:rPr>
          <w:rFonts w:hint="eastAsia"/>
        </w:rPr>
        <w:t>For example,</w:t>
      </w:r>
      <w:r w:rsidRPr="00417FDE">
        <w:t xml:space="preserve"> how does national identity compare to economic concerns or military threats in shaping preferences?</w:t>
      </w:r>
      <w:r w:rsidR="007D2FEC">
        <w:rPr>
          <w:rFonts w:hint="eastAsia"/>
        </w:rPr>
        <w:t xml:space="preserve">  A more robust analysis would involve a multinomial logit regression as seen in </w:t>
      </w:r>
      <w:proofErr w:type="spellStart"/>
      <w:r w:rsidR="007D2FEC">
        <w:rPr>
          <w:rFonts w:hint="eastAsia"/>
        </w:rPr>
        <w:t>Niou</w:t>
      </w:r>
      <w:proofErr w:type="spellEnd"/>
      <w:r w:rsidR="007D2FEC">
        <w:rPr>
          <w:rFonts w:hint="eastAsia"/>
        </w:rPr>
        <w:t xml:space="preserve"> (2004)</w:t>
      </w:r>
      <w:r w:rsidR="007D2FEC">
        <w:rPr>
          <w:rStyle w:val="FootnoteReference"/>
        </w:rPr>
        <w:footnoteReference w:id="21"/>
      </w:r>
      <w:r w:rsidR="007D2FEC">
        <w:rPr>
          <w:rFonts w:hint="eastAsia"/>
        </w:rPr>
        <w:t xml:space="preserve"> that measures the independent effect on cross-strait preferences.</w:t>
      </w:r>
    </w:p>
    <w:p w14:paraId="175D4C1E" w14:textId="0D67A1CD" w:rsidR="007D2FEC" w:rsidRDefault="007D2FEC" w:rsidP="00217751">
      <w:pPr>
        <w:spacing w:before="240" w:after="240" w:line="480" w:lineRule="auto"/>
        <w:ind w:firstLine="720"/>
      </w:pPr>
      <w:r>
        <w:t xml:space="preserve">By </w:t>
      </w:r>
      <w:r>
        <w:rPr>
          <w:rFonts w:hint="eastAsia"/>
        </w:rPr>
        <w:t>summarizing the contributions and limitations of</w:t>
      </w:r>
      <w:r>
        <w:t xml:space="preserve"> the</w:t>
      </w:r>
      <w:r>
        <w:rPr>
          <w:rFonts w:hint="eastAsia"/>
        </w:rPr>
        <w:t xml:space="preserve"> contributions in Chu (2004), </w:t>
      </w:r>
      <w:proofErr w:type="spellStart"/>
      <w:r>
        <w:rPr>
          <w:rFonts w:hint="eastAsia"/>
        </w:rPr>
        <w:t>Niou</w:t>
      </w:r>
      <w:proofErr w:type="spellEnd"/>
      <w:r>
        <w:rPr>
          <w:rFonts w:hint="eastAsia"/>
        </w:rPr>
        <w:t xml:space="preserve"> (2004), and Wang et al. (2025)</w:t>
      </w:r>
      <w:r>
        <w:t xml:space="preserve">, </w:t>
      </w:r>
      <w:r w:rsidR="004E79F9">
        <w:rPr>
          <w:rFonts w:hint="eastAsia"/>
        </w:rPr>
        <w:t>I am</w:t>
      </w:r>
      <w:r>
        <w:t xml:space="preserve"> to take one step further using </w:t>
      </w:r>
      <w:proofErr w:type="spellStart"/>
      <w:r>
        <w:t>Niou’s</w:t>
      </w:r>
      <w:proofErr w:type="spellEnd"/>
      <w:r>
        <w:t xml:space="preserve"> conditional preference framework to provide a more comprehensive understanding of the determinants of Taiwanese public attitudes</w:t>
      </w:r>
      <w:r w:rsidR="00B66684">
        <w:rPr>
          <w:rFonts w:hint="eastAsia"/>
        </w:rPr>
        <w:t>.</w:t>
      </w:r>
    </w:p>
    <w:p w14:paraId="1F94A6B6" w14:textId="133CB7AE" w:rsidR="00B66684" w:rsidRPr="00B66684" w:rsidRDefault="00B66684" w:rsidP="00B66684">
      <w:pPr>
        <w:spacing w:line="480" w:lineRule="auto"/>
        <w:rPr>
          <w:b/>
          <w:bCs/>
          <w:sz w:val="28"/>
          <w:szCs w:val="28"/>
        </w:rPr>
      </w:pPr>
      <w:r w:rsidRPr="00B66684">
        <w:rPr>
          <w:b/>
          <w:bCs/>
          <w:sz w:val="28"/>
          <w:szCs w:val="28"/>
        </w:rPr>
        <w:t>Methodology</w:t>
      </w:r>
    </w:p>
    <w:p w14:paraId="706E52DD" w14:textId="413D1060" w:rsidR="004277C4" w:rsidRPr="00B66684" w:rsidRDefault="004277C4" w:rsidP="004277C4">
      <w:pPr>
        <w:spacing w:before="240" w:after="240" w:line="480" w:lineRule="auto"/>
        <w:ind w:firstLine="720"/>
        <w:rPr>
          <w:rFonts w:hint="eastAsia"/>
        </w:rPr>
      </w:pPr>
      <w:r w:rsidRPr="004277C4">
        <w:t xml:space="preserve">This study builds on </w:t>
      </w:r>
      <w:proofErr w:type="spellStart"/>
      <w:r w:rsidRPr="004277C4">
        <w:t>Niou's</w:t>
      </w:r>
      <w:proofErr w:type="spellEnd"/>
      <w:r w:rsidRPr="004277C4">
        <w:t xml:space="preserve"> (2004) conditional preference framework to examine how Taiwanese attitudes toward independence have evolved over </w:t>
      </w:r>
      <w:r w:rsidR="000C77D7" w:rsidRPr="004277C4">
        <w:t>time and</w:t>
      </w:r>
      <w:r w:rsidR="000C77D7">
        <w:rPr>
          <w:rFonts w:hint="eastAsia"/>
        </w:rPr>
        <w:t xml:space="preserve"> uses</w:t>
      </w:r>
      <w:r w:rsidRPr="004277C4">
        <w:t xml:space="preserve"> survey data from the Taiwan National Security Studies (TNSS) </w:t>
      </w:r>
      <w:r w:rsidR="000C77D7">
        <w:rPr>
          <w:rFonts w:hint="eastAsia"/>
        </w:rPr>
        <w:t>conducted in</w:t>
      </w:r>
      <w:r w:rsidRPr="004277C4">
        <w:t xml:space="preserve"> 2024</w:t>
      </w:r>
      <w:r w:rsidR="00444D6F">
        <w:rPr>
          <w:rFonts w:hint="eastAsia"/>
        </w:rPr>
        <w:t xml:space="preserve"> to capture the newest trends in Taiwanese public opinion </w:t>
      </w:r>
      <w:r w:rsidR="000C77D7">
        <w:rPr>
          <w:rFonts w:hint="eastAsia"/>
        </w:rPr>
        <w:t>following Wang et al. (2025)</w:t>
      </w:r>
      <w:r w:rsidR="000C77D7">
        <w:t>’</w:t>
      </w:r>
      <w:r w:rsidR="000C77D7">
        <w:rPr>
          <w:rFonts w:hint="eastAsia"/>
        </w:rPr>
        <w:t>s examination of 2002-2022 public opinion data</w:t>
      </w:r>
      <w:r w:rsidRPr="004277C4">
        <w:t>.</w:t>
      </w:r>
    </w:p>
    <w:p w14:paraId="20CD9F23" w14:textId="33C5994D" w:rsidR="00B66684" w:rsidRPr="00B66684" w:rsidRDefault="00B66684" w:rsidP="00B66684">
      <w:pPr>
        <w:spacing w:before="240" w:after="240" w:line="480" w:lineRule="auto"/>
      </w:pPr>
      <w:r w:rsidRPr="00B66684">
        <w:rPr>
          <w:b/>
          <w:bCs/>
        </w:rPr>
        <w:t>Data Sources</w:t>
      </w:r>
    </w:p>
    <w:p w14:paraId="0841A7FA" w14:textId="4630A344" w:rsidR="00B66684" w:rsidRDefault="00B66684" w:rsidP="00B66684">
      <w:pPr>
        <w:spacing w:before="240" w:after="240" w:line="480" w:lineRule="auto"/>
        <w:ind w:firstLine="720"/>
      </w:pPr>
      <w:r w:rsidRPr="00B66684">
        <w:lastRenderedPageBreak/>
        <w:t xml:space="preserve">The dataset for this study is the Taiwan National Security Studies (TNSS), a nationally representative survey that tracks public attitudes toward Taiwan’s security, cross-strait relations, and U.S. foreign policy commitments. The </w:t>
      </w:r>
      <w:r w:rsidR="000C77D7">
        <w:rPr>
          <w:rFonts w:hint="eastAsia"/>
        </w:rPr>
        <w:t xml:space="preserve">weighed </w:t>
      </w:r>
      <w:r w:rsidRPr="00B66684">
        <w:t>dataset includes responses on preferences for independence, unification, and the status quo, as well as key independent variables that influence these preferences.</w:t>
      </w:r>
    </w:p>
    <w:p w14:paraId="66BE64E7" w14:textId="77777777" w:rsidR="00B66684" w:rsidRDefault="00B66684" w:rsidP="00B66684">
      <w:pPr>
        <w:spacing w:before="240" w:after="240" w:line="480" w:lineRule="auto"/>
      </w:pPr>
      <w:r w:rsidRPr="00B66684">
        <w:rPr>
          <w:b/>
          <w:bCs/>
        </w:rPr>
        <w:t>Variables</w:t>
      </w:r>
    </w:p>
    <w:p w14:paraId="5F99F430" w14:textId="3D7B67DF" w:rsidR="00B66684" w:rsidRPr="00B66684" w:rsidRDefault="00B66684" w:rsidP="00B66684">
      <w:pPr>
        <w:spacing w:before="240" w:after="240" w:line="480" w:lineRule="auto"/>
        <w:ind w:firstLine="720"/>
      </w:pPr>
      <w:r w:rsidRPr="00B66684">
        <w:t>This study examines attitudes toward independence as the dependent variable, measured through survey responses indicating support for independence, unification, or maintaining the status quo under various conditions.</w:t>
      </w:r>
    </w:p>
    <w:p w14:paraId="3039C41C" w14:textId="397FD38A" w:rsidR="00B66684" w:rsidRPr="00B66684" w:rsidRDefault="00B66684" w:rsidP="00B66684">
      <w:pPr>
        <w:spacing w:before="240" w:after="240" w:line="480" w:lineRule="auto"/>
        <w:rPr>
          <w:i/>
          <w:iCs/>
        </w:rPr>
      </w:pPr>
      <w:r w:rsidRPr="00B66684">
        <w:rPr>
          <w:i/>
          <w:iCs/>
        </w:rPr>
        <w:t>Independent variables include:</w:t>
      </w:r>
    </w:p>
    <w:p w14:paraId="33252483" w14:textId="77777777" w:rsidR="00B66684" w:rsidRPr="00B66684" w:rsidRDefault="00B66684" w:rsidP="00B66684">
      <w:pPr>
        <w:spacing w:before="240" w:after="240" w:line="480" w:lineRule="auto"/>
        <w:ind w:firstLine="720"/>
      </w:pPr>
      <w:r w:rsidRPr="00B66684">
        <w:t xml:space="preserve">1. National identity </w:t>
      </w:r>
      <w:r w:rsidRPr="00B66684">
        <w:rPr>
          <w:i/>
          <w:iCs/>
        </w:rPr>
        <w:t>(Taiwanese, Chinese, or both)</w:t>
      </w:r>
      <w:r w:rsidRPr="00B66684">
        <w:t xml:space="preserve"> – Captures whether identity influences preferences for independence or unification.</w:t>
      </w:r>
    </w:p>
    <w:p w14:paraId="32F6943A" w14:textId="77777777" w:rsidR="00B66684" w:rsidRPr="00B66684" w:rsidRDefault="00B66684" w:rsidP="00B66684">
      <w:pPr>
        <w:spacing w:before="240" w:after="240" w:line="480" w:lineRule="auto"/>
        <w:ind w:firstLine="720"/>
      </w:pPr>
      <w:r w:rsidRPr="00B66684">
        <w:t>2. Age/generational cohorts – Tests whether younger or older generations differ in their cross-strait attitudes.</w:t>
      </w:r>
    </w:p>
    <w:p w14:paraId="38A1385B" w14:textId="77777777" w:rsidR="00B66684" w:rsidRPr="00B66684" w:rsidRDefault="00B66684" w:rsidP="00B66684">
      <w:pPr>
        <w:spacing w:before="240" w:after="240" w:line="480" w:lineRule="auto"/>
        <w:ind w:firstLine="720"/>
      </w:pPr>
      <w:r w:rsidRPr="00B66684">
        <w:t>3. Perceived military threat from China – Measures whether fear of conflict affects support for independence.</w:t>
      </w:r>
    </w:p>
    <w:p w14:paraId="1BFBD93F" w14:textId="704A66B5" w:rsidR="00B66684" w:rsidRPr="00B66684" w:rsidRDefault="00B66684" w:rsidP="00B66684">
      <w:pPr>
        <w:spacing w:before="240" w:after="240" w:line="480" w:lineRule="auto"/>
        <w:ind w:firstLine="720"/>
      </w:pPr>
      <w:r w:rsidRPr="00B66684">
        <w:t xml:space="preserve">4. </w:t>
      </w:r>
      <w:r w:rsidR="00E87C37">
        <w:rPr>
          <w:rFonts w:hint="eastAsia"/>
        </w:rPr>
        <w:t xml:space="preserve">Mainland </w:t>
      </w:r>
      <w:r w:rsidRPr="00B66684">
        <w:t xml:space="preserve">Economic </w:t>
      </w:r>
      <w:r w:rsidR="00F61B7D">
        <w:rPr>
          <w:rFonts w:hint="eastAsia"/>
        </w:rPr>
        <w:t>integration</w:t>
      </w:r>
      <w:r w:rsidRPr="00B66684">
        <w:t xml:space="preserve"> </w:t>
      </w:r>
      <w:r w:rsidR="00F61B7D">
        <w:rPr>
          <w:rFonts w:hint="eastAsia"/>
        </w:rPr>
        <w:t>attitudes</w:t>
      </w:r>
      <w:r w:rsidRPr="00B66684">
        <w:t xml:space="preserve"> – Assesses whether belief in </w:t>
      </w:r>
      <w:r w:rsidR="00F61B7D">
        <w:rPr>
          <w:rFonts w:hint="eastAsia"/>
        </w:rPr>
        <w:t>closer economic integration with</w:t>
      </w:r>
      <w:r w:rsidRPr="00B66684">
        <w:t xml:space="preserve"> </w:t>
      </w:r>
      <w:r w:rsidR="00E87C37">
        <w:rPr>
          <w:rFonts w:hint="eastAsia"/>
        </w:rPr>
        <w:t xml:space="preserve">mainland </w:t>
      </w:r>
      <w:r w:rsidRPr="00B66684">
        <w:t>China influences attitudes.</w:t>
      </w:r>
    </w:p>
    <w:p w14:paraId="27CA05BA" w14:textId="77777777" w:rsidR="00B66684" w:rsidRPr="00B66684" w:rsidRDefault="00B66684" w:rsidP="00B66684">
      <w:pPr>
        <w:spacing w:before="240" w:after="240" w:line="480" w:lineRule="auto"/>
        <w:ind w:firstLine="720"/>
      </w:pPr>
      <w:r w:rsidRPr="00B66684">
        <w:t xml:space="preserve">5. Party Identification </w:t>
      </w:r>
      <w:r w:rsidRPr="00B66684">
        <w:rPr>
          <w:i/>
          <w:iCs/>
        </w:rPr>
        <w:t>(DPP, KMT, third parties, or non-partisan)</w:t>
      </w:r>
      <w:r w:rsidRPr="00B66684">
        <w:t xml:space="preserve"> – Determines whether partisan alignment conditions policy preferences.</w:t>
      </w:r>
    </w:p>
    <w:p w14:paraId="21483FDB" w14:textId="171A2694" w:rsidR="00B66684" w:rsidRDefault="00B66684" w:rsidP="00B66684">
      <w:pPr>
        <w:spacing w:before="240" w:after="240" w:line="480" w:lineRule="auto"/>
        <w:ind w:firstLine="720"/>
      </w:pPr>
      <w:r w:rsidRPr="00B66684">
        <w:lastRenderedPageBreak/>
        <w:t>6. U.S. security commitment – Examines whether belief in U.S. military support affects willingness to support independence.</w:t>
      </w:r>
    </w:p>
    <w:p w14:paraId="4CEA7985" w14:textId="2C9CD09E" w:rsidR="00F847B7" w:rsidRDefault="00F847B7" w:rsidP="00B66684">
      <w:pPr>
        <w:spacing w:before="240" w:after="240" w:line="480" w:lineRule="auto"/>
        <w:ind w:firstLine="720"/>
      </w:pPr>
      <w:r>
        <w:rPr>
          <w:rFonts w:hint="eastAsia"/>
        </w:rPr>
        <w:t xml:space="preserve">7. Ethnic Group </w:t>
      </w:r>
      <w:r>
        <w:t>–</w:t>
      </w:r>
      <w:r>
        <w:rPr>
          <w:rFonts w:hint="eastAsia"/>
        </w:rPr>
        <w:t xml:space="preserve"> Whether </w:t>
      </w:r>
      <w:r>
        <w:t>ethnic</w:t>
      </w:r>
      <w:r>
        <w:rPr>
          <w:rFonts w:hint="eastAsia"/>
        </w:rPr>
        <w:t xml:space="preserve"> group affiliation (</w:t>
      </w:r>
      <w:proofErr w:type="spellStart"/>
      <w:r>
        <w:rPr>
          <w:rFonts w:hint="eastAsia"/>
        </w:rPr>
        <w:t>Waisheng</w:t>
      </w:r>
      <w:proofErr w:type="spellEnd"/>
      <w:r>
        <w:rPr>
          <w:rFonts w:hint="eastAsia"/>
        </w:rPr>
        <w:t xml:space="preserve">, Hakka, </w:t>
      </w:r>
      <w:proofErr w:type="spellStart"/>
      <w:r>
        <w:rPr>
          <w:rFonts w:hint="eastAsia"/>
        </w:rPr>
        <w:t>Minnan</w:t>
      </w:r>
      <w:proofErr w:type="spellEnd"/>
      <w:r>
        <w:rPr>
          <w:rFonts w:hint="eastAsia"/>
        </w:rPr>
        <w:t>, Aboriginals) display differences.</w:t>
      </w:r>
    </w:p>
    <w:p w14:paraId="602B4FCC" w14:textId="57CD91C0" w:rsidR="00F847B7" w:rsidRPr="00B66684" w:rsidRDefault="00F847B7" w:rsidP="00B66684">
      <w:pPr>
        <w:spacing w:before="240" w:after="240" w:line="480" w:lineRule="auto"/>
        <w:ind w:firstLine="720"/>
        <w:rPr>
          <w:rFonts w:hint="eastAsia"/>
        </w:rPr>
      </w:pPr>
      <w:r>
        <w:rPr>
          <w:rFonts w:hint="eastAsia"/>
        </w:rPr>
        <w:t xml:space="preserve">8. Education Level </w:t>
      </w:r>
      <w:r>
        <w:t>–</w:t>
      </w:r>
      <w:r>
        <w:rPr>
          <w:rFonts w:hint="eastAsia"/>
        </w:rPr>
        <w:t xml:space="preserve"> Whether educate level associates with attitudes. If so, how much does it attribute to differences?</w:t>
      </w:r>
    </w:p>
    <w:p w14:paraId="37581E82" w14:textId="6146AEB7" w:rsidR="00B66684" w:rsidRPr="00B66684" w:rsidRDefault="00B66684" w:rsidP="00B66684">
      <w:pPr>
        <w:spacing w:before="240" w:after="240" w:line="480" w:lineRule="auto"/>
      </w:pPr>
      <w:r w:rsidRPr="00B66684">
        <w:rPr>
          <w:b/>
          <w:bCs/>
        </w:rPr>
        <w:t>Analytical Approach</w:t>
      </w:r>
    </w:p>
    <w:p w14:paraId="26D8CBD1" w14:textId="7ACB5618" w:rsidR="00B66684" w:rsidRDefault="00B66684" w:rsidP="00B66684">
      <w:pPr>
        <w:spacing w:before="240" w:after="240" w:line="480" w:lineRule="auto"/>
        <w:ind w:firstLine="720"/>
      </w:pPr>
      <w:r w:rsidRPr="00B66684">
        <w:t xml:space="preserve">This study replicates </w:t>
      </w:r>
      <w:proofErr w:type="spellStart"/>
      <w:r w:rsidRPr="00B66684">
        <w:t>Niou’s</w:t>
      </w:r>
      <w:proofErr w:type="spellEnd"/>
      <w:r w:rsidRPr="00B66684">
        <w:t xml:space="preserve"> (2004) statistical approach but applies it to more recent data </w:t>
      </w:r>
      <w:r w:rsidR="00444D6F">
        <w:rPr>
          <w:rFonts w:hint="eastAsia"/>
        </w:rPr>
        <w:t>(2024)</w:t>
      </w:r>
      <w:r w:rsidRPr="00B66684">
        <w:t xml:space="preserve"> to assess how Taiwanese public opinion has changed over time. Using </w:t>
      </w:r>
      <w:r w:rsidR="000C77D7">
        <w:rPr>
          <w:rFonts w:hint="eastAsia"/>
        </w:rPr>
        <w:t xml:space="preserve">crosstabulation and </w:t>
      </w:r>
      <w:r w:rsidRPr="00B66684">
        <w:t>multinomial logit regression, this study evaluates how each independent variable affects the probability of supporting independence, unification, or the status quo</w:t>
      </w:r>
      <w:r w:rsidR="00325827">
        <w:rPr>
          <w:rFonts w:hint="eastAsia"/>
        </w:rPr>
        <w:t xml:space="preserve"> in 2024</w:t>
      </w:r>
      <w:r w:rsidRPr="00B66684">
        <w:t>.</w:t>
      </w:r>
    </w:p>
    <w:p w14:paraId="40CBC5A3" w14:textId="304D416C" w:rsidR="0032657B" w:rsidRPr="0032657B" w:rsidRDefault="0032657B" w:rsidP="0032657B">
      <w:pPr>
        <w:spacing w:before="240" w:after="240" w:line="480" w:lineRule="auto"/>
        <w:rPr>
          <w:i/>
          <w:iCs/>
        </w:rPr>
      </w:pPr>
      <w:r w:rsidRPr="0032657B">
        <w:rPr>
          <w:i/>
          <w:iCs/>
        </w:rPr>
        <w:t>Crosstabulation</w:t>
      </w:r>
    </w:p>
    <w:p w14:paraId="6813792C" w14:textId="105D3002" w:rsidR="0032657B" w:rsidRDefault="0032657B" w:rsidP="0032657B">
      <w:pPr>
        <w:spacing w:before="240" w:after="240" w:line="480" w:lineRule="auto"/>
        <w:ind w:firstLine="720"/>
      </w:pPr>
      <w:r w:rsidRPr="0032657B">
        <w:t xml:space="preserve">I first present a crosstabulation analysis to examine the relationship between preferences for independence and unification in 2024, providing a </w:t>
      </w:r>
      <w:r w:rsidR="000C77D7">
        <w:rPr>
          <w:rFonts w:hint="eastAsia"/>
        </w:rPr>
        <w:t>preliminary</w:t>
      </w:r>
      <w:r w:rsidRPr="0032657B">
        <w:t xml:space="preserve"> understanding of how Taiwanese respondents navigate these two competing political orientations. By categorizing respondents into unconditional supporters, conditional supporters, and non-supporters for both independence and unification, the crosstab allows for a direct comparison of how these preferences intersect. The results of this analysis serve as a baseline for the multinomial logit </w:t>
      </w:r>
      <w:r w:rsidRPr="0032657B">
        <w:lastRenderedPageBreak/>
        <w:t xml:space="preserve">regression model, which further tests how various independent variables—such as national identity, economic expectations, and security </w:t>
      </w:r>
      <w:r w:rsidR="00B42344" w:rsidRPr="00A94C42">
        <w:drawing>
          <wp:anchor distT="0" distB="0" distL="114300" distR="114300" simplePos="0" relativeHeight="251660288" behindDoc="0" locked="0" layoutInCell="1" allowOverlap="1" wp14:anchorId="6AD3BAFC" wp14:editId="7BAC55E3">
            <wp:simplePos x="0" y="0"/>
            <wp:positionH relativeFrom="column">
              <wp:posOffset>-411</wp:posOffset>
            </wp:positionH>
            <wp:positionV relativeFrom="paragraph">
              <wp:posOffset>4173407</wp:posOffset>
            </wp:positionV>
            <wp:extent cx="1897811" cy="924980"/>
            <wp:effectExtent l="0" t="0" r="0" b="2540"/>
            <wp:wrapTopAndBottom/>
            <wp:docPr id="993990924"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90924" name="Picture 1" descr="A screenshot of a tes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811" cy="924980"/>
                    </a:xfrm>
                    <a:prstGeom prst="rect">
                      <a:avLst/>
                    </a:prstGeom>
                  </pic:spPr>
                </pic:pic>
              </a:graphicData>
            </a:graphic>
            <wp14:sizeRelH relativeFrom="page">
              <wp14:pctWidth>0</wp14:pctWidth>
            </wp14:sizeRelH>
            <wp14:sizeRelV relativeFrom="page">
              <wp14:pctHeight>0</wp14:pctHeight>
            </wp14:sizeRelV>
          </wp:anchor>
        </w:drawing>
      </w:r>
      <w:r w:rsidRPr="0032657B">
        <w:t>concerns—shape these preferences over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107"/>
        <w:gridCol w:w="1080"/>
        <w:gridCol w:w="854"/>
        <w:gridCol w:w="1509"/>
      </w:tblGrid>
      <w:tr w:rsidR="005B16B1" w:rsidRPr="005B16B1" w14:paraId="48AA7832" w14:textId="77777777" w:rsidTr="005B16B1">
        <w:trPr>
          <w:tblHeader/>
          <w:tblCellSpacing w:w="15" w:type="dxa"/>
        </w:trPr>
        <w:tc>
          <w:tcPr>
            <w:tcW w:w="0" w:type="auto"/>
            <w:vAlign w:val="center"/>
            <w:hideMark/>
          </w:tcPr>
          <w:p w14:paraId="4F61A7D1" w14:textId="78D18170" w:rsidR="005B16B1" w:rsidRPr="005B16B1" w:rsidRDefault="005B16B1" w:rsidP="005B16B1">
            <w:pPr>
              <w:rPr>
                <w:sz w:val="20"/>
                <w:szCs w:val="20"/>
              </w:rPr>
            </w:pPr>
          </w:p>
        </w:tc>
        <w:tc>
          <w:tcPr>
            <w:tcW w:w="0" w:type="auto"/>
            <w:vAlign w:val="center"/>
            <w:hideMark/>
          </w:tcPr>
          <w:p w14:paraId="706FCAB3" w14:textId="77777777" w:rsidR="005B16B1" w:rsidRPr="005B16B1" w:rsidRDefault="005B16B1" w:rsidP="005B16B1">
            <w:pPr>
              <w:spacing w:before="100" w:beforeAutospacing="1" w:after="100" w:afterAutospacing="1"/>
              <w:jc w:val="center"/>
            </w:pPr>
            <w:r w:rsidRPr="005B16B1">
              <w:t>Taiwanese</w:t>
            </w:r>
          </w:p>
        </w:tc>
        <w:tc>
          <w:tcPr>
            <w:tcW w:w="0" w:type="auto"/>
            <w:vAlign w:val="center"/>
            <w:hideMark/>
          </w:tcPr>
          <w:p w14:paraId="0BC023B3" w14:textId="77777777" w:rsidR="005B16B1" w:rsidRPr="005B16B1" w:rsidRDefault="005B16B1" w:rsidP="005B16B1">
            <w:pPr>
              <w:spacing w:before="100" w:beforeAutospacing="1" w:after="100" w:afterAutospacing="1"/>
              <w:jc w:val="center"/>
            </w:pPr>
            <w:r w:rsidRPr="005B16B1">
              <w:t>Both</w:t>
            </w:r>
          </w:p>
        </w:tc>
        <w:tc>
          <w:tcPr>
            <w:tcW w:w="0" w:type="auto"/>
            <w:vAlign w:val="center"/>
            <w:hideMark/>
          </w:tcPr>
          <w:p w14:paraId="65264871" w14:textId="77777777" w:rsidR="005B16B1" w:rsidRPr="005B16B1" w:rsidRDefault="005B16B1" w:rsidP="005B16B1">
            <w:pPr>
              <w:spacing w:before="100" w:beforeAutospacing="1" w:after="100" w:afterAutospacing="1"/>
              <w:jc w:val="center"/>
            </w:pPr>
            <w:r w:rsidRPr="005B16B1">
              <w:t>Chinese</w:t>
            </w:r>
          </w:p>
        </w:tc>
        <w:tc>
          <w:tcPr>
            <w:tcW w:w="0" w:type="auto"/>
            <w:vAlign w:val="center"/>
            <w:hideMark/>
          </w:tcPr>
          <w:p w14:paraId="08B5FCA8" w14:textId="77777777" w:rsidR="005B16B1" w:rsidRPr="005B16B1" w:rsidRDefault="005B16B1" w:rsidP="005B16B1">
            <w:pPr>
              <w:spacing w:before="100" w:beforeAutospacing="1" w:after="100" w:afterAutospacing="1"/>
              <w:jc w:val="center"/>
            </w:pPr>
            <w:r w:rsidRPr="005B16B1">
              <w:t>Row Total (N)</w:t>
            </w:r>
          </w:p>
        </w:tc>
      </w:tr>
      <w:tr w:rsidR="005B16B1" w:rsidRPr="005B16B1" w14:paraId="34D338E8" w14:textId="77777777" w:rsidTr="005B16B1">
        <w:trPr>
          <w:tblCellSpacing w:w="15" w:type="dxa"/>
        </w:trPr>
        <w:tc>
          <w:tcPr>
            <w:tcW w:w="0" w:type="auto"/>
            <w:vAlign w:val="center"/>
            <w:hideMark/>
          </w:tcPr>
          <w:p w14:paraId="4ED1F4B9" w14:textId="3ADD57A6" w:rsidR="005B16B1" w:rsidRPr="005B16B1" w:rsidRDefault="005B16B1" w:rsidP="005B16B1">
            <w:pPr>
              <w:spacing w:before="100" w:beforeAutospacing="1" w:after="100" w:afterAutospacing="1"/>
            </w:pPr>
            <w:r w:rsidRPr="005B16B1">
              <w:t>Unconditional Support (IND)</w:t>
            </w:r>
          </w:p>
        </w:tc>
        <w:tc>
          <w:tcPr>
            <w:tcW w:w="0" w:type="auto"/>
            <w:vAlign w:val="center"/>
            <w:hideMark/>
          </w:tcPr>
          <w:p w14:paraId="67A63FE3" w14:textId="77777777" w:rsidR="005B16B1" w:rsidRPr="005B16B1" w:rsidRDefault="005B16B1" w:rsidP="005B16B1">
            <w:pPr>
              <w:spacing w:before="100" w:beforeAutospacing="1" w:after="100" w:afterAutospacing="1"/>
            </w:pPr>
            <w:r w:rsidRPr="005B16B1">
              <w:t>85.5 (396)</w:t>
            </w:r>
          </w:p>
        </w:tc>
        <w:tc>
          <w:tcPr>
            <w:tcW w:w="0" w:type="auto"/>
            <w:vAlign w:val="center"/>
            <w:hideMark/>
          </w:tcPr>
          <w:p w14:paraId="6FEDC9C5" w14:textId="77777777" w:rsidR="005B16B1" w:rsidRPr="005B16B1" w:rsidRDefault="005B16B1" w:rsidP="005B16B1">
            <w:pPr>
              <w:spacing w:before="100" w:beforeAutospacing="1" w:after="100" w:afterAutospacing="1"/>
            </w:pPr>
            <w:r w:rsidRPr="005B16B1">
              <w:t>14.0 (65)</w:t>
            </w:r>
          </w:p>
        </w:tc>
        <w:tc>
          <w:tcPr>
            <w:tcW w:w="0" w:type="auto"/>
            <w:vAlign w:val="center"/>
            <w:hideMark/>
          </w:tcPr>
          <w:p w14:paraId="10627066" w14:textId="77777777" w:rsidR="005B16B1" w:rsidRPr="005B16B1" w:rsidRDefault="005B16B1" w:rsidP="005B16B1">
            <w:pPr>
              <w:spacing w:before="100" w:beforeAutospacing="1" w:after="100" w:afterAutospacing="1"/>
            </w:pPr>
            <w:r w:rsidRPr="005B16B1">
              <w:t>0.4 (2)</w:t>
            </w:r>
          </w:p>
        </w:tc>
        <w:tc>
          <w:tcPr>
            <w:tcW w:w="0" w:type="auto"/>
            <w:vAlign w:val="center"/>
            <w:hideMark/>
          </w:tcPr>
          <w:p w14:paraId="40A2DDAE" w14:textId="77777777" w:rsidR="005B16B1" w:rsidRDefault="005B16B1" w:rsidP="00A94C42">
            <w:pPr>
              <w:spacing w:before="100" w:beforeAutospacing="1" w:after="100" w:afterAutospacing="1"/>
              <w:jc w:val="center"/>
            </w:pPr>
            <w:r w:rsidRPr="005B16B1">
              <w:t>463</w:t>
            </w:r>
          </w:p>
          <w:p w14:paraId="2B7EA6D6" w14:textId="77777777" w:rsidR="00A94C42" w:rsidRPr="005B16B1" w:rsidRDefault="00A94C42" w:rsidP="00A94C42">
            <w:pPr>
              <w:spacing w:before="100" w:beforeAutospacing="1" w:after="100" w:afterAutospacing="1"/>
              <w:jc w:val="center"/>
              <w:rPr>
                <w:rFonts w:hint="eastAsia"/>
              </w:rPr>
            </w:pPr>
          </w:p>
        </w:tc>
      </w:tr>
      <w:tr w:rsidR="005B16B1" w:rsidRPr="005B16B1" w14:paraId="45EAF67B" w14:textId="77777777" w:rsidTr="005B16B1">
        <w:trPr>
          <w:tblCellSpacing w:w="15" w:type="dxa"/>
        </w:trPr>
        <w:tc>
          <w:tcPr>
            <w:tcW w:w="0" w:type="auto"/>
            <w:vAlign w:val="center"/>
            <w:hideMark/>
          </w:tcPr>
          <w:p w14:paraId="263AFBF7" w14:textId="792B79A2" w:rsidR="005B16B1" w:rsidRPr="005B16B1" w:rsidRDefault="005B16B1" w:rsidP="005B16B1">
            <w:pPr>
              <w:spacing w:before="100" w:beforeAutospacing="1" w:after="100" w:afterAutospacing="1"/>
            </w:pPr>
            <w:r w:rsidRPr="005B16B1">
              <w:t>Conditional Support (IND)</w:t>
            </w:r>
          </w:p>
        </w:tc>
        <w:tc>
          <w:tcPr>
            <w:tcW w:w="0" w:type="auto"/>
            <w:vAlign w:val="center"/>
            <w:hideMark/>
          </w:tcPr>
          <w:p w14:paraId="3FE10AD9" w14:textId="77777777" w:rsidR="005B16B1" w:rsidRPr="005B16B1" w:rsidRDefault="005B16B1" w:rsidP="005B16B1">
            <w:pPr>
              <w:spacing w:before="100" w:beforeAutospacing="1" w:after="100" w:afterAutospacing="1"/>
            </w:pPr>
            <w:r w:rsidRPr="005B16B1">
              <w:t>61.6 (305)</w:t>
            </w:r>
          </w:p>
        </w:tc>
        <w:tc>
          <w:tcPr>
            <w:tcW w:w="0" w:type="auto"/>
            <w:vAlign w:val="center"/>
            <w:hideMark/>
          </w:tcPr>
          <w:p w14:paraId="3769F1B0" w14:textId="77777777" w:rsidR="005B16B1" w:rsidRPr="005B16B1" w:rsidRDefault="005B16B1" w:rsidP="005B16B1">
            <w:pPr>
              <w:spacing w:before="100" w:beforeAutospacing="1" w:after="100" w:afterAutospacing="1"/>
            </w:pPr>
            <w:r w:rsidRPr="005B16B1">
              <w:t>37.8 (187)</w:t>
            </w:r>
          </w:p>
        </w:tc>
        <w:tc>
          <w:tcPr>
            <w:tcW w:w="0" w:type="auto"/>
            <w:vAlign w:val="center"/>
            <w:hideMark/>
          </w:tcPr>
          <w:p w14:paraId="7669B205" w14:textId="77777777" w:rsidR="005B16B1" w:rsidRPr="005B16B1" w:rsidRDefault="005B16B1" w:rsidP="005B16B1">
            <w:pPr>
              <w:spacing w:before="100" w:beforeAutospacing="1" w:after="100" w:afterAutospacing="1"/>
            </w:pPr>
            <w:r w:rsidRPr="005B16B1">
              <w:t>0.6 (3)</w:t>
            </w:r>
          </w:p>
        </w:tc>
        <w:tc>
          <w:tcPr>
            <w:tcW w:w="0" w:type="auto"/>
            <w:vAlign w:val="center"/>
            <w:hideMark/>
          </w:tcPr>
          <w:p w14:paraId="0B518B75" w14:textId="77777777" w:rsidR="005B16B1" w:rsidRDefault="005B16B1" w:rsidP="00A94C42">
            <w:pPr>
              <w:spacing w:before="100" w:beforeAutospacing="1" w:after="100" w:afterAutospacing="1"/>
              <w:jc w:val="center"/>
            </w:pPr>
            <w:r w:rsidRPr="005B16B1">
              <w:t>495</w:t>
            </w:r>
          </w:p>
          <w:p w14:paraId="4FDF55CA" w14:textId="77777777" w:rsidR="00A94C42" w:rsidRPr="005B16B1" w:rsidRDefault="00A94C42" w:rsidP="00A94C42">
            <w:pPr>
              <w:spacing w:before="100" w:beforeAutospacing="1" w:after="100" w:afterAutospacing="1"/>
              <w:jc w:val="center"/>
              <w:rPr>
                <w:rFonts w:hint="eastAsia"/>
              </w:rPr>
            </w:pPr>
          </w:p>
        </w:tc>
      </w:tr>
      <w:tr w:rsidR="005B16B1" w:rsidRPr="005B16B1" w14:paraId="7C7A4207" w14:textId="77777777" w:rsidTr="005B16B1">
        <w:trPr>
          <w:tblCellSpacing w:w="15" w:type="dxa"/>
        </w:trPr>
        <w:tc>
          <w:tcPr>
            <w:tcW w:w="0" w:type="auto"/>
            <w:vAlign w:val="center"/>
            <w:hideMark/>
          </w:tcPr>
          <w:p w14:paraId="61FEAD31" w14:textId="5743C3DB" w:rsidR="005B16B1" w:rsidRPr="005B16B1" w:rsidRDefault="005B16B1" w:rsidP="005B16B1">
            <w:pPr>
              <w:spacing w:before="100" w:beforeAutospacing="1" w:after="100" w:afterAutospacing="1"/>
            </w:pPr>
            <w:r w:rsidRPr="005B16B1">
              <w:t>Non‐Support (IND)</w:t>
            </w:r>
          </w:p>
        </w:tc>
        <w:tc>
          <w:tcPr>
            <w:tcW w:w="0" w:type="auto"/>
            <w:vAlign w:val="center"/>
            <w:hideMark/>
          </w:tcPr>
          <w:p w14:paraId="024708D8" w14:textId="77777777" w:rsidR="005B16B1" w:rsidRPr="005B16B1" w:rsidRDefault="005B16B1" w:rsidP="005B16B1">
            <w:pPr>
              <w:spacing w:before="100" w:beforeAutospacing="1" w:after="100" w:afterAutospacing="1"/>
            </w:pPr>
            <w:r w:rsidRPr="005B16B1">
              <w:t>27.3 (77)</w:t>
            </w:r>
          </w:p>
        </w:tc>
        <w:tc>
          <w:tcPr>
            <w:tcW w:w="0" w:type="auto"/>
            <w:vAlign w:val="center"/>
            <w:hideMark/>
          </w:tcPr>
          <w:p w14:paraId="7A2B0A5A" w14:textId="77777777" w:rsidR="005B16B1" w:rsidRPr="005B16B1" w:rsidRDefault="005B16B1" w:rsidP="005B16B1">
            <w:pPr>
              <w:spacing w:before="100" w:beforeAutospacing="1" w:after="100" w:afterAutospacing="1"/>
            </w:pPr>
            <w:r w:rsidRPr="005B16B1">
              <w:t>65.6 (185)</w:t>
            </w:r>
          </w:p>
        </w:tc>
        <w:tc>
          <w:tcPr>
            <w:tcW w:w="0" w:type="auto"/>
            <w:vAlign w:val="center"/>
            <w:hideMark/>
          </w:tcPr>
          <w:p w14:paraId="60390E44" w14:textId="77777777" w:rsidR="005B16B1" w:rsidRPr="005B16B1" w:rsidRDefault="005B16B1" w:rsidP="005B16B1">
            <w:pPr>
              <w:spacing w:before="100" w:beforeAutospacing="1" w:after="100" w:afterAutospacing="1"/>
            </w:pPr>
            <w:r w:rsidRPr="005B16B1">
              <w:t>7.1 (20)</w:t>
            </w:r>
          </w:p>
        </w:tc>
        <w:tc>
          <w:tcPr>
            <w:tcW w:w="0" w:type="auto"/>
            <w:vAlign w:val="center"/>
            <w:hideMark/>
          </w:tcPr>
          <w:p w14:paraId="17D9B82B" w14:textId="77777777" w:rsidR="005B16B1" w:rsidRDefault="005B16B1" w:rsidP="00A94C42">
            <w:pPr>
              <w:spacing w:before="100" w:beforeAutospacing="1" w:after="100" w:afterAutospacing="1"/>
              <w:jc w:val="center"/>
            </w:pPr>
            <w:r w:rsidRPr="005B16B1">
              <w:t>282</w:t>
            </w:r>
          </w:p>
          <w:p w14:paraId="07E522F2" w14:textId="77777777" w:rsidR="00A94C42" w:rsidRPr="005B16B1" w:rsidRDefault="00A94C42" w:rsidP="00A94C42">
            <w:pPr>
              <w:spacing w:before="100" w:beforeAutospacing="1" w:after="100" w:afterAutospacing="1"/>
              <w:jc w:val="center"/>
              <w:rPr>
                <w:rFonts w:hint="eastAsia"/>
              </w:rPr>
            </w:pPr>
          </w:p>
        </w:tc>
      </w:tr>
    </w:tbl>
    <w:p w14:paraId="44C88187" w14:textId="378F812B" w:rsidR="00325827" w:rsidRDefault="00A94C42" w:rsidP="004E2B25">
      <w:pPr>
        <w:spacing w:before="240" w:after="240" w:line="480" w:lineRule="auto"/>
        <w:rPr>
          <w:rFonts w:hint="eastAsia"/>
        </w:rPr>
      </w:pPr>
      <w:r>
        <w:rPr>
          <w:rFonts w:hint="eastAsia"/>
        </w:rPr>
        <w:t xml:space="preserve">Table 1. </w:t>
      </w:r>
      <w:r w:rsidRPr="00A94C42">
        <w:t>National Identity and Preferences on Taiwan Independence (% within each Independence Category)</w:t>
      </w:r>
    </w:p>
    <w:p w14:paraId="7C4801CE" w14:textId="5DACAEB2" w:rsidR="005B16B1" w:rsidRDefault="005B16B1" w:rsidP="00F847B7">
      <w:pPr>
        <w:spacing w:before="240" w:after="240" w:line="480" w:lineRule="auto"/>
        <w:ind w:firstLine="720"/>
      </w:pPr>
      <w:r w:rsidRPr="005B16B1">
        <w:t>Table </w:t>
      </w:r>
      <w:r>
        <w:rPr>
          <w:rFonts w:hint="eastAsia"/>
        </w:rPr>
        <w:t>1</w:t>
      </w:r>
      <w:r w:rsidRPr="005B16B1">
        <w:t xml:space="preserve"> examines the relationship between national identity (self</w:t>
      </w:r>
      <w:r w:rsidRPr="005B16B1">
        <w:rPr>
          <w:rFonts w:hint="eastAsia"/>
        </w:rPr>
        <w:t>‐</w:t>
      </w:r>
      <w:r w:rsidRPr="005B16B1">
        <w:t>identification as Taiwanese, both Taiwanese and Chinese, or exclusively Chinese) and preferences on Taiwan independence. The results demonstrate a clear association between national identity</w:t>
      </w:r>
      <w:r w:rsidRPr="005B16B1">
        <w:rPr>
          <w:rFonts w:hint="eastAsia"/>
        </w:rPr>
        <w:t xml:space="preserve"> and independence preferences. </w:t>
      </w:r>
      <w:r w:rsidR="00B410C2">
        <w:rPr>
          <w:rFonts w:hint="eastAsia"/>
        </w:rPr>
        <w:t>In terms of</w:t>
      </w:r>
      <w:r w:rsidRPr="005B16B1">
        <w:rPr>
          <w:rFonts w:hint="eastAsia"/>
        </w:rPr>
        <w:t xml:space="preserve"> unconditional supporters, 85.5% identify as Taiwanese, while only 0.4% identify as Chinese. This distribution shifts among conditional supporters, where 61.6% are Taiwanese and 37.8% hold a dual identity. Among non‐supporters, however, the proportion of Taiwanese identity drops significantly (27.3%), </w:t>
      </w:r>
      <w:r w:rsidR="00B410C2">
        <w:rPr>
          <w:rFonts w:hint="eastAsia"/>
        </w:rPr>
        <w:t>with</w:t>
      </w:r>
      <w:r w:rsidRPr="005B16B1">
        <w:rPr>
          <w:rFonts w:hint="eastAsia"/>
        </w:rPr>
        <w:t xml:space="preserve"> the largest </w:t>
      </w:r>
      <w:r w:rsidR="00B410C2">
        <w:rPr>
          <w:rFonts w:hint="eastAsia"/>
        </w:rPr>
        <w:t>percentage</w:t>
      </w:r>
      <w:r w:rsidRPr="005B16B1">
        <w:rPr>
          <w:rFonts w:hint="eastAsia"/>
        </w:rPr>
        <w:t xml:space="preserve"> (65.6%) consists of those who identify as both Taiwanese and Chinese.</w:t>
      </w:r>
      <w:r>
        <w:rPr>
          <w:rFonts w:hint="eastAsia"/>
        </w:rPr>
        <w:t xml:space="preserve"> Identification as solely Chinese remains low for all 3 groups. </w:t>
      </w:r>
      <w:r>
        <w:t>But the</w:t>
      </w:r>
      <w:r>
        <w:rPr>
          <w:rFonts w:hint="eastAsia"/>
        </w:rPr>
        <w:t xml:space="preserve"> findings collectively suggest that a Taiwanese-identifying public is likely to support independence, and a more Chinese-identifying group is less </w:t>
      </w:r>
      <w:r>
        <w:rPr>
          <w:rFonts w:hint="eastAsia"/>
        </w:rPr>
        <w:lastRenderedPageBreak/>
        <w:t>likely to endorse it.</w:t>
      </w:r>
      <w:r w:rsidRPr="005B16B1">
        <w:rPr>
          <w:rFonts w:hint="eastAsia"/>
        </w:rPr>
        <w:t xml:space="preserve"> The Pearson Chi‐Square test is </w:t>
      </w:r>
      <w:r w:rsidR="00571C31">
        <w:t>statistically</w:t>
      </w:r>
      <w:r w:rsidRPr="005B16B1">
        <w:rPr>
          <w:rFonts w:hint="eastAsia"/>
        </w:rPr>
        <w:t xml:space="preserve"> significant (p &lt; .001), indicating </w:t>
      </w:r>
      <w:r w:rsidR="00B42344" w:rsidRPr="00A94C42">
        <w:drawing>
          <wp:anchor distT="0" distB="0" distL="114300" distR="114300" simplePos="0" relativeHeight="251668480" behindDoc="0" locked="0" layoutInCell="1" allowOverlap="1" wp14:anchorId="797B9431" wp14:editId="26BCC8DB">
            <wp:simplePos x="0" y="0"/>
            <wp:positionH relativeFrom="column">
              <wp:posOffset>0</wp:posOffset>
            </wp:positionH>
            <wp:positionV relativeFrom="paragraph">
              <wp:posOffset>2733675</wp:posOffset>
            </wp:positionV>
            <wp:extent cx="2171065" cy="1039495"/>
            <wp:effectExtent l="0" t="0" r="635" b="1905"/>
            <wp:wrapTopAndBottom/>
            <wp:docPr id="13630795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9546" name="Picture 1"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065" cy="1039495"/>
                    </a:xfrm>
                    <a:prstGeom prst="rect">
                      <a:avLst/>
                    </a:prstGeom>
                  </pic:spPr>
                </pic:pic>
              </a:graphicData>
            </a:graphic>
            <wp14:sizeRelH relativeFrom="page">
              <wp14:pctWidth>0</wp14:pctWidth>
            </wp14:sizeRelH>
            <wp14:sizeRelV relativeFrom="page">
              <wp14:pctHeight>0</wp14:pctHeight>
            </wp14:sizeRelV>
          </wp:anchor>
        </w:drawing>
      </w:r>
      <w:r w:rsidRPr="005B16B1">
        <w:rPr>
          <w:rFonts w:hint="eastAsia"/>
        </w:rPr>
        <w:t>that n</w:t>
      </w:r>
      <w:r w:rsidRPr="005B16B1">
        <w:t>ational identity plays a major role in shaping attitudes toward Taiwan’s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9"/>
        <w:gridCol w:w="1080"/>
        <w:gridCol w:w="1080"/>
        <w:gridCol w:w="1080"/>
        <w:gridCol w:w="960"/>
        <w:gridCol w:w="1267"/>
        <w:gridCol w:w="1509"/>
      </w:tblGrid>
      <w:tr w:rsidR="00A94C42" w:rsidRPr="00A94C42" w14:paraId="10FE855F" w14:textId="77777777" w:rsidTr="00A94C42">
        <w:trPr>
          <w:tblHeader/>
          <w:tblCellSpacing w:w="15" w:type="dxa"/>
        </w:trPr>
        <w:tc>
          <w:tcPr>
            <w:tcW w:w="0" w:type="auto"/>
            <w:vAlign w:val="center"/>
            <w:hideMark/>
          </w:tcPr>
          <w:p w14:paraId="63677C81" w14:textId="4B6A577D" w:rsidR="00A94C42" w:rsidRPr="00A94C42" w:rsidRDefault="00A94C42" w:rsidP="00A94C42">
            <w:pPr>
              <w:jc w:val="center"/>
              <w:rPr>
                <w:sz w:val="20"/>
                <w:szCs w:val="20"/>
              </w:rPr>
            </w:pPr>
          </w:p>
        </w:tc>
        <w:tc>
          <w:tcPr>
            <w:tcW w:w="0" w:type="auto"/>
            <w:vAlign w:val="center"/>
            <w:hideMark/>
          </w:tcPr>
          <w:p w14:paraId="14203B74" w14:textId="77777777" w:rsidR="00A94C42" w:rsidRPr="00A94C42" w:rsidRDefault="00A94C42" w:rsidP="00A94C42">
            <w:pPr>
              <w:spacing w:before="100" w:beforeAutospacing="1" w:after="100" w:afterAutospacing="1"/>
              <w:jc w:val="center"/>
            </w:pPr>
            <w:r w:rsidRPr="00A94C42">
              <w:t>20–29</w:t>
            </w:r>
          </w:p>
        </w:tc>
        <w:tc>
          <w:tcPr>
            <w:tcW w:w="0" w:type="auto"/>
            <w:vAlign w:val="center"/>
            <w:hideMark/>
          </w:tcPr>
          <w:p w14:paraId="33959BC5" w14:textId="77777777" w:rsidR="00A94C42" w:rsidRPr="00A94C42" w:rsidRDefault="00A94C42" w:rsidP="00A94C42">
            <w:pPr>
              <w:spacing w:before="100" w:beforeAutospacing="1" w:after="100" w:afterAutospacing="1"/>
              <w:jc w:val="center"/>
            </w:pPr>
            <w:r w:rsidRPr="00A94C42">
              <w:t>30–39</w:t>
            </w:r>
          </w:p>
        </w:tc>
        <w:tc>
          <w:tcPr>
            <w:tcW w:w="0" w:type="auto"/>
            <w:vAlign w:val="center"/>
            <w:hideMark/>
          </w:tcPr>
          <w:p w14:paraId="0D85AB1D" w14:textId="77777777" w:rsidR="00A94C42" w:rsidRPr="00A94C42" w:rsidRDefault="00A94C42" w:rsidP="00A94C42">
            <w:pPr>
              <w:spacing w:before="100" w:beforeAutospacing="1" w:after="100" w:afterAutospacing="1"/>
              <w:jc w:val="center"/>
            </w:pPr>
            <w:r w:rsidRPr="00A94C42">
              <w:t>40–49</w:t>
            </w:r>
          </w:p>
        </w:tc>
        <w:tc>
          <w:tcPr>
            <w:tcW w:w="0" w:type="auto"/>
            <w:vAlign w:val="center"/>
            <w:hideMark/>
          </w:tcPr>
          <w:p w14:paraId="5C022324" w14:textId="77777777" w:rsidR="00A94C42" w:rsidRPr="00A94C42" w:rsidRDefault="00A94C42" w:rsidP="00A94C42">
            <w:pPr>
              <w:spacing w:before="100" w:beforeAutospacing="1" w:after="100" w:afterAutospacing="1"/>
              <w:jc w:val="center"/>
            </w:pPr>
            <w:r w:rsidRPr="00A94C42">
              <w:t>50–59</w:t>
            </w:r>
          </w:p>
        </w:tc>
        <w:tc>
          <w:tcPr>
            <w:tcW w:w="0" w:type="auto"/>
            <w:vAlign w:val="center"/>
            <w:hideMark/>
          </w:tcPr>
          <w:p w14:paraId="590B1157" w14:textId="77777777" w:rsidR="00A94C42" w:rsidRPr="00A94C42" w:rsidRDefault="00A94C42" w:rsidP="00A94C42">
            <w:pPr>
              <w:spacing w:before="100" w:beforeAutospacing="1" w:after="100" w:afterAutospacing="1"/>
              <w:jc w:val="center"/>
            </w:pPr>
            <w:r w:rsidRPr="00A94C42">
              <w:t xml:space="preserve">60 &amp; </w:t>
            </w:r>
            <w:proofErr w:type="gramStart"/>
            <w:r w:rsidRPr="00A94C42">
              <w:t>Above</w:t>
            </w:r>
            <w:proofErr w:type="gramEnd"/>
          </w:p>
        </w:tc>
        <w:tc>
          <w:tcPr>
            <w:tcW w:w="0" w:type="auto"/>
            <w:vAlign w:val="center"/>
            <w:hideMark/>
          </w:tcPr>
          <w:p w14:paraId="18A51AB6" w14:textId="77777777" w:rsidR="00A94C42" w:rsidRPr="00A94C42" w:rsidRDefault="00A94C42" w:rsidP="00A94C42">
            <w:pPr>
              <w:spacing w:before="100" w:beforeAutospacing="1" w:after="100" w:afterAutospacing="1"/>
              <w:jc w:val="center"/>
            </w:pPr>
            <w:r w:rsidRPr="00A94C42">
              <w:t>Row Total (N)</w:t>
            </w:r>
          </w:p>
        </w:tc>
      </w:tr>
      <w:tr w:rsidR="00A94C42" w:rsidRPr="00A94C42" w14:paraId="5584596A" w14:textId="77777777" w:rsidTr="00A94C42">
        <w:trPr>
          <w:tblCellSpacing w:w="15" w:type="dxa"/>
        </w:trPr>
        <w:tc>
          <w:tcPr>
            <w:tcW w:w="0" w:type="auto"/>
            <w:vAlign w:val="center"/>
            <w:hideMark/>
          </w:tcPr>
          <w:p w14:paraId="0F4F4B68" w14:textId="69AE45EA" w:rsidR="00A94C42" w:rsidRPr="00A94C42" w:rsidRDefault="00A94C42" w:rsidP="00A94C42">
            <w:pPr>
              <w:spacing w:before="100" w:beforeAutospacing="1" w:after="100" w:afterAutospacing="1"/>
              <w:jc w:val="center"/>
              <w:rPr>
                <w:rFonts w:hint="eastAsia"/>
              </w:rPr>
            </w:pPr>
            <w:r w:rsidRPr="00A94C42">
              <w:t>Unconditional Support</w:t>
            </w:r>
          </w:p>
        </w:tc>
        <w:tc>
          <w:tcPr>
            <w:tcW w:w="0" w:type="auto"/>
            <w:vAlign w:val="center"/>
            <w:hideMark/>
          </w:tcPr>
          <w:p w14:paraId="700C899A" w14:textId="77777777" w:rsidR="00A94C42" w:rsidRPr="00A94C42" w:rsidRDefault="00A94C42" w:rsidP="00A94C42">
            <w:pPr>
              <w:spacing w:before="100" w:beforeAutospacing="1" w:after="100" w:afterAutospacing="1"/>
              <w:jc w:val="center"/>
            </w:pPr>
            <w:r w:rsidRPr="00A94C42">
              <w:t>17.2 (80)</w:t>
            </w:r>
          </w:p>
        </w:tc>
        <w:tc>
          <w:tcPr>
            <w:tcW w:w="0" w:type="auto"/>
            <w:vAlign w:val="center"/>
            <w:hideMark/>
          </w:tcPr>
          <w:p w14:paraId="2C07DB52" w14:textId="77777777" w:rsidR="00A94C42" w:rsidRPr="00A94C42" w:rsidRDefault="00A94C42" w:rsidP="00A94C42">
            <w:pPr>
              <w:spacing w:before="100" w:beforeAutospacing="1" w:after="100" w:afterAutospacing="1"/>
              <w:jc w:val="center"/>
            </w:pPr>
            <w:r w:rsidRPr="00A94C42">
              <w:t>18.3 (85)</w:t>
            </w:r>
          </w:p>
        </w:tc>
        <w:tc>
          <w:tcPr>
            <w:tcW w:w="0" w:type="auto"/>
            <w:vAlign w:val="center"/>
            <w:hideMark/>
          </w:tcPr>
          <w:p w14:paraId="4475B4BA" w14:textId="77777777" w:rsidR="00A94C42" w:rsidRPr="00A94C42" w:rsidRDefault="00A94C42" w:rsidP="00A94C42">
            <w:pPr>
              <w:spacing w:before="100" w:beforeAutospacing="1" w:after="100" w:afterAutospacing="1"/>
              <w:jc w:val="center"/>
            </w:pPr>
            <w:r w:rsidRPr="00A94C42">
              <w:t>21.7 (101)</w:t>
            </w:r>
          </w:p>
        </w:tc>
        <w:tc>
          <w:tcPr>
            <w:tcW w:w="0" w:type="auto"/>
            <w:vAlign w:val="center"/>
            <w:hideMark/>
          </w:tcPr>
          <w:p w14:paraId="72A31889" w14:textId="77777777" w:rsidR="00A94C42" w:rsidRPr="00A94C42" w:rsidRDefault="00A94C42" w:rsidP="00A94C42">
            <w:pPr>
              <w:spacing w:before="100" w:beforeAutospacing="1" w:after="100" w:afterAutospacing="1"/>
              <w:jc w:val="center"/>
            </w:pPr>
            <w:r w:rsidRPr="00A94C42">
              <w:t>19.1 (89)</w:t>
            </w:r>
          </w:p>
        </w:tc>
        <w:tc>
          <w:tcPr>
            <w:tcW w:w="0" w:type="auto"/>
            <w:vAlign w:val="center"/>
            <w:hideMark/>
          </w:tcPr>
          <w:p w14:paraId="75F13F38" w14:textId="77777777" w:rsidR="00A94C42" w:rsidRPr="00A94C42" w:rsidRDefault="00A94C42" w:rsidP="00A94C42">
            <w:pPr>
              <w:spacing w:before="100" w:beforeAutospacing="1" w:after="100" w:afterAutospacing="1"/>
              <w:jc w:val="center"/>
            </w:pPr>
            <w:r w:rsidRPr="00A94C42">
              <w:t>23.7 (110)</w:t>
            </w:r>
          </w:p>
        </w:tc>
        <w:tc>
          <w:tcPr>
            <w:tcW w:w="0" w:type="auto"/>
            <w:vAlign w:val="center"/>
            <w:hideMark/>
          </w:tcPr>
          <w:p w14:paraId="323F2C09" w14:textId="77777777" w:rsidR="00A94C42" w:rsidRDefault="00A94C42" w:rsidP="00A94C42">
            <w:pPr>
              <w:spacing w:before="100" w:beforeAutospacing="1" w:after="100" w:afterAutospacing="1"/>
              <w:jc w:val="center"/>
            </w:pPr>
            <w:r w:rsidRPr="00A94C42">
              <w:t>465</w:t>
            </w:r>
          </w:p>
          <w:p w14:paraId="4313467F" w14:textId="77777777" w:rsidR="00A94C42" w:rsidRPr="00A94C42" w:rsidRDefault="00A94C42" w:rsidP="00A94C42">
            <w:pPr>
              <w:spacing w:before="100" w:beforeAutospacing="1" w:after="100" w:afterAutospacing="1"/>
              <w:jc w:val="center"/>
              <w:rPr>
                <w:rFonts w:hint="eastAsia"/>
              </w:rPr>
            </w:pPr>
          </w:p>
        </w:tc>
      </w:tr>
      <w:tr w:rsidR="00A94C42" w:rsidRPr="00A94C42" w14:paraId="6B5F1B2D" w14:textId="77777777" w:rsidTr="00A94C42">
        <w:trPr>
          <w:tblCellSpacing w:w="15" w:type="dxa"/>
        </w:trPr>
        <w:tc>
          <w:tcPr>
            <w:tcW w:w="0" w:type="auto"/>
            <w:vAlign w:val="center"/>
            <w:hideMark/>
          </w:tcPr>
          <w:p w14:paraId="51672B32" w14:textId="228B73E2" w:rsidR="00A94C42" w:rsidRPr="00A94C42" w:rsidRDefault="00A94C42" w:rsidP="00A94C42">
            <w:pPr>
              <w:spacing w:before="100" w:beforeAutospacing="1" w:after="100" w:afterAutospacing="1"/>
              <w:jc w:val="center"/>
              <w:rPr>
                <w:rFonts w:hint="eastAsia"/>
              </w:rPr>
            </w:pPr>
            <w:r w:rsidRPr="00A94C42">
              <w:t>Conditional Support</w:t>
            </w:r>
          </w:p>
        </w:tc>
        <w:tc>
          <w:tcPr>
            <w:tcW w:w="0" w:type="auto"/>
            <w:vAlign w:val="center"/>
            <w:hideMark/>
          </w:tcPr>
          <w:p w14:paraId="7DF10862"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22DB9509" w14:textId="77777777" w:rsidR="00A94C42" w:rsidRPr="00A94C42" w:rsidRDefault="00A94C42" w:rsidP="00A94C42">
            <w:pPr>
              <w:spacing w:before="100" w:beforeAutospacing="1" w:after="100" w:afterAutospacing="1"/>
              <w:jc w:val="center"/>
            </w:pPr>
            <w:r w:rsidRPr="00A94C42">
              <w:t>20.9 (104)</w:t>
            </w:r>
          </w:p>
        </w:tc>
        <w:tc>
          <w:tcPr>
            <w:tcW w:w="0" w:type="auto"/>
            <w:vAlign w:val="center"/>
            <w:hideMark/>
          </w:tcPr>
          <w:p w14:paraId="5CF1304B"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2BD685AA" w14:textId="77777777" w:rsidR="00A94C42" w:rsidRPr="00A94C42" w:rsidRDefault="00A94C42" w:rsidP="00A94C42">
            <w:pPr>
              <w:spacing w:before="100" w:beforeAutospacing="1" w:after="100" w:afterAutospacing="1"/>
              <w:jc w:val="center"/>
            </w:pPr>
            <w:r w:rsidRPr="00A94C42">
              <w:t>15.9 (79)</w:t>
            </w:r>
          </w:p>
        </w:tc>
        <w:tc>
          <w:tcPr>
            <w:tcW w:w="0" w:type="auto"/>
            <w:vAlign w:val="center"/>
            <w:hideMark/>
          </w:tcPr>
          <w:p w14:paraId="5FD28B1F"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4E23EA93" w14:textId="77777777" w:rsidR="00A94C42" w:rsidRDefault="00A94C42" w:rsidP="00A94C42">
            <w:pPr>
              <w:spacing w:before="100" w:beforeAutospacing="1" w:after="100" w:afterAutospacing="1"/>
              <w:jc w:val="center"/>
            </w:pPr>
            <w:r w:rsidRPr="00A94C42">
              <w:t>498</w:t>
            </w:r>
          </w:p>
          <w:p w14:paraId="2B2FFF3A" w14:textId="77777777" w:rsidR="00A94C42" w:rsidRPr="00A94C42" w:rsidRDefault="00A94C42" w:rsidP="00A94C42">
            <w:pPr>
              <w:spacing w:before="100" w:beforeAutospacing="1" w:after="100" w:afterAutospacing="1"/>
              <w:jc w:val="center"/>
              <w:rPr>
                <w:rFonts w:hint="eastAsia"/>
              </w:rPr>
            </w:pPr>
          </w:p>
        </w:tc>
      </w:tr>
      <w:tr w:rsidR="00A94C42" w:rsidRPr="00A94C42" w14:paraId="25EBD281" w14:textId="77777777" w:rsidTr="00A94C42">
        <w:trPr>
          <w:tblCellSpacing w:w="15" w:type="dxa"/>
        </w:trPr>
        <w:tc>
          <w:tcPr>
            <w:tcW w:w="0" w:type="auto"/>
            <w:vAlign w:val="center"/>
            <w:hideMark/>
          </w:tcPr>
          <w:p w14:paraId="3AA275A6" w14:textId="0F2F3C06" w:rsidR="00A94C42" w:rsidRPr="00A94C42" w:rsidRDefault="00A94C42" w:rsidP="00A94C42">
            <w:pPr>
              <w:spacing w:before="100" w:beforeAutospacing="1" w:after="100" w:afterAutospacing="1"/>
              <w:jc w:val="center"/>
              <w:rPr>
                <w:rFonts w:hint="eastAsia"/>
              </w:rPr>
            </w:pPr>
            <w:r w:rsidRPr="00A94C42">
              <w:t>Non‐Support</w:t>
            </w:r>
          </w:p>
        </w:tc>
        <w:tc>
          <w:tcPr>
            <w:tcW w:w="0" w:type="auto"/>
            <w:vAlign w:val="center"/>
            <w:hideMark/>
          </w:tcPr>
          <w:p w14:paraId="05883527" w14:textId="77777777" w:rsidR="00A94C42" w:rsidRPr="00A94C42" w:rsidRDefault="00A94C42" w:rsidP="00A94C42">
            <w:pPr>
              <w:spacing w:before="100" w:beforeAutospacing="1" w:after="100" w:afterAutospacing="1"/>
              <w:jc w:val="center"/>
            </w:pPr>
            <w:r w:rsidRPr="00A94C42">
              <w:t>5.3 (15)</w:t>
            </w:r>
          </w:p>
        </w:tc>
        <w:tc>
          <w:tcPr>
            <w:tcW w:w="0" w:type="auto"/>
            <w:vAlign w:val="center"/>
            <w:hideMark/>
          </w:tcPr>
          <w:p w14:paraId="556BD675" w14:textId="77777777" w:rsidR="00A94C42" w:rsidRPr="00A94C42" w:rsidRDefault="00A94C42" w:rsidP="00A94C42">
            <w:pPr>
              <w:spacing w:before="100" w:beforeAutospacing="1" w:after="100" w:afterAutospacing="1"/>
              <w:jc w:val="center"/>
            </w:pPr>
            <w:r w:rsidRPr="00A94C42">
              <w:t>12.1 (34)</w:t>
            </w:r>
          </w:p>
        </w:tc>
        <w:tc>
          <w:tcPr>
            <w:tcW w:w="0" w:type="auto"/>
            <w:vAlign w:val="center"/>
            <w:hideMark/>
          </w:tcPr>
          <w:p w14:paraId="250F36AC" w14:textId="77777777" w:rsidR="00A94C42" w:rsidRPr="00A94C42" w:rsidRDefault="00A94C42" w:rsidP="00A94C42">
            <w:pPr>
              <w:spacing w:before="100" w:beforeAutospacing="1" w:after="100" w:afterAutospacing="1"/>
              <w:jc w:val="center"/>
            </w:pPr>
            <w:r w:rsidRPr="00A94C42">
              <w:t>17.8 (50)</w:t>
            </w:r>
          </w:p>
        </w:tc>
        <w:tc>
          <w:tcPr>
            <w:tcW w:w="0" w:type="auto"/>
            <w:vAlign w:val="center"/>
            <w:hideMark/>
          </w:tcPr>
          <w:p w14:paraId="53B13B1A" w14:textId="77777777" w:rsidR="00A94C42" w:rsidRPr="00A94C42" w:rsidRDefault="00A94C42" w:rsidP="00A94C42">
            <w:pPr>
              <w:spacing w:before="100" w:beforeAutospacing="1" w:after="100" w:afterAutospacing="1"/>
              <w:jc w:val="center"/>
            </w:pPr>
            <w:r w:rsidRPr="00A94C42">
              <w:t>25.6 (72)</w:t>
            </w:r>
          </w:p>
        </w:tc>
        <w:tc>
          <w:tcPr>
            <w:tcW w:w="0" w:type="auto"/>
            <w:vAlign w:val="center"/>
            <w:hideMark/>
          </w:tcPr>
          <w:p w14:paraId="51352D62" w14:textId="77777777" w:rsidR="00A94C42" w:rsidRPr="00A94C42" w:rsidRDefault="00A94C42" w:rsidP="00A94C42">
            <w:pPr>
              <w:spacing w:before="100" w:beforeAutospacing="1" w:after="100" w:afterAutospacing="1"/>
              <w:jc w:val="center"/>
            </w:pPr>
            <w:r w:rsidRPr="00A94C42">
              <w:t>39.1 (110)</w:t>
            </w:r>
          </w:p>
        </w:tc>
        <w:tc>
          <w:tcPr>
            <w:tcW w:w="0" w:type="auto"/>
            <w:vAlign w:val="center"/>
            <w:hideMark/>
          </w:tcPr>
          <w:p w14:paraId="190288DA" w14:textId="77777777" w:rsidR="00A94C42" w:rsidRDefault="00A94C42" w:rsidP="00A94C42">
            <w:pPr>
              <w:spacing w:before="100" w:beforeAutospacing="1" w:after="100" w:afterAutospacing="1"/>
              <w:jc w:val="center"/>
            </w:pPr>
            <w:r w:rsidRPr="00A94C42">
              <w:t>281</w:t>
            </w:r>
          </w:p>
          <w:p w14:paraId="001AF9BF" w14:textId="77777777" w:rsidR="00A94C42" w:rsidRPr="00A94C42" w:rsidRDefault="00A94C42" w:rsidP="00A94C42">
            <w:pPr>
              <w:spacing w:before="100" w:beforeAutospacing="1" w:after="100" w:afterAutospacing="1"/>
              <w:jc w:val="center"/>
              <w:rPr>
                <w:rFonts w:hint="eastAsia"/>
              </w:rPr>
            </w:pPr>
          </w:p>
        </w:tc>
      </w:tr>
    </w:tbl>
    <w:p w14:paraId="7A32D3CE" w14:textId="3409F1F4" w:rsidR="005B16B1" w:rsidRDefault="00A94C42" w:rsidP="00B42344">
      <w:pPr>
        <w:spacing w:before="240" w:after="240" w:line="480" w:lineRule="auto"/>
        <w:jc w:val="center"/>
        <w:rPr>
          <w:rFonts w:hint="eastAsia"/>
        </w:rPr>
      </w:pPr>
      <w:r>
        <w:rPr>
          <w:rFonts w:hint="eastAsia"/>
        </w:rPr>
        <w:t xml:space="preserve">Table 2. </w:t>
      </w:r>
      <w:r w:rsidRPr="00A94C42">
        <w:t>Generational Differences and Preferences on Taiwan Independence (% within each Independence Category)</w:t>
      </w:r>
    </w:p>
    <w:p w14:paraId="3ABCE46D" w14:textId="633137B7" w:rsidR="00A94C42" w:rsidRPr="00A94C42" w:rsidRDefault="00A94C42" w:rsidP="00F847B7">
      <w:pPr>
        <w:spacing w:before="240" w:after="240" w:line="480" w:lineRule="auto"/>
        <w:ind w:firstLine="720"/>
      </w:pPr>
      <w:r w:rsidRPr="00A94C42">
        <w:t xml:space="preserve">Table 2 presents the relationship between generational differences and support for Taiwan independence. Among unconditional supporters, the highest percentage (23.7%) is found </w:t>
      </w:r>
      <w:r w:rsidR="00B410C2">
        <w:rPr>
          <w:rFonts w:hint="eastAsia"/>
        </w:rPr>
        <w:t>for</w:t>
      </w:r>
      <w:r w:rsidRPr="00A94C42">
        <w:t xml:space="preserve"> those 60 and above, while the lowest percentage (17.2%) is </w:t>
      </w:r>
      <w:r w:rsidR="00B410C2">
        <w:rPr>
          <w:rFonts w:hint="eastAsia"/>
        </w:rPr>
        <w:t>seen for</w:t>
      </w:r>
      <w:r w:rsidRPr="00A94C42">
        <w:t xml:space="preserve"> those aged 20–29. Conversely, among non-supporters, the percentage increases</w:t>
      </w:r>
      <w:r w:rsidR="00B410C2">
        <w:rPr>
          <w:rFonts w:hint="eastAsia"/>
        </w:rPr>
        <w:t xml:space="preserve"> </w:t>
      </w:r>
      <w:r w:rsidR="00B410C2" w:rsidRPr="00A94C42">
        <w:t>steadil</w:t>
      </w:r>
      <w:r w:rsidR="00B410C2">
        <w:rPr>
          <w:rFonts w:hint="eastAsia"/>
        </w:rPr>
        <w:t>y</w:t>
      </w:r>
      <w:r w:rsidRPr="00A94C42">
        <w:t xml:space="preserve"> with age, reaching 39.1% for those 60 and above</w:t>
      </w:r>
      <w:r w:rsidR="00B410C2">
        <w:rPr>
          <w:rFonts w:hint="eastAsia"/>
        </w:rPr>
        <w:t xml:space="preserve"> (an interesting contrast</w:t>
      </w:r>
      <w:proofErr w:type="gramStart"/>
      <w:r w:rsidR="00B410C2">
        <w:rPr>
          <w:rFonts w:hint="eastAsia"/>
        </w:rPr>
        <w:t xml:space="preserve">) </w:t>
      </w:r>
      <w:r w:rsidRPr="00A94C42">
        <w:t>,</w:t>
      </w:r>
      <w:proofErr w:type="gramEnd"/>
      <w:r w:rsidRPr="00A94C42">
        <w:t xml:space="preserve"> compared to only 5.3% among those in the youngest age group (20–29). The Pearson Chi-Square test is highly significant (p &lt; .001), confirming that generational differences play a crucial role in shaping independence preferences. Younger respondents tend to be more supportive of independence, while older generations exhibit greater opposition.</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9"/>
        <w:gridCol w:w="1080"/>
        <w:gridCol w:w="1713"/>
        <w:gridCol w:w="1509"/>
      </w:tblGrid>
      <w:tr w:rsidR="00A94C42" w:rsidRPr="00A94C42" w14:paraId="5D7C3874" w14:textId="77777777" w:rsidTr="00F847B7">
        <w:trPr>
          <w:tblHeader/>
          <w:tblCellSpacing w:w="15" w:type="dxa"/>
        </w:trPr>
        <w:tc>
          <w:tcPr>
            <w:tcW w:w="0" w:type="auto"/>
            <w:vAlign w:val="center"/>
            <w:hideMark/>
          </w:tcPr>
          <w:p w14:paraId="1CE83AAC" w14:textId="77777777" w:rsidR="00A94C42" w:rsidRPr="00A94C42" w:rsidRDefault="00A94C42" w:rsidP="00A94C42">
            <w:pPr>
              <w:jc w:val="center"/>
              <w:rPr>
                <w:sz w:val="20"/>
                <w:szCs w:val="20"/>
              </w:rPr>
            </w:pPr>
          </w:p>
        </w:tc>
        <w:tc>
          <w:tcPr>
            <w:tcW w:w="0" w:type="auto"/>
            <w:vAlign w:val="center"/>
            <w:hideMark/>
          </w:tcPr>
          <w:p w14:paraId="141F982D" w14:textId="77777777" w:rsidR="00A94C42" w:rsidRPr="00A94C42" w:rsidRDefault="00A94C42" w:rsidP="00A94C42">
            <w:pPr>
              <w:spacing w:before="100" w:beforeAutospacing="1" w:after="100" w:afterAutospacing="1"/>
              <w:jc w:val="center"/>
            </w:pPr>
            <w:r w:rsidRPr="00A94C42">
              <w:t>No Threat</w:t>
            </w:r>
          </w:p>
        </w:tc>
        <w:tc>
          <w:tcPr>
            <w:tcW w:w="0" w:type="auto"/>
            <w:vAlign w:val="center"/>
            <w:hideMark/>
          </w:tcPr>
          <w:p w14:paraId="1B1DB8F6" w14:textId="77777777" w:rsidR="00A94C42" w:rsidRPr="00A94C42" w:rsidRDefault="00A94C42" w:rsidP="00A94C42">
            <w:pPr>
              <w:spacing w:before="100" w:beforeAutospacing="1" w:after="100" w:afterAutospacing="1"/>
              <w:jc w:val="center"/>
            </w:pPr>
            <w:r w:rsidRPr="00A94C42">
              <w:t>Threat Perceived</w:t>
            </w:r>
          </w:p>
        </w:tc>
        <w:tc>
          <w:tcPr>
            <w:tcW w:w="0" w:type="auto"/>
            <w:vAlign w:val="center"/>
            <w:hideMark/>
          </w:tcPr>
          <w:p w14:paraId="5E4D7B33" w14:textId="77777777" w:rsidR="00A94C42" w:rsidRPr="00A94C42" w:rsidRDefault="00A94C42" w:rsidP="00A94C42">
            <w:pPr>
              <w:spacing w:before="100" w:beforeAutospacing="1" w:after="100" w:afterAutospacing="1"/>
              <w:jc w:val="center"/>
            </w:pPr>
            <w:r w:rsidRPr="00A94C42">
              <w:t>Row Total (N)</w:t>
            </w:r>
          </w:p>
        </w:tc>
      </w:tr>
      <w:tr w:rsidR="00A94C42" w:rsidRPr="00A94C42" w14:paraId="2B5D7765" w14:textId="77777777" w:rsidTr="00F847B7">
        <w:trPr>
          <w:tblCellSpacing w:w="15" w:type="dxa"/>
        </w:trPr>
        <w:tc>
          <w:tcPr>
            <w:tcW w:w="0" w:type="auto"/>
            <w:vAlign w:val="center"/>
            <w:hideMark/>
          </w:tcPr>
          <w:p w14:paraId="018EADAF" w14:textId="780E9423" w:rsidR="00A94C42" w:rsidRPr="00A94C42" w:rsidRDefault="00A94C42" w:rsidP="00A94C42">
            <w:pPr>
              <w:spacing w:before="100" w:beforeAutospacing="1" w:after="100" w:afterAutospacing="1"/>
              <w:jc w:val="center"/>
              <w:rPr>
                <w:rFonts w:hint="eastAsia"/>
              </w:rPr>
            </w:pPr>
            <w:r w:rsidRPr="00A94C42">
              <w:t>Unconditional Support</w:t>
            </w:r>
          </w:p>
        </w:tc>
        <w:tc>
          <w:tcPr>
            <w:tcW w:w="0" w:type="auto"/>
            <w:vAlign w:val="center"/>
            <w:hideMark/>
          </w:tcPr>
          <w:p w14:paraId="59A9C97F" w14:textId="77777777" w:rsidR="00A94C42" w:rsidRPr="00A94C42" w:rsidRDefault="00A94C42" w:rsidP="00A94C42">
            <w:pPr>
              <w:spacing w:before="100" w:beforeAutospacing="1" w:after="100" w:afterAutospacing="1"/>
              <w:jc w:val="center"/>
            </w:pPr>
            <w:r w:rsidRPr="00A94C42">
              <w:t>58.4 (262)</w:t>
            </w:r>
          </w:p>
        </w:tc>
        <w:tc>
          <w:tcPr>
            <w:tcW w:w="0" w:type="auto"/>
            <w:vAlign w:val="center"/>
            <w:hideMark/>
          </w:tcPr>
          <w:p w14:paraId="61A3EC72" w14:textId="77777777" w:rsidR="00A94C42" w:rsidRPr="00A94C42" w:rsidRDefault="00A94C42" w:rsidP="00A94C42">
            <w:pPr>
              <w:spacing w:before="100" w:beforeAutospacing="1" w:after="100" w:afterAutospacing="1"/>
              <w:jc w:val="center"/>
            </w:pPr>
            <w:r w:rsidRPr="00A94C42">
              <w:t>41.6 (187)</w:t>
            </w:r>
          </w:p>
        </w:tc>
        <w:tc>
          <w:tcPr>
            <w:tcW w:w="0" w:type="auto"/>
            <w:vAlign w:val="center"/>
            <w:hideMark/>
          </w:tcPr>
          <w:p w14:paraId="68B2B883" w14:textId="77777777" w:rsidR="00A94C42" w:rsidRPr="00A94C42" w:rsidRDefault="00A94C42" w:rsidP="00A94C42">
            <w:pPr>
              <w:spacing w:before="100" w:beforeAutospacing="1" w:after="100" w:afterAutospacing="1"/>
              <w:jc w:val="center"/>
            </w:pPr>
            <w:r w:rsidRPr="00A94C42">
              <w:t>449</w:t>
            </w:r>
          </w:p>
        </w:tc>
      </w:tr>
      <w:tr w:rsidR="00A94C42" w:rsidRPr="00A94C42" w14:paraId="6E886CEE" w14:textId="77777777" w:rsidTr="00F847B7">
        <w:trPr>
          <w:tblCellSpacing w:w="15" w:type="dxa"/>
        </w:trPr>
        <w:tc>
          <w:tcPr>
            <w:tcW w:w="0" w:type="auto"/>
            <w:vAlign w:val="center"/>
            <w:hideMark/>
          </w:tcPr>
          <w:p w14:paraId="3BBA368F" w14:textId="268F8888" w:rsidR="00A94C42" w:rsidRPr="00A94C42" w:rsidRDefault="00A94C42" w:rsidP="00A94C42">
            <w:pPr>
              <w:spacing w:before="100" w:beforeAutospacing="1" w:after="100" w:afterAutospacing="1"/>
              <w:jc w:val="center"/>
              <w:rPr>
                <w:rFonts w:hint="eastAsia"/>
              </w:rPr>
            </w:pPr>
            <w:r w:rsidRPr="00A94C42">
              <w:lastRenderedPageBreak/>
              <w:t>Conditional Support</w:t>
            </w:r>
          </w:p>
        </w:tc>
        <w:tc>
          <w:tcPr>
            <w:tcW w:w="0" w:type="auto"/>
            <w:vAlign w:val="center"/>
            <w:hideMark/>
          </w:tcPr>
          <w:p w14:paraId="71CBCFC2" w14:textId="77777777" w:rsidR="00A94C42" w:rsidRPr="00A94C42" w:rsidRDefault="00A94C42" w:rsidP="00A94C42">
            <w:pPr>
              <w:spacing w:before="100" w:beforeAutospacing="1" w:after="100" w:afterAutospacing="1"/>
              <w:jc w:val="center"/>
            </w:pPr>
            <w:r w:rsidRPr="00A94C42">
              <w:t>17.8 (86)</w:t>
            </w:r>
          </w:p>
        </w:tc>
        <w:tc>
          <w:tcPr>
            <w:tcW w:w="0" w:type="auto"/>
            <w:vAlign w:val="center"/>
            <w:hideMark/>
          </w:tcPr>
          <w:p w14:paraId="32EE2E14" w14:textId="77777777" w:rsidR="00A94C42" w:rsidRPr="00A94C42" w:rsidRDefault="00A94C42" w:rsidP="00A94C42">
            <w:pPr>
              <w:spacing w:before="100" w:beforeAutospacing="1" w:after="100" w:afterAutospacing="1"/>
              <w:jc w:val="center"/>
            </w:pPr>
            <w:r w:rsidRPr="00A94C42">
              <w:t>82.2 (396)</w:t>
            </w:r>
          </w:p>
        </w:tc>
        <w:tc>
          <w:tcPr>
            <w:tcW w:w="0" w:type="auto"/>
            <w:vAlign w:val="center"/>
            <w:hideMark/>
          </w:tcPr>
          <w:p w14:paraId="766A7E9E" w14:textId="77777777" w:rsidR="00A94C42" w:rsidRPr="00A94C42" w:rsidRDefault="00A94C42" w:rsidP="00A94C42">
            <w:pPr>
              <w:spacing w:before="100" w:beforeAutospacing="1" w:after="100" w:afterAutospacing="1"/>
              <w:jc w:val="center"/>
            </w:pPr>
            <w:r w:rsidRPr="00A94C42">
              <w:t>482</w:t>
            </w:r>
          </w:p>
        </w:tc>
      </w:tr>
      <w:tr w:rsidR="00A94C42" w:rsidRPr="00A94C42" w14:paraId="6E719866" w14:textId="77777777" w:rsidTr="00F847B7">
        <w:trPr>
          <w:tblCellSpacing w:w="15" w:type="dxa"/>
        </w:trPr>
        <w:tc>
          <w:tcPr>
            <w:tcW w:w="0" w:type="auto"/>
            <w:vAlign w:val="center"/>
            <w:hideMark/>
          </w:tcPr>
          <w:p w14:paraId="02C7D822" w14:textId="1D0FEC3D" w:rsidR="00A94C42" w:rsidRPr="00A94C42" w:rsidRDefault="00A94C42" w:rsidP="00A94C42">
            <w:pPr>
              <w:spacing w:before="100" w:beforeAutospacing="1" w:after="100" w:afterAutospacing="1"/>
              <w:jc w:val="center"/>
              <w:rPr>
                <w:rFonts w:hint="eastAsia"/>
              </w:rPr>
            </w:pPr>
            <w:r w:rsidRPr="00A94C42">
              <w:t>Non‐Support</w:t>
            </w:r>
          </w:p>
        </w:tc>
        <w:tc>
          <w:tcPr>
            <w:tcW w:w="0" w:type="auto"/>
            <w:vAlign w:val="center"/>
            <w:hideMark/>
          </w:tcPr>
          <w:p w14:paraId="47BB3298" w14:textId="77777777" w:rsidR="00A94C42" w:rsidRPr="00A94C42" w:rsidRDefault="00A94C42" w:rsidP="00A94C42">
            <w:pPr>
              <w:spacing w:before="100" w:beforeAutospacing="1" w:after="100" w:afterAutospacing="1"/>
              <w:jc w:val="center"/>
            </w:pPr>
            <w:r w:rsidRPr="00A94C42">
              <w:t>10.0 (28)</w:t>
            </w:r>
          </w:p>
        </w:tc>
        <w:tc>
          <w:tcPr>
            <w:tcW w:w="0" w:type="auto"/>
            <w:vAlign w:val="center"/>
            <w:hideMark/>
          </w:tcPr>
          <w:p w14:paraId="7390CB6F" w14:textId="77777777" w:rsidR="00A94C42" w:rsidRPr="00A94C42" w:rsidRDefault="00A94C42" w:rsidP="00A94C42">
            <w:pPr>
              <w:spacing w:before="100" w:beforeAutospacing="1" w:after="100" w:afterAutospacing="1"/>
              <w:jc w:val="center"/>
            </w:pPr>
            <w:r w:rsidRPr="00A94C42">
              <w:t>90.0 (251)</w:t>
            </w:r>
          </w:p>
        </w:tc>
        <w:tc>
          <w:tcPr>
            <w:tcW w:w="0" w:type="auto"/>
            <w:vAlign w:val="center"/>
            <w:hideMark/>
          </w:tcPr>
          <w:p w14:paraId="14D9467B" w14:textId="77777777" w:rsidR="00A94C42" w:rsidRPr="00A94C42" w:rsidRDefault="00A94C42" w:rsidP="00A94C42">
            <w:pPr>
              <w:spacing w:before="100" w:beforeAutospacing="1" w:after="100" w:afterAutospacing="1"/>
              <w:jc w:val="center"/>
            </w:pPr>
            <w:r w:rsidRPr="00A94C42">
              <w:t>279</w:t>
            </w:r>
          </w:p>
        </w:tc>
      </w:tr>
    </w:tbl>
    <w:p w14:paraId="30A8ADBC" w14:textId="0D45DC6A" w:rsidR="00A94C42" w:rsidRDefault="00A94C42" w:rsidP="00A94C42">
      <w:pPr>
        <w:spacing w:before="240" w:after="240" w:line="480" w:lineRule="auto"/>
        <w:rPr>
          <w:rFonts w:hint="eastAsia"/>
        </w:rPr>
      </w:pPr>
      <w:r w:rsidRPr="00A94C42">
        <w:drawing>
          <wp:inline distT="0" distB="0" distL="0" distR="0" wp14:anchorId="6F1DD9E5" wp14:editId="58F50FD1">
            <wp:extent cx="1818884" cy="871268"/>
            <wp:effectExtent l="0" t="0" r="0" b="5080"/>
            <wp:docPr id="10855314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1433" name="Picture 1" descr="A screenshot of a graph&#10;&#10;AI-generated content may be incorrect."/>
                    <pic:cNvPicPr/>
                  </pic:nvPicPr>
                  <pic:blipFill>
                    <a:blip r:embed="rId11"/>
                    <a:stretch>
                      <a:fillRect/>
                    </a:stretch>
                  </pic:blipFill>
                  <pic:spPr>
                    <a:xfrm>
                      <a:off x="0" y="0"/>
                      <a:ext cx="1853533" cy="887865"/>
                    </a:xfrm>
                    <a:prstGeom prst="rect">
                      <a:avLst/>
                    </a:prstGeom>
                  </pic:spPr>
                </pic:pic>
              </a:graphicData>
            </a:graphic>
          </wp:inline>
        </w:drawing>
      </w:r>
    </w:p>
    <w:p w14:paraId="5C613A3D" w14:textId="50952E71" w:rsidR="00B410C2" w:rsidRDefault="00B410C2" w:rsidP="00B410C2">
      <w:pPr>
        <w:spacing w:before="240" w:after="240" w:line="480" w:lineRule="auto"/>
        <w:jc w:val="center"/>
        <w:rPr>
          <w:rFonts w:hint="eastAsia"/>
        </w:rPr>
      </w:pPr>
      <w:r w:rsidRPr="00B410C2">
        <w:rPr>
          <w:rFonts w:hint="eastAsia"/>
        </w:rPr>
        <w:t xml:space="preserve">Table 3. </w:t>
      </w:r>
      <w:r w:rsidRPr="00B410C2">
        <w:t>Perceived China Threat and Preferences on Taiwan Independence (% within each Independence Category)</w:t>
      </w:r>
    </w:p>
    <w:p w14:paraId="09E53031" w14:textId="0FE6DDE8" w:rsidR="00B42344" w:rsidRDefault="00A94C42" w:rsidP="00B42344">
      <w:pPr>
        <w:spacing w:before="240" w:after="240" w:line="480" w:lineRule="auto"/>
        <w:ind w:firstLine="720"/>
        <w:rPr>
          <w:rFonts w:hint="eastAsia"/>
        </w:rPr>
      </w:pPr>
      <w:r w:rsidRPr="00A94C42">
        <w:t>Table 3 examines the relationship between perceptions of a Chinese military threat and support for Taiwan independence. Among unconditional supporters, a majority (58.4%) believe there is no threat, while 41.6% believe there is a risk of Chinese military action. In contrast, for conditional supporters, the pattern is reversed—82.2% believe China would attack if Taiwan declared independence, while only 17.8% perceive no threat. Finally, in terms of non-supporters, the belief in a Chinese threat is overwhelming (90.0%), whereas only 10.0% see no threat. The Pearson Chi-Square test is also highly significant (p &lt; .001), confirming that the perception of a Chinese threat strongly influences independence preferences. Those who believe China will attack are more likely to oppose independence or support it conditionally, while those who perceive no threat are more likely to support independence unconditionally.</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120"/>
        <w:gridCol w:w="1080"/>
        <w:gridCol w:w="1509"/>
      </w:tblGrid>
      <w:tr w:rsidR="00B410C2" w:rsidRPr="00B410C2" w14:paraId="75D202EB" w14:textId="77777777" w:rsidTr="006E631A">
        <w:trPr>
          <w:tblHeader/>
          <w:tblCellSpacing w:w="15" w:type="dxa"/>
        </w:trPr>
        <w:tc>
          <w:tcPr>
            <w:tcW w:w="0" w:type="auto"/>
            <w:vAlign w:val="center"/>
            <w:hideMark/>
          </w:tcPr>
          <w:p w14:paraId="387FB39D" w14:textId="77777777" w:rsidR="00B410C2" w:rsidRPr="00B410C2" w:rsidRDefault="00B410C2" w:rsidP="00B410C2">
            <w:pPr>
              <w:rPr>
                <w:sz w:val="20"/>
                <w:szCs w:val="20"/>
              </w:rPr>
            </w:pPr>
          </w:p>
        </w:tc>
        <w:tc>
          <w:tcPr>
            <w:tcW w:w="0" w:type="auto"/>
            <w:vAlign w:val="center"/>
            <w:hideMark/>
          </w:tcPr>
          <w:p w14:paraId="161A561E" w14:textId="77777777" w:rsidR="00B410C2" w:rsidRPr="00B410C2" w:rsidRDefault="00B410C2" w:rsidP="00B410C2">
            <w:pPr>
              <w:spacing w:before="100" w:beforeAutospacing="1" w:after="100" w:afterAutospacing="1"/>
              <w:jc w:val="center"/>
            </w:pPr>
            <w:r w:rsidRPr="00B410C2">
              <w:t>Strengthen</w:t>
            </w:r>
          </w:p>
        </w:tc>
        <w:tc>
          <w:tcPr>
            <w:tcW w:w="0" w:type="auto"/>
            <w:vAlign w:val="center"/>
            <w:hideMark/>
          </w:tcPr>
          <w:p w14:paraId="0B668CB3" w14:textId="77777777" w:rsidR="00B410C2" w:rsidRPr="00B410C2" w:rsidRDefault="00B410C2" w:rsidP="00B410C2">
            <w:pPr>
              <w:spacing w:before="100" w:beforeAutospacing="1" w:after="100" w:afterAutospacing="1"/>
              <w:jc w:val="center"/>
            </w:pPr>
            <w:r w:rsidRPr="00B410C2">
              <w:t>Decline</w:t>
            </w:r>
          </w:p>
        </w:tc>
        <w:tc>
          <w:tcPr>
            <w:tcW w:w="0" w:type="auto"/>
            <w:vAlign w:val="center"/>
            <w:hideMark/>
          </w:tcPr>
          <w:p w14:paraId="783073A9" w14:textId="77777777" w:rsidR="00B410C2" w:rsidRPr="00B410C2" w:rsidRDefault="00B410C2" w:rsidP="00B410C2">
            <w:pPr>
              <w:spacing w:before="100" w:beforeAutospacing="1" w:after="100" w:afterAutospacing="1"/>
              <w:jc w:val="center"/>
            </w:pPr>
            <w:r w:rsidRPr="00B410C2">
              <w:t>Row Total (N)</w:t>
            </w:r>
          </w:p>
        </w:tc>
      </w:tr>
      <w:tr w:rsidR="00B410C2" w:rsidRPr="00B410C2" w14:paraId="551781C9" w14:textId="77777777" w:rsidTr="006E631A">
        <w:trPr>
          <w:tblCellSpacing w:w="15" w:type="dxa"/>
        </w:trPr>
        <w:tc>
          <w:tcPr>
            <w:tcW w:w="0" w:type="auto"/>
            <w:vAlign w:val="center"/>
            <w:hideMark/>
          </w:tcPr>
          <w:p w14:paraId="14C6DA33" w14:textId="77777777" w:rsidR="00B410C2" w:rsidRPr="00B410C2" w:rsidRDefault="00B410C2" w:rsidP="00B410C2">
            <w:pPr>
              <w:spacing w:before="100" w:beforeAutospacing="1" w:after="100" w:afterAutospacing="1"/>
            </w:pPr>
            <w:r w:rsidRPr="00B410C2">
              <w:t>Unconditional Support (IND)</w:t>
            </w:r>
          </w:p>
        </w:tc>
        <w:tc>
          <w:tcPr>
            <w:tcW w:w="0" w:type="auto"/>
            <w:vAlign w:val="center"/>
            <w:hideMark/>
          </w:tcPr>
          <w:p w14:paraId="2BAD8E80" w14:textId="77777777" w:rsidR="00B410C2" w:rsidRPr="00B410C2" w:rsidRDefault="00B410C2" w:rsidP="00B410C2">
            <w:pPr>
              <w:spacing w:before="100" w:beforeAutospacing="1" w:after="100" w:afterAutospacing="1"/>
            </w:pPr>
            <w:r w:rsidRPr="00B410C2">
              <w:t>29.1 (118)</w:t>
            </w:r>
          </w:p>
        </w:tc>
        <w:tc>
          <w:tcPr>
            <w:tcW w:w="0" w:type="auto"/>
            <w:vAlign w:val="center"/>
            <w:hideMark/>
          </w:tcPr>
          <w:p w14:paraId="3C409247" w14:textId="77777777" w:rsidR="00B410C2" w:rsidRPr="00B410C2" w:rsidRDefault="00B410C2" w:rsidP="00B410C2">
            <w:pPr>
              <w:spacing w:before="100" w:beforeAutospacing="1" w:after="100" w:afterAutospacing="1"/>
            </w:pPr>
            <w:r w:rsidRPr="00B410C2">
              <w:t>70.9 (287)</w:t>
            </w:r>
          </w:p>
        </w:tc>
        <w:tc>
          <w:tcPr>
            <w:tcW w:w="0" w:type="auto"/>
            <w:vAlign w:val="center"/>
            <w:hideMark/>
          </w:tcPr>
          <w:p w14:paraId="1438761A" w14:textId="77777777" w:rsidR="00B410C2" w:rsidRPr="00B410C2" w:rsidRDefault="00B410C2" w:rsidP="00B410C2">
            <w:pPr>
              <w:spacing w:before="100" w:beforeAutospacing="1" w:after="100" w:afterAutospacing="1"/>
            </w:pPr>
            <w:r w:rsidRPr="00B410C2">
              <w:t>405</w:t>
            </w:r>
          </w:p>
        </w:tc>
      </w:tr>
      <w:tr w:rsidR="00B410C2" w:rsidRPr="00B410C2" w14:paraId="2530BB39" w14:textId="77777777" w:rsidTr="006E631A">
        <w:trPr>
          <w:tblCellSpacing w:w="15" w:type="dxa"/>
        </w:trPr>
        <w:tc>
          <w:tcPr>
            <w:tcW w:w="0" w:type="auto"/>
            <w:vAlign w:val="center"/>
            <w:hideMark/>
          </w:tcPr>
          <w:p w14:paraId="01DADAA8" w14:textId="77777777" w:rsidR="00B410C2" w:rsidRPr="00B410C2" w:rsidRDefault="00B410C2" w:rsidP="00B410C2">
            <w:pPr>
              <w:spacing w:before="100" w:beforeAutospacing="1" w:after="100" w:afterAutospacing="1"/>
            </w:pPr>
            <w:r w:rsidRPr="00B410C2">
              <w:t>Conditional Support (IND)</w:t>
            </w:r>
          </w:p>
        </w:tc>
        <w:tc>
          <w:tcPr>
            <w:tcW w:w="0" w:type="auto"/>
            <w:vAlign w:val="center"/>
            <w:hideMark/>
          </w:tcPr>
          <w:p w14:paraId="44032251" w14:textId="77777777" w:rsidR="00B410C2" w:rsidRPr="00B410C2" w:rsidRDefault="00B410C2" w:rsidP="00B410C2">
            <w:pPr>
              <w:spacing w:before="100" w:beforeAutospacing="1" w:after="100" w:afterAutospacing="1"/>
            </w:pPr>
            <w:r w:rsidRPr="00B410C2">
              <w:t>62.2 (272)</w:t>
            </w:r>
          </w:p>
        </w:tc>
        <w:tc>
          <w:tcPr>
            <w:tcW w:w="0" w:type="auto"/>
            <w:vAlign w:val="center"/>
            <w:hideMark/>
          </w:tcPr>
          <w:p w14:paraId="47485B9D" w14:textId="77777777" w:rsidR="00B410C2" w:rsidRPr="00B410C2" w:rsidRDefault="00B410C2" w:rsidP="00B410C2">
            <w:pPr>
              <w:spacing w:before="100" w:beforeAutospacing="1" w:after="100" w:afterAutospacing="1"/>
            </w:pPr>
            <w:r w:rsidRPr="00B410C2">
              <w:t>37.8 (165)</w:t>
            </w:r>
          </w:p>
        </w:tc>
        <w:tc>
          <w:tcPr>
            <w:tcW w:w="0" w:type="auto"/>
            <w:vAlign w:val="center"/>
            <w:hideMark/>
          </w:tcPr>
          <w:p w14:paraId="3DEF6CE1" w14:textId="77777777" w:rsidR="00B410C2" w:rsidRPr="00B410C2" w:rsidRDefault="00B410C2" w:rsidP="00B410C2">
            <w:pPr>
              <w:spacing w:before="100" w:beforeAutospacing="1" w:after="100" w:afterAutospacing="1"/>
            </w:pPr>
            <w:r w:rsidRPr="00B410C2">
              <w:t>437</w:t>
            </w:r>
          </w:p>
        </w:tc>
      </w:tr>
      <w:tr w:rsidR="00B410C2" w:rsidRPr="00B410C2" w14:paraId="273CEEF2" w14:textId="77777777" w:rsidTr="006E631A">
        <w:trPr>
          <w:tblCellSpacing w:w="15" w:type="dxa"/>
        </w:trPr>
        <w:tc>
          <w:tcPr>
            <w:tcW w:w="0" w:type="auto"/>
            <w:vAlign w:val="center"/>
            <w:hideMark/>
          </w:tcPr>
          <w:p w14:paraId="598B381F" w14:textId="77777777" w:rsidR="00B410C2" w:rsidRPr="00B410C2" w:rsidRDefault="00B410C2" w:rsidP="00B410C2">
            <w:pPr>
              <w:spacing w:before="100" w:beforeAutospacing="1" w:after="100" w:afterAutospacing="1"/>
            </w:pPr>
            <w:r w:rsidRPr="00B410C2">
              <w:t>Non‐Support (IND)</w:t>
            </w:r>
          </w:p>
        </w:tc>
        <w:tc>
          <w:tcPr>
            <w:tcW w:w="0" w:type="auto"/>
            <w:vAlign w:val="center"/>
            <w:hideMark/>
          </w:tcPr>
          <w:p w14:paraId="4CF4E2DD" w14:textId="77777777" w:rsidR="00B410C2" w:rsidRPr="00B410C2" w:rsidRDefault="00B410C2" w:rsidP="00B410C2">
            <w:pPr>
              <w:spacing w:before="100" w:beforeAutospacing="1" w:after="100" w:afterAutospacing="1"/>
            </w:pPr>
            <w:r w:rsidRPr="00B410C2">
              <w:t>87.8 (209)</w:t>
            </w:r>
          </w:p>
        </w:tc>
        <w:tc>
          <w:tcPr>
            <w:tcW w:w="0" w:type="auto"/>
            <w:vAlign w:val="center"/>
            <w:hideMark/>
          </w:tcPr>
          <w:p w14:paraId="69B01DD0" w14:textId="77777777" w:rsidR="00B410C2" w:rsidRPr="00B410C2" w:rsidRDefault="00B410C2" w:rsidP="00B410C2">
            <w:pPr>
              <w:spacing w:before="100" w:beforeAutospacing="1" w:after="100" w:afterAutospacing="1"/>
            </w:pPr>
            <w:r w:rsidRPr="00B410C2">
              <w:t>12.2 (29)</w:t>
            </w:r>
          </w:p>
        </w:tc>
        <w:tc>
          <w:tcPr>
            <w:tcW w:w="0" w:type="auto"/>
            <w:vAlign w:val="center"/>
            <w:hideMark/>
          </w:tcPr>
          <w:p w14:paraId="24749320" w14:textId="77777777" w:rsidR="00B410C2" w:rsidRPr="00B410C2" w:rsidRDefault="00B410C2" w:rsidP="00B410C2">
            <w:pPr>
              <w:spacing w:before="100" w:beforeAutospacing="1" w:after="100" w:afterAutospacing="1"/>
            </w:pPr>
            <w:r w:rsidRPr="00B410C2">
              <w:t>238</w:t>
            </w:r>
          </w:p>
        </w:tc>
      </w:tr>
    </w:tbl>
    <w:p w14:paraId="15101EEF" w14:textId="0DC6757F" w:rsidR="00325827" w:rsidRDefault="00B42344" w:rsidP="00B42344">
      <w:pPr>
        <w:spacing w:before="240" w:after="240" w:line="480" w:lineRule="auto"/>
        <w:jc w:val="center"/>
        <w:rPr>
          <w:rFonts w:hint="eastAsia"/>
        </w:rPr>
      </w:pPr>
      <w:r w:rsidRPr="00B410C2">
        <w:lastRenderedPageBreak/>
        <w:drawing>
          <wp:anchor distT="0" distB="0" distL="114300" distR="114300" simplePos="0" relativeHeight="251670528" behindDoc="0" locked="0" layoutInCell="1" allowOverlap="1" wp14:anchorId="17C89A9F" wp14:editId="3A69F41B">
            <wp:simplePos x="0" y="0"/>
            <wp:positionH relativeFrom="column">
              <wp:posOffset>0</wp:posOffset>
            </wp:positionH>
            <wp:positionV relativeFrom="paragraph">
              <wp:posOffset>486</wp:posOffset>
            </wp:positionV>
            <wp:extent cx="1561381" cy="747921"/>
            <wp:effectExtent l="0" t="0" r="1270" b="1905"/>
            <wp:wrapTopAndBottom/>
            <wp:docPr id="1414064824"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4824" name="Picture 1" descr="A screenshot of a tes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1381" cy="747921"/>
                    </a:xfrm>
                    <a:prstGeom prst="rect">
                      <a:avLst/>
                    </a:prstGeom>
                  </pic:spPr>
                </pic:pic>
              </a:graphicData>
            </a:graphic>
            <wp14:sizeRelH relativeFrom="page">
              <wp14:pctWidth>0</wp14:pctWidth>
            </wp14:sizeRelH>
            <wp14:sizeRelV relativeFrom="page">
              <wp14:pctHeight>0</wp14:pctHeight>
            </wp14:sizeRelV>
          </wp:anchor>
        </w:drawing>
      </w:r>
      <w:r w:rsidR="00B410C2" w:rsidRPr="00B410C2">
        <w:rPr>
          <w:rFonts w:hint="eastAsia"/>
        </w:rPr>
        <w:t xml:space="preserve">Table 4. </w:t>
      </w:r>
      <w:r w:rsidR="00B410C2">
        <w:rPr>
          <w:rFonts w:hint="eastAsia"/>
        </w:rPr>
        <w:t>Attitude</w:t>
      </w:r>
      <w:r w:rsidR="00B410C2" w:rsidRPr="00B410C2">
        <w:t xml:space="preserve"> </w:t>
      </w:r>
      <w:r w:rsidR="00B410C2">
        <w:rPr>
          <w:rFonts w:hint="eastAsia"/>
        </w:rPr>
        <w:t>toward</w:t>
      </w:r>
      <w:r w:rsidR="00B410C2" w:rsidRPr="00B410C2">
        <w:t xml:space="preserve"> Economic Integration</w:t>
      </w:r>
      <w:r w:rsidR="00B410C2">
        <w:rPr>
          <w:rFonts w:hint="eastAsia"/>
        </w:rPr>
        <w:t xml:space="preserve"> with </w:t>
      </w:r>
      <w:r w:rsidR="00B410C2" w:rsidRPr="00B410C2">
        <w:t>Mainland and Preferences on Taiwan Independence (% within each Independence Category)</w:t>
      </w:r>
    </w:p>
    <w:p w14:paraId="777A7F88" w14:textId="27EEF119" w:rsidR="00F847B7" w:rsidRDefault="00B410C2" w:rsidP="006E631A">
      <w:pPr>
        <w:spacing w:before="240" w:after="240" w:line="480" w:lineRule="auto"/>
        <w:ind w:firstLine="720"/>
        <w:rPr>
          <w:rFonts w:hint="eastAsia"/>
        </w:rPr>
      </w:pPr>
      <w:r w:rsidRPr="00B410C2">
        <w:t xml:space="preserve">Table 4 presents the relationship between attitude toward Mainland economic integration and preferences on Taiwan independence. Among unconditional supporters, 70.9% believe that Taiwan’s economic integration with the </w:t>
      </w:r>
      <w:proofErr w:type="gramStart"/>
      <w:r w:rsidRPr="00B410C2">
        <w:t>Mainland</w:t>
      </w:r>
      <w:proofErr w:type="gramEnd"/>
      <w:r w:rsidRPr="00B410C2">
        <w:t xml:space="preserve"> should decline, whereas 29.1% believe it should strengthen. Among non-supporters, the pattern reverses: 87.8% support stronger economic integration with the </w:t>
      </w:r>
      <w:proofErr w:type="gramStart"/>
      <w:r w:rsidRPr="00B410C2">
        <w:t>Mainland</w:t>
      </w:r>
      <w:proofErr w:type="gramEnd"/>
      <w:r w:rsidRPr="00B410C2">
        <w:t>, while only 12.2% favor decline. Conditional supporters fall between these extremes, with 62.2% supporting stronger integration and 37.8% favoring economic decline. The Pearson Chi-Square test is highly significant (p &lt; .001), confirming that economic perspectives on China are a crucial factor in shaping respondents’ attitudes toward Taiwan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080"/>
        <w:gridCol w:w="1080"/>
        <w:gridCol w:w="960"/>
        <w:gridCol w:w="1509"/>
      </w:tblGrid>
      <w:tr w:rsidR="00F847B7" w:rsidRPr="00F847B7" w14:paraId="3B940031" w14:textId="77777777" w:rsidTr="00F847B7">
        <w:trPr>
          <w:tblHeader/>
          <w:tblCellSpacing w:w="15" w:type="dxa"/>
        </w:trPr>
        <w:tc>
          <w:tcPr>
            <w:tcW w:w="0" w:type="auto"/>
            <w:vAlign w:val="center"/>
            <w:hideMark/>
          </w:tcPr>
          <w:p w14:paraId="2E669341" w14:textId="77777777" w:rsidR="00F847B7" w:rsidRPr="00F847B7" w:rsidRDefault="00F847B7" w:rsidP="00F847B7">
            <w:pPr>
              <w:rPr>
                <w:sz w:val="20"/>
                <w:szCs w:val="20"/>
              </w:rPr>
            </w:pPr>
          </w:p>
        </w:tc>
        <w:tc>
          <w:tcPr>
            <w:tcW w:w="0" w:type="auto"/>
            <w:vAlign w:val="center"/>
            <w:hideMark/>
          </w:tcPr>
          <w:p w14:paraId="302BF7B6" w14:textId="77777777" w:rsidR="00F847B7" w:rsidRPr="00F847B7" w:rsidRDefault="00F847B7" w:rsidP="00F847B7">
            <w:pPr>
              <w:spacing w:before="100" w:beforeAutospacing="1" w:after="100" w:afterAutospacing="1"/>
              <w:jc w:val="center"/>
            </w:pPr>
            <w:r w:rsidRPr="00F847B7">
              <w:t>KMT</w:t>
            </w:r>
          </w:p>
        </w:tc>
        <w:tc>
          <w:tcPr>
            <w:tcW w:w="0" w:type="auto"/>
            <w:vAlign w:val="center"/>
            <w:hideMark/>
          </w:tcPr>
          <w:p w14:paraId="21CAC574" w14:textId="77777777" w:rsidR="00F847B7" w:rsidRPr="00F847B7" w:rsidRDefault="00F847B7" w:rsidP="00F847B7">
            <w:pPr>
              <w:spacing w:before="100" w:beforeAutospacing="1" w:after="100" w:afterAutospacing="1"/>
              <w:jc w:val="center"/>
            </w:pPr>
            <w:r w:rsidRPr="00F847B7">
              <w:t>DPP</w:t>
            </w:r>
          </w:p>
        </w:tc>
        <w:tc>
          <w:tcPr>
            <w:tcW w:w="0" w:type="auto"/>
            <w:vAlign w:val="center"/>
            <w:hideMark/>
          </w:tcPr>
          <w:p w14:paraId="7B05BFCA" w14:textId="77777777" w:rsidR="00F847B7" w:rsidRPr="00F847B7" w:rsidRDefault="00F847B7" w:rsidP="00F847B7">
            <w:pPr>
              <w:spacing w:before="100" w:beforeAutospacing="1" w:after="100" w:afterAutospacing="1"/>
              <w:jc w:val="center"/>
            </w:pPr>
            <w:r w:rsidRPr="00F847B7">
              <w:t>TPP</w:t>
            </w:r>
          </w:p>
        </w:tc>
        <w:tc>
          <w:tcPr>
            <w:tcW w:w="0" w:type="auto"/>
            <w:vAlign w:val="center"/>
            <w:hideMark/>
          </w:tcPr>
          <w:p w14:paraId="269BA19E" w14:textId="77777777" w:rsidR="00F847B7" w:rsidRPr="00F847B7" w:rsidRDefault="00F847B7" w:rsidP="00F847B7">
            <w:pPr>
              <w:spacing w:before="100" w:beforeAutospacing="1" w:after="100" w:afterAutospacing="1"/>
              <w:jc w:val="center"/>
            </w:pPr>
            <w:r w:rsidRPr="00F847B7">
              <w:t>Row Total (N)</w:t>
            </w:r>
          </w:p>
        </w:tc>
      </w:tr>
      <w:tr w:rsidR="00F847B7" w:rsidRPr="00F847B7" w14:paraId="1A0979DD" w14:textId="77777777" w:rsidTr="00F847B7">
        <w:trPr>
          <w:tblCellSpacing w:w="15" w:type="dxa"/>
        </w:trPr>
        <w:tc>
          <w:tcPr>
            <w:tcW w:w="0" w:type="auto"/>
            <w:vAlign w:val="center"/>
            <w:hideMark/>
          </w:tcPr>
          <w:p w14:paraId="37D830D1" w14:textId="77777777" w:rsidR="00F847B7" w:rsidRPr="00F847B7" w:rsidRDefault="00F847B7" w:rsidP="00F847B7">
            <w:pPr>
              <w:spacing w:before="100" w:beforeAutospacing="1" w:after="100" w:afterAutospacing="1"/>
            </w:pPr>
            <w:r w:rsidRPr="00F847B7">
              <w:t>Unconditional Support (IND)</w:t>
            </w:r>
          </w:p>
        </w:tc>
        <w:tc>
          <w:tcPr>
            <w:tcW w:w="0" w:type="auto"/>
            <w:vAlign w:val="center"/>
            <w:hideMark/>
          </w:tcPr>
          <w:p w14:paraId="7BD593AB" w14:textId="77777777" w:rsidR="00F847B7" w:rsidRPr="00F847B7" w:rsidRDefault="00F847B7" w:rsidP="00F847B7">
            <w:pPr>
              <w:spacing w:before="100" w:beforeAutospacing="1" w:after="100" w:afterAutospacing="1"/>
            </w:pPr>
            <w:r w:rsidRPr="00F847B7">
              <w:t>10.7 (34)</w:t>
            </w:r>
          </w:p>
        </w:tc>
        <w:tc>
          <w:tcPr>
            <w:tcW w:w="0" w:type="auto"/>
            <w:vAlign w:val="center"/>
            <w:hideMark/>
          </w:tcPr>
          <w:p w14:paraId="4B8F0DD7" w14:textId="77777777" w:rsidR="00F847B7" w:rsidRPr="00F847B7" w:rsidRDefault="00F847B7" w:rsidP="00F847B7">
            <w:pPr>
              <w:spacing w:before="100" w:beforeAutospacing="1" w:after="100" w:afterAutospacing="1"/>
            </w:pPr>
            <w:r w:rsidRPr="00F847B7">
              <w:t>82.1 (262)</w:t>
            </w:r>
          </w:p>
        </w:tc>
        <w:tc>
          <w:tcPr>
            <w:tcW w:w="0" w:type="auto"/>
            <w:vAlign w:val="center"/>
            <w:hideMark/>
          </w:tcPr>
          <w:p w14:paraId="4A12E193" w14:textId="77777777" w:rsidR="00F847B7" w:rsidRPr="00F847B7" w:rsidRDefault="00F847B7" w:rsidP="00F847B7">
            <w:pPr>
              <w:spacing w:before="100" w:beforeAutospacing="1" w:after="100" w:afterAutospacing="1"/>
            </w:pPr>
            <w:r w:rsidRPr="00F847B7">
              <w:t>7.2 (23)</w:t>
            </w:r>
          </w:p>
        </w:tc>
        <w:tc>
          <w:tcPr>
            <w:tcW w:w="0" w:type="auto"/>
            <w:vAlign w:val="center"/>
            <w:hideMark/>
          </w:tcPr>
          <w:p w14:paraId="51649087" w14:textId="77777777" w:rsidR="00F847B7" w:rsidRPr="00F847B7" w:rsidRDefault="00F847B7" w:rsidP="00F847B7">
            <w:pPr>
              <w:spacing w:before="100" w:beforeAutospacing="1" w:after="100" w:afterAutospacing="1"/>
            </w:pPr>
            <w:r w:rsidRPr="00F847B7">
              <w:t>319</w:t>
            </w:r>
          </w:p>
        </w:tc>
      </w:tr>
      <w:tr w:rsidR="00F847B7" w:rsidRPr="00F847B7" w14:paraId="7F901A16" w14:textId="77777777" w:rsidTr="00F847B7">
        <w:trPr>
          <w:tblCellSpacing w:w="15" w:type="dxa"/>
        </w:trPr>
        <w:tc>
          <w:tcPr>
            <w:tcW w:w="0" w:type="auto"/>
            <w:vAlign w:val="center"/>
            <w:hideMark/>
          </w:tcPr>
          <w:p w14:paraId="7894DF8F" w14:textId="77777777" w:rsidR="00F847B7" w:rsidRPr="00F847B7" w:rsidRDefault="00F847B7" w:rsidP="00F847B7">
            <w:pPr>
              <w:spacing w:before="100" w:beforeAutospacing="1" w:after="100" w:afterAutospacing="1"/>
            </w:pPr>
            <w:r w:rsidRPr="00F847B7">
              <w:t>Conditional Support (IND)</w:t>
            </w:r>
          </w:p>
        </w:tc>
        <w:tc>
          <w:tcPr>
            <w:tcW w:w="0" w:type="auto"/>
            <w:vAlign w:val="center"/>
            <w:hideMark/>
          </w:tcPr>
          <w:p w14:paraId="02516DB5" w14:textId="77777777" w:rsidR="00F847B7" w:rsidRPr="00F847B7" w:rsidRDefault="00F847B7" w:rsidP="00F847B7">
            <w:pPr>
              <w:spacing w:before="100" w:beforeAutospacing="1" w:after="100" w:afterAutospacing="1"/>
            </w:pPr>
            <w:r w:rsidRPr="00F847B7">
              <w:t>36.8 (118)</w:t>
            </w:r>
          </w:p>
        </w:tc>
        <w:tc>
          <w:tcPr>
            <w:tcW w:w="0" w:type="auto"/>
            <w:vAlign w:val="center"/>
            <w:hideMark/>
          </w:tcPr>
          <w:p w14:paraId="08EA7CDE" w14:textId="77777777" w:rsidR="00F847B7" w:rsidRPr="00F847B7" w:rsidRDefault="00F847B7" w:rsidP="00F847B7">
            <w:pPr>
              <w:spacing w:before="100" w:beforeAutospacing="1" w:after="100" w:afterAutospacing="1"/>
            </w:pPr>
            <w:r w:rsidRPr="00F847B7">
              <w:t>37.1 (119)</w:t>
            </w:r>
          </w:p>
        </w:tc>
        <w:tc>
          <w:tcPr>
            <w:tcW w:w="0" w:type="auto"/>
            <w:vAlign w:val="center"/>
            <w:hideMark/>
          </w:tcPr>
          <w:p w14:paraId="26C50866" w14:textId="77777777" w:rsidR="00F847B7" w:rsidRPr="00F847B7" w:rsidRDefault="00F847B7" w:rsidP="00F847B7">
            <w:pPr>
              <w:spacing w:before="100" w:beforeAutospacing="1" w:after="100" w:afterAutospacing="1"/>
            </w:pPr>
            <w:r w:rsidRPr="00F847B7">
              <w:t>26.2 (84)</w:t>
            </w:r>
          </w:p>
        </w:tc>
        <w:tc>
          <w:tcPr>
            <w:tcW w:w="0" w:type="auto"/>
            <w:vAlign w:val="center"/>
            <w:hideMark/>
          </w:tcPr>
          <w:p w14:paraId="6FE000EB" w14:textId="77777777" w:rsidR="00F847B7" w:rsidRPr="00F847B7" w:rsidRDefault="00F847B7" w:rsidP="00F847B7">
            <w:pPr>
              <w:spacing w:before="100" w:beforeAutospacing="1" w:after="100" w:afterAutospacing="1"/>
            </w:pPr>
            <w:r w:rsidRPr="00F847B7">
              <w:t>321</w:t>
            </w:r>
          </w:p>
        </w:tc>
      </w:tr>
      <w:tr w:rsidR="00F847B7" w:rsidRPr="00F847B7" w14:paraId="4BDD81A5" w14:textId="77777777" w:rsidTr="00F847B7">
        <w:trPr>
          <w:tblCellSpacing w:w="15" w:type="dxa"/>
        </w:trPr>
        <w:tc>
          <w:tcPr>
            <w:tcW w:w="0" w:type="auto"/>
            <w:vAlign w:val="center"/>
            <w:hideMark/>
          </w:tcPr>
          <w:p w14:paraId="5645B700" w14:textId="77777777" w:rsidR="00F847B7" w:rsidRPr="00F847B7" w:rsidRDefault="00F847B7" w:rsidP="00F847B7">
            <w:pPr>
              <w:spacing w:before="100" w:beforeAutospacing="1" w:after="100" w:afterAutospacing="1"/>
            </w:pPr>
            <w:r w:rsidRPr="00F847B7">
              <w:t>Non‐Support (IND)</w:t>
            </w:r>
          </w:p>
        </w:tc>
        <w:tc>
          <w:tcPr>
            <w:tcW w:w="0" w:type="auto"/>
            <w:vAlign w:val="center"/>
            <w:hideMark/>
          </w:tcPr>
          <w:p w14:paraId="4B8A6253" w14:textId="77777777" w:rsidR="00F847B7" w:rsidRPr="00F847B7" w:rsidRDefault="00F847B7" w:rsidP="00F847B7">
            <w:pPr>
              <w:spacing w:before="100" w:beforeAutospacing="1" w:after="100" w:afterAutospacing="1"/>
            </w:pPr>
            <w:r w:rsidRPr="00F847B7">
              <w:t>76.7 (148)</w:t>
            </w:r>
          </w:p>
        </w:tc>
        <w:tc>
          <w:tcPr>
            <w:tcW w:w="0" w:type="auto"/>
            <w:vAlign w:val="center"/>
            <w:hideMark/>
          </w:tcPr>
          <w:p w14:paraId="16EAF680" w14:textId="77777777" w:rsidR="00F847B7" w:rsidRPr="00F847B7" w:rsidRDefault="00F847B7" w:rsidP="00F847B7">
            <w:pPr>
              <w:spacing w:before="100" w:beforeAutospacing="1" w:after="100" w:afterAutospacing="1"/>
            </w:pPr>
            <w:r w:rsidRPr="00F847B7">
              <w:t>6.7 (13)</w:t>
            </w:r>
          </w:p>
        </w:tc>
        <w:tc>
          <w:tcPr>
            <w:tcW w:w="0" w:type="auto"/>
            <w:vAlign w:val="center"/>
            <w:hideMark/>
          </w:tcPr>
          <w:p w14:paraId="4EFF5900" w14:textId="77777777" w:rsidR="00F847B7" w:rsidRPr="00F847B7" w:rsidRDefault="00F847B7" w:rsidP="00F847B7">
            <w:pPr>
              <w:spacing w:before="100" w:beforeAutospacing="1" w:after="100" w:afterAutospacing="1"/>
            </w:pPr>
            <w:r w:rsidRPr="00F847B7">
              <w:t>16.6 (32)</w:t>
            </w:r>
          </w:p>
        </w:tc>
        <w:tc>
          <w:tcPr>
            <w:tcW w:w="0" w:type="auto"/>
            <w:vAlign w:val="center"/>
            <w:hideMark/>
          </w:tcPr>
          <w:p w14:paraId="3506404C" w14:textId="77777777" w:rsidR="00F847B7" w:rsidRPr="00F847B7" w:rsidRDefault="00F847B7" w:rsidP="00F847B7">
            <w:pPr>
              <w:spacing w:before="100" w:beforeAutospacing="1" w:after="100" w:afterAutospacing="1"/>
            </w:pPr>
            <w:r w:rsidRPr="00F847B7">
              <w:t>193</w:t>
            </w:r>
          </w:p>
        </w:tc>
      </w:tr>
    </w:tbl>
    <w:p w14:paraId="6FEA2640" w14:textId="1ED2E573" w:rsidR="00F847B7" w:rsidRDefault="00F847B7" w:rsidP="006E631A">
      <w:pPr>
        <w:spacing w:before="240" w:after="240" w:line="480" w:lineRule="auto"/>
        <w:jc w:val="center"/>
      </w:pPr>
      <w:r w:rsidRPr="00F847B7">
        <w:drawing>
          <wp:anchor distT="0" distB="0" distL="114300" distR="114300" simplePos="0" relativeHeight="251662336" behindDoc="0" locked="0" layoutInCell="1" allowOverlap="1" wp14:anchorId="4DD4900C" wp14:editId="7F9CF9EB">
            <wp:simplePos x="0" y="0"/>
            <wp:positionH relativeFrom="column">
              <wp:posOffset>0</wp:posOffset>
            </wp:positionH>
            <wp:positionV relativeFrom="paragraph">
              <wp:posOffset>148590</wp:posOffset>
            </wp:positionV>
            <wp:extent cx="1962785" cy="939800"/>
            <wp:effectExtent l="0" t="0" r="5715" b="0"/>
            <wp:wrapTopAndBottom/>
            <wp:docPr id="1035571453"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71453" name="Picture 1" descr="A screenshot of a tes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785" cy="93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Table 5. </w:t>
      </w:r>
      <w:r w:rsidRPr="00F847B7">
        <w:t>Party Identification and Preferences on Taiwan Independence (% within each Independence Category)</w:t>
      </w:r>
    </w:p>
    <w:p w14:paraId="317B7A58" w14:textId="2189DB52" w:rsidR="00F847B7" w:rsidRDefault="00F847B7" w:rsidP="006E631A">
      <w:pPr>
        <w:spacing w:before="240" w:after="240" w:line="480" w:lineRule="auto"/>
        <w:ind w:firstLine="720"/>
        <w:rPr>
          <w:rFonts w:hint="eastAsia"/>
        </w:rPr>
      </w:pPr>
      <w:r w:rsidRPr="00F847B7">
        <w:lastRenderedPageBreak/>
        <w:t>Table 5 presents the relationship between party identification (KMT, DPP, and TPP) and support for Taiwan independence. Among unconditional supporters, 82.1% identify with the DPP, while only 10.7% belong to the KMT. The reverse pattern is seen among non‐supporters, where 76.7% are KMT members, while just 6.7% belong to the DPP. For conditional supporters, respondents display a relative equal distribution among three parties. I was expecting to see if TPP identifiers would be more associated with a "</w:t>
      </w:r>
      <w:proofErr w:type="gramStart"/>
      <w:r w:rsidRPr="00F847B7">
        <w:t>median-voter</w:t>
      </w:r>
      <w:proofErr w:type="gramEnd"/>
      <w:r w:rsidRPr="00F847B7">
        <w:t>" image; but ultimately people who identify themselves as either KMT or DPP have exceeded that of TPP. The Pearson Chi‐Square test is highly significant (p &lt; .001), confirming that party affiliation plays a critical role in shaping attitudes toward Taiwan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760"/>
        <w:gridCol w:w="1080"/>
        <w:gridCol w:w="1509"/>
      </w:tblGrid>
      <w:tr w:rsidR="006E631A" w:rsidRPr="006E631A" w14:paraId="6EBA559F" w14:textId="77777777" w:rsidTr="006E631A">
        <w:trPr>
          <w:tblHeader/>
          <w:tblCellSpacing w:w="15" w:type="dxa"/>
        </w:trPr>
        <w:tc>
          <w:tcPr>
            <w:tcW w:w="0" w:type="auto"/>
            <w:vAlign w:val="center"/>
            <w:hideMark/>
          </w:tcPr>
          <w:p w14:paraId="1BD059BD" w14:textId="333081DA" w:rsidR="006E631A" w:rsidRPr="006E631A" w:rsidRDefault="00B42344" w:rsidP="006E631A">
            <w:r>
              <w:t>Table 6 *U.S. Involvement)</w:t>
            </w:r>
          </w:p>
        </w:tc>
        <w:tc>
          <w:tcPr>
            <w:tcW w:w="0" w:type="auto"/>
            <w:vAlign w:val="center"/>
            <w:hideMark/>
          </w:tcPr>
          <w:p w14:paraId="230F5EF6" w14:textId="77777777" w:rsidR="006E631A" w:rsidRPr="006E631A" w:rsidRDefault="006E631A" w:rsidP="006E631A">
            <w:pPr>
              <w:spacing w:before="100" w:beforeAutospacing="1" w:after="100" w:afterAutospacing="1"/>
              <w:jc w:val="center"/>
            </w:pPr>
            <w:r w:rsidRPr="006E631A">
              <w:t>U.S. Will Defend</w:t>
            </w:r>
          </w:p>
        </w:tc>
        <w:tc>
          <w:tcPr>
            <w:tcW w:w="0" w:type="auto"/>
            <w:vAlign w:val="center"/>
            <w:hideMark/>
          </w:tcPr>
          <w:p w14:paraId="1FBAB8CB" w14:textId="77777777" w:rsidR="006E631A" w:rsidRPr="006E631A" w:rsidRDefault="006E631A" w:rsidP="006E631A">
            <w:pPr>
              <w:spacing w:before="100" w:beforeAutospacing="1" w:after="100" w:afterAutospacing="1"/>
              <w:jc w:val="center"/>
            </w:pPr>
            <w:r w:rsidRPr="006E631A">
              <w:t>Neutral</w:t>
            </w:r>
          </w:p>
        </w:tc>
        <w:tc>
          <w:tcPr>
            <w:tcW w:w="0" w:type="auto"/>
            <w:vAlign w:val="center"/>
            <w:hideMark/>
          </w:tcPr>
          <w:p w14:paraId="59500AC7" w14:textId="77777777" w:rsidR="006E631A" w:rsidRPr="006E631A" w:rsidRDefault="006E631A" w:rsidP="006E631A">
            <w:pPr>
              <w:spacing w:before="100" w:beforeAutospacing="1" w:after="100" w:afterAutospacing="1"/>
              <w:jc w:val="center"/>
            </w:pPr>
            <w:r w:rsidRPr="006E631A">
              <w:t>Row Total (N)</w:t>
            </w:r>
          </w:p>
        </w:tc>
      </w:tr>
      <w:tr w:rsidR="006E631A" w:rsidRPr="006E631A" w14:paraId="248BCF05" w14:textId="77777777" w:rsidTr="006E631A">
        <w:trPr>
          <w:tblCellSpacing w:w="15" w:type="dxa"/>
        </w:trPr>
        <w:tc>
          <w:tcPr>
            <w:tcW w:w="0" w:type="auto"/>
            <w:vAlign w:val="center"/>
            <w:hideMark/>
          </w:tcPr>
          <w:p w14:paraId="7D73B316" w14:textId="77777777" w:rsidR="006E631A" w:rsidRPr="006E631A" w:rsidRDefault="006E631A" w:rsidP="006E631A">
            <w:pPr>
              <w:spacing w:before="100" w:beforeAutospacing="1" w:after="100" w:afterAutospacing="1"/>
            </w:pPr>
            <w:r w:rsidRPr="006E631A">
              <w:t>Unconditional Support (IND)</w:t>
            </w:r>
          </w:p>
        </w:tc>
        <w:tc>
          <w:tcPr>
            <w:tcW w:w="0" w:type="auto"/>
            <w:vAlign w:val="center"/>
            <w:hideMark/>
          </w:tcPr>
          <w:p w14:paraId="5AAA5CA2" w14:textId="77777777" w:rsidR="006E631A" w:rsidRPr="006E631A" w:rsidRDefault="006E631A" w:rsidP="006E631A">
            <w:pPr>
              <w:spacing w:before="100" w:beforeAutospacing="1" w:after="100" w:afterAutospacing="1"/>
            </w:pPr>
            <w:r w:rsidRPr="006E631A">
              <w:t>40.0 (340)</w:t>
            </w:r>
          </w:p>
        </w:tc>
        <w:tc>
          <w:tcPr>
            <w:tcW w:w="0" w:type="auto"/>
            <w:vAlign w:val="center"/>
            <w:hideMark/>
          </w:tcPr>
          <w:p w14:paraId="54B0A69D" w14:textId="77777777" w:rsidR="006E631A" w:rsidRPr="006E631A" w:rsidRDefault="006E631A" w:rsidP="006E631A">
            <w:pPr>
              <w:spacing w:before="100" w:beforeAutospacing="1" w:after="100" w:afterAutospacing="1"/>
            </w:pPr>
            <w:r w:rsidRPr="006E631A">
              <w:t>27.8 (87)</w:t>
            </w:r>
          </w:p>
        </w:tc>
        <w:tc>
          <w:tcPr>
            <w:tcW w:w="0" w:type="auto"/>
            <w:vAlign w:val="center"/>
            <w:hideMark/>
          </w:tcPr>
          <w:p w14:paraId="17F4C73B" w14:textId="77777777" w:rsidR="006E631A" w:rsidRPr="006E631A" w:rsidRDefault="006E631A" w:rsidP="006E631A">
            <w:pPr>
              <w:spacing w:before="100" w:beforeAutospacing="1" w:after="100" w:afterAutospacing="1"/>
            </w:pPr>
            <w:r w:rsidRPr="006E631A">
              <w:t>36.7 (427)</w:t>
            </w:r>
          </w:p>
        </w:tc>
      </w:tr>
      <w:tr w:rsidR="006E631A" w:rsidRPr="006E631A" w14:paraId="6C860E51" w14:textId="77777777" w:rsidTr="006E631A">
        <w:trPr>
          <w:tblCellSpacing w:w="15" w:type="dxa"/>
        </w:trPr>
        <w:tc>
          <w:tcPr>
            <w:tcW w:w="0" w:type="auto"/>
            <w:vAlign w:val="center"/>
            <w:hideMark/>
          </w:tcPr>
          <w:p w14:paraId="2291A937" w14:textId="77777777" w:rsidR="006E631A" w:rsidRPr="006E631A" w:rsidRDefault="006E631A" w:rsidP="006E631A">
            <w:pPr>
              <w:spacing w:before="100" w:beforeAutospacing="1" w:after="100" w:afterAutospacing="1"/>
            </w:pPr>
            <w:r w:rsidRPr="006E631A">
              <w:t>Conditional Support (IND)</w:t>
            </w:r>
          </w:p>
        </w:tc>
        <w:tc>
          <w:tcPr>
            <w:tcW w:w="0" w:type="auto"/>
            <w:vAlign w:val="center"/>
            <w:hideMark/>
          </w:tcPr>
          <w:p w14:paraId="491577E0" w14:textId="77777777" w:rsidR="006E631A" w:rsidRPr="006E631A" w:rsidRDefault="006E631A" w:rsidP="006E631A">
            <w:pPr>
              <w:spacing w:before="100" w:beforeAutospacing="1" w:after="100" w:afterAutospacing="1"/>
            </w:pPr>
            <w:r w:rsidRPr="006E631A">
              <w:t>42.7 (363)</w:t>
            </w:r>
          </w:p>
        </w:tc>
        <w:tc>
          <w:tcPr>
            <w:tcW w:w="0" w:type="auto"/>
            <w:vAlign w:val="center"/>
            <w:hideMark/>
          </w:tcPr>
          <w:p w14:paraId="57A49E7F" w14:textId="77777777" w:rsidR="006E631A" w:rsidRPr="006E631A" w:rsidRDefault="006E631A" w:rsidP="006E631A">
            <w:pPr>
              <w:spacing w:before="100" w:beforeAutospacing="1" w:after="100" w:afterAutospacing="1"/>
            </w:pPr>
            <w:r w:rsidRPr="006E631A">
              <w:t>36.1 (113)</w:t>
            </w:r>
          </w:p>
        </w:tc>
        <w:tc>
          <w:tcPr>
            <w:tcW w:w="0" w:type="auto"/>
            <w:vAlign w:val="center"/>
            <w:hideMark/>
          </w:tcPr>
          <w:p w14:paraId="61614AF9" w14:textId="77777777" w:rsidR="006E631A" w:rsidRPr="006E631A" w:rsidRDefault="006E631A" w:rsidP="006E631A">
            <w:pPr>
              <w:spacing w:before="100" w:beforeAutospacing="1" w:after="100" w:afterAutospacing="1"/>
            </w:pPr>
            <w:r w:rsidRPr="006E631A">
              <w:t>40.9 (476)</w:t>
            </w:r>
          </w:p>
        </w:tc>
      </w:tr>
      <w:tr w:rsidR="006E631A" w:rsidRPr="006E631A" w14:paraId="0280EFEF" w14:textId="77777777" w:rsidTr="006E631A">
        <w:trPr>
          <w:tblCellSpacing w:w="15" w:type="dxa"/>
        </w:trPr>
        <w:tc>
          <w:tcPr>
            <w:tcW w:w="0" w:type="auto"/>
            <w:vAlign w:val="center"/>
            <w:hideMark/>
          </w:tcPr>
          <w:p w14:paraId="6DE02DC9" w14:textId="77777777" w:rsidR="006E631A" w:rsidRPr="006E631A" w:rsidRDefault="006E631A" w:rsidP="006E631A">
            <w:pPr>
              <w:spacing w:before="100" w:beforeAutospacing="1" w:after="100" w:afterAutospacing="1"/>
            </w:pPr>
            <w:r w:rsidRPr="006E631A">
              <w:t>Non‐Support (IND)</w:t>
            </w:r>
          </w:p>
        </w:tc>
        <w:tc>
          <w:tcPr>
            <w:tcW w:w="0" w:type="auto"/>
            <w:vAlign w:val="center"/>
            <w:hideMark/>
          </w:tcPr>
          <w:p w14:paraId="4C497BAB" w14:textId="77777777" w:rsidR="006E631A" w:rsidRPr="006E631A" w:rsidRDefault="006E631A" w:rsidP="006E631A">
            <w:pPr>
              <w:spacing w:before="100" w:beforeAutospacing="1" w:after="100" w:afterAutospacing="1"/>
            </w:pPr>
            <w:r w:rsidRPr="006E631A">
              <w:t>17.3 (147)</w:t>
            </w:r>
          </w:p>
        </w:tc>
        <w:tc>
          <w:tcPr>
            <w:tcW w:w="0" w:type="auto"/>
            <w:vAlign w:val="center"/>
            <w:hideMark/>
          </w:tcPr>
          <w:p w14:paraId="3A1A2E81" w14:textId="77777777" w:rsidR="006E631A" w:rsidRPr="006E631A" w:rsidRDefault="006E631A" w:rsidP="006E631A">
            <w:pPr>
              <w:spacing w:before="100" w:beforeAutospacing="1" w:after="100" w:afterAutospacing="1"/>
            </w:pPr>
            <w:r w:rsidRPr="006E631A">
              <w:t>36.1 (113)</w:t>
            </w:r>
          </w:p>
        </w:tc>
        <w:tc>
          <w:tcPr>
            <w:tcW w:w="0" w:type="auto"/>
            <w:vAlign w:val="center"/>
            <w:hideMark/>
          </w:tcPr>
          <w:p w14:paraId="1976ED79" w14:textId="77777777" w:rsidR="006E631A" w:rsidRPr="006E631A" w:rsidRDefault="006E631A" w:rsidP="006E631A">
            <w:pPr>
              <w:spacing w:before="100" w:beforeAutospacing="1" w:after="100" w:afterAutospacing="1"/>
            </w:pPr>
            <w:r w:rsidRPr="006E631A">
              <w:t>22.4 (260)</w:t>
            </w:r>
          </w:p>
        </w:tc>
      </w:tr>
    </w:tbl>
    <w:p w14:paraId="116FA382" w14:textId="52B4EB9C" w:rsidR="006E631A" w:rsidRDefault="006E631A" w:rsidP="00B42344">
      <w:pPr>
        <w:spacing w:before="240" w:after="240" w:line="480" w:lineRule="auto"/>
        <w:ind w:firstLine="720"/>
        <w:rPr>
          <w:rFonts w:hint="eastAsia"/>
        </w:rPr>
      </w:pPr>
      <w:r w:rsidRPr="006E631A">
        <w:drawing>
          <wp:anchor distT="0" distB="0" distL="114300" distR="114300" simplePos="0" relativeHeight="251664384" behindDoc="0" locked="0" layoutInCell="1" allowOverlap="1" wp14:anchorId="6A8D63AE" wp14:editId="5A17F80E">
            <wp:simplePos x="0" y="0"/>
            <wp:positionH relativeFrom="column">
              <wp:posOffset>0</wp:posOffset>
            </wp:positionH>
            <wp:positionV relativeFrom="paragraph">
              <wp:posOffset>563</wp:posOffset>
            </wp:positionV>
            <wp:extent cx="2089017" cy="1000665"/>
            <wp:effectExtent l="0" t="0" r="0" b="3175"/>
            <wp:wrapTopAndBottom/>
            <wp:docPr id="1581582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281" name="Picture 1"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9017" cy="1000665"/>
                    </a:xfrm>
                    <a:prstGeom prst="rect">
                      <a:avLst/>
                    </a:prstGeom>
                  </pic:spPr>
                </pic:pic>
              </a:graphicData>
            </a:graphic>
            <wp14:sizeRelH relativeFrom="page">
              <wp14:pctWidth>0</wp14:pctWidth>
            </wp14:sizeRelH>
            <wp14:sizeRelV relativeFrom="page">
              <wp14:pctHeight>0</wp14:pctHeight>
            </wp14:sizeRelV>
          </wp:anchor>
        </w:drawing>
      </w:r>
      <w:r w:rsidRPr="006E631A">
        <w:t xml:space="preserve">Table 6 examines the relationship between perceived U.S. commitment to defending Taiwan and support for independence. The results indicate that expectations of U.S. defense influence respondents’ views on independence. Among unconditional supporters, 40.0% believe the U.S. will defend Taiwan, while 27.8% remain neutral. Conditional supporters, however, have the highest proportion believing in U.S. defense (42.7%), while 36.1% of neutral respondents fall into this category. Among non-supporters, the lowest percentage (17.3%) believe the U.S. will defend Taiwan, while 36.1% are neutral. The Pearson Chi-Square test is highly significant (p &lt; .001), confirming that belief in U.S. defense commitments is associated with increased support </w:t>
      </w:r>
      <w:r w:rsidRPr="006E631A">
        <w:lastRenderedPageBreak/>
        <w:t xml:space="preserve">for Taiwan independence. Those who expect U.S. military intervention are more likely to support independence, while those who are neutral are more evenly distributed between </w:t>
      </w:r>
      <w:r w:rsidR="005E1CE2" w:rsidRPr="005E1CE2">
        <w:drawing>
          <wp:anchor distT="0" distB="0" distL="114300" distR="114300" simplePos="0" relativeHeight="251671552" behindDoc="0" locked="0" layoutInCell="1" allowOverlap="1" wp14:anchorId="3088068E" wp14:editId="38923A59">
            <wp:simplePos x="0" y="0"/>
            <wp:positionH relativeFrom="column">
              <wp:posOffset>0</wp:posOffset>
            </wp:positionH>
            <wp:positionV relativeFrom="paragraph">
              <wp:posOffset>2241101</wp:posOffset>
            </wp:positionV>
            <wp:extent cx="1834068" cy="878541"/>
            <wp:effectExtent l="0" t="0" r="0" b="0"/>
            <wp:wrapTopAndBottom/>
            <wp:docPr id="49578316"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8316" name="Picture 1" descr="A screenshot of a tes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4068" cy="878541"/>
                    </a:xfrm>
                    <a:prstGeom prst="rect">
                      <a:avLst/>
                    </a:prstGeom>
                  </pic:spPr>
                </pic:pic>
              </a:graphicData>
            </a:graphic>
            <wp14:sizeRelH relativeFrom="page">
              <wp14:pctWidth>0</wp14:pctWidth>
            </wp14:sizeRelH>
            <wp14:sizeRelV relativeFrom="page">
              <wp14:pctHeight>0</wp14:pctHeight>
            </wp14:sizeRelV>
          </wp:anchor>
        </w:drawing>
      </w:r>
      <w:r w:rsidRPr="006E631A">
        <w:t>conditional support and non-support.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960"/>
        <w:gridCol w:w="1080"/>
        <w:gridCol w:w="1280"/>
        <w:gridCol w:w="1214"/>
        <w:gridCol w:w="1509"/>
      </w:tblGrid>
      <w:tr w:rsidR="006E631A" w:rsidRPr="006E631A" w14:paraId="1BE073C3" w14:textId="77777777" w:rsidTr="006E631A">
        <w:trPr>
          <w:tblHeader/>
          <w:tblCellSpacing w:w="15" w:type="dxa"/>
        </w:trPr>
        <w:tc>
          <w:tcPr>
            <w:tcW w:w="0" w:type="auto"/>
            <w:vAlign w:val="center"/>
            <w:hideMark/>
          </w:tcPr>
          <w:p w14:paraId="4FEBE1E4" w14:textId="6293BCDD" w:rsidR="006E631A" w:rsidRPr="006E631A" w:rsidRDefault="00B42344" w:rsidP="006E631A">
            <w:pPr>
              <w:jc w:val="center"/>
            </w:pPr>
            <w:r>
              <w:t>Table 7 (Ethnic Group)</w:t>
            </w:r>
          </w:p>
        </w:tc>
        <w:tc>
          <w:tcPr>
            <w:tcW w:w="0" w:type="auto"/>
            <w:vAlign w:val="center"/>
            <w:hideMark/>
          </w:tcPr>
          <w:p w14:paraId="2745D154" w14:textId="77777777" w:rsidR="006E631A" w:rsidRPr="006E631A" w:rsidRDefault="006E631A" w:rsidP="006E631A">
            <w:pPr>
              <w:spacing w:before="100" w:beforeAutospacing="1" w:after="100" w:afterAutospacing="1"/>
              <w:jc w:val="center"/>
            </w:pPr>
            <w:r w:rsidRPr="006E631A">
              <w:t>Hakka</w:t>
            </w:r>
          </w:p>
        </w:tc>
        <w:tc>
          <w:tcPr>
            <w:tcW w:w="0" w:type="auto"/>
            <w:vAlign w:val="center"/>
            <w:hideMark/>
          </w:tcPr>
          <w:p w14:paraId="3C7C53C4" w14:textId="77777777" w:rsidR="006E631A" w:rsidRPr="006E631A" w:rsidRDefault="006E631A" w:rsidP="006E631A">
            <w:pPr>
              <w:spacing w:before="100" w:beforeAutospacing="1" w:after="100" w:afterAutospacing="1"/>
              <w:jc w:val="center"/>
            </w:pPr>
            <w:proofErr w:type="spellStart"/>
            <w:r w:rsidRPr="006E631A">
              <w:t>Minnan</w:t>
            </w:r>
            <w:proofErr w:type="spellEnd"/>
          </w:p>
        </w:tc>
        <w:tc>
          <w:tcPr>
            <w:tcW w:w="0" w:type="auto"/>
            <w:vAlign w:val="center"/>
            <w:hideMark/>
          </w:tcPr>
          <w:p w14:paraId="08A64E4A" w14:textId="77777777" w:rsidR="006E631A" w:rsidRPr="006E631A" w:rsidRDefault="006E631A" w:rsidP="006E631A">
            <w:pPr>
              <w:spacing w:before="100" w:beforeAutospacing="1" w:after="100" w:afterAutospacing="1"/>
              <w:jc w:val="center"/>
            </w:pPr>
            <w:r w:rsidRPr="006E631A">
              <w:t>Mainlanders</w:t>
            </w:r>
          </w:p>
        </w:tc>
        <w:tc>
          <w:tcPr>
            <w:tcW w:w="0" w:type="auto"/>
            <w:vAlign w:val="center"/>
            <w:hideMark/>
          </w:tcPr>
          <w:p w14:paraId="6F161651" w14:textId="77777777" w:rsidR="006E631A" w:rsidRPr="006E631A" w:rsidRDefault="006E631A" w:rsidP="006E631A">
            <w:pPr>
              <w:spacing w:before="100" w:beforeAutospacing="1" w:after="100" w:afterAutospacing="1"/>
              <w:jc w:val="center"/>
            </w:pPr>
            <w:r w:rsidRPr="006E631A">
              <w:t>Aboriginals</w:t>
            </w:r>
          </w:p>
        </w:tc>
        <w:tc>
          <w:tcPr>
            <w:tcW w:w="0" w:type="auto"/>
            <w:vAlign w:val="center"/>
            <w:hideMark/>
          </w:tcPr>
          <w:p w14:paraId="3D630C6D" w14:textId="77777777" w:rsidR="006E631A" w:rsidRPr="006E631A" w:rsidRDefault="006E631A" w:rsidP="006E631A">
            <w:pPr>
              <w:spacing w:before="100" w:beforeAutospacing="1" w:after="100" w:afterAutospacing="1"/>
              <w:jc w:val="center"/>
            </w:pPr>
            <w:r w:rsidRPr="006E631A">
              <w:t>Row Total (N)</w:t>
            </w:r>
          </w:p>
        </w:tc>
      </w:tr>
      <w:tr w:rsidR="006E631A" w:rsidRPr="006E631A" w14:paraId="6F09B9E4" w14:textId="77777777" w:rsidTr="006E631A">
        <w:trPr>
          <w:tblCellSpacing w:w="15" w:type="dxa"/>
        </w:trPr>
        <w:tc>
          <w:tcPr>
            <w:tcW w:w="0" w:type="auto"/>
            <w:vAlign w:val="center"/>
            <w:hideMark/>
          </w:tcPr>
          <w:p w14:paraId="0CC5C23B" w14:textId="77777777" w:rsidR="006E631A" w:rsidRPr="006E631A" w:rsidRDefault="006E631A" w:rsidP="006E631A">
            <w:pPr>
              <w:spacing w:before="100" w:beforeAutospacing="1" w:after="100" w:afterAutospacing="1"/>
              <w:jc w:val="center"/>
            </w:pPr>
            <w:r w:rsidRPr="006E631A">
              <w:t>Unconditional Support (IND)</w:t>
            </w:r>
          </w:p>
        </w:tc>
        <w:tc>
          <w:tcPr>
            <w:tcW w:w="0" w:type="auto"/>
            <w:vAlign w:val="center"/>
            <w:hideMark/>
          </w:tcPr>
          <w:p w14:paraId="19B9025D" w14:textId="77777777" w:rsidR="006E631A" w:rsidRPr="006E631A" w:rsidRDefault="006E631A" w:rsidP="006E631A">
            <w:pPr>
              <w:spacing w:before="100" w:beforeAutospacing="1" w:after="100" w:afterAutospacing="1"/>
              <w:jc w:val="center"/>
            </w:pPr>
            <w:r w:rsidRPr="006E631A">
              <w:t>9.6 (42)</w:t>
            </w:r>
          </w:p>
        </w:tc>
        <w:tc>
          <w:tcPr>
            <w:tcW w:w="0" w:type="auto"/>
            <w:vAlign w:val="center"/>
            <w:hideMark/>
          </w:tcPr>
          <w:p w14:paraId="699C74B6" w14:textId="77777777" w:rsidR="006E631A" w:rsidRPr="006E631A" w:rsidRDefault="006E631A" w:rsidP="006E631A">
            <w:pPr>
              <w:spacing w:before="100" w:beforeAutospacing="1" w:after="100" w:afterAutospacing="1"/>
              <w:jc w:val="center"/>
            </w:pPr>
            <w:r w:rsidRPr="006E631A">
              <w:t>82.9 (364)</w:t>
            </w:r>
          </w:p>
        </w:tc>
        <w:tc>
          <w:tcPr>
            <w:tcW w:w="0" w:type="auto"/>
            <w:vAlign w:val="center"/>
            <w:hideMark/>
          </w:tcPr>
          <w:p w14:paraId="32365C89" w14:textId="77777777" w:rsidR="006E631A" w:rsidRPr="006E631A" w:rsidRDefault="006E631A" w:rsidP="006E631A">
            <w:pPr>
              <w:spacing w:before="100" w:beforeAutospacing="1" w:after="100" w:afterAutospacing="1"/>
              <w:jc w:val="center"/>
            </w:pPr>
            <w:r w:rsidRPr="006E631A">
              <w:t>4.6 (20)</w:t>
            </w:r>
          </w:p>
        </w:tc>
        <w:tc>
          <w:tcPr>
            <w:tcW w:w="0" w:type="auto"/>
            <w:vAlign w:val="center"/>
            <w:hideMark/>
          </w:tcPr>
          <w:p w14:paraId="6A88B541" w14:textId="77777777" w:rsidR="006E631A" w:rsidRPr="006E631A" w:rsidRDefault="006E631A" w:rsidP="006E631A">
            <w:pPr>
              <w:spacing w:before="100" w:beforeAutospacing="1" w:after="100" w:afterAutospacing="1"/>
              <w:jc w:val="center"/>
            </w:pPr>
            <w:r w:rsidRPr="006E631A">
              <w:t>3.0 (13)</w:t>
            </w:r>
          </w:p>
        </w:tc>
        <w:tc>
          <w:tcPr>
            <w:tcW w:w="0" w:type="auto"/>
            <w:vAlign w:val="center"/>
            <w:hideMark/>
          </w:tcPr>
          <w:p w14:paraId="199E7561" w14:textId="77777777" w:rsidR="006E631A" w:rsidRPr="006E631A" w:rsidRDefault="006E631A" w:rsidP="006E631A">
            <w:pPr>
              <w:spacing w:before="100" w:beforeAutospacing="1" w:after="100" w:afterAutospacing="1"/>
              <w:jc w:val="center"/>
            </w:pPr>
            <w:r w:rsidRPr="006E631A">
              <w:t>439</w:t>
            </w:r>
          </w:p>
        </w:tc>
      </w:tr>
      <w:tr w:rsidR="006E631A" w:rsidRPr="006E631A" w14:paraId="760F063E" w14:textId="77777777" w:rsidTr="006E631A">
        <w:trPr>
          <w:tblCellSpacing w:w="15" w:type="dxa"/>
        </w:trPr>
        <w:tc>
          <w:tcPr>
            <w:tcW w:w="0" w:type="auto"/>
            <w:vAlign w:val="center"/>
            <w:hideMark/>
          </w:tcPr>
          <w:p w14:paraId="632D4DBF" w14:textId="77777777" w:rsidR="006E631A" w:rsidRPr="006E631A" w:rsidRDefault="006E631A" w:rsidP="006E631A">
            <w:pPr>
              <w:spacing w:before="100" w:beforeAutospacing="1" w:after="100" w:afterAutospacing="1"/>
              <w:jc w:val="center"/>
            </w:pPr>
            <w:r w:rsidRPr="006E631A">
              <w:t>Conditional Support (IND)</w:t>
            </w:r>
          </w:p>
        </w:tc>
        <w:tc>
          <w:tcPr>
            <w:tcW w:w="0" w:type="auto"/>
            <w:vAlign w:val="center"/>
            <w:hideMark/>
          </w:tcPr>
          <w:p w14:paraId="5C0C8435" w14:textId="77777777" w:rsidR="006E631A" w:rsidRPr="006E631A" w:rsidRDefault="006E631A" w:rsidP="006E631A">
            <w:pPr>
              <w:spacing w:before="100" w:beforeAutospacing="1" w:after="100" w:afterAutospacing="1"/>
              <w:jc w:val="center"/>
            </w:pPr>
            <w:r w:rsidRPr="006E631A">
              <w:t>13.6 (66)</w:t>
            </w:r>
          </w:p>
        </w:tc>
        <w:tc>
          <w:tcPr>
            <w:tcW w:w="0" w:type="auto"/>
            <w:vAlign w:val="center"/>
            <w:hideMark/>
          </w:tcPr>
          <w:p w14:paraId="6738CDB4" w14:textId="77777777" w:rsidR="006E631A" w:rsidRPr="006E631A" w:rsidRDefault="006E631A" w:rsidP="006E631A">
            <w:pPr>
              <w:spacing w:before="100" w:beforeAutospacing="1" w:after="100" w:afterAutospacing="1"/>
              <w:jc w:val="center"/>
            </w:pPr>
            <w:r w:rsidRPr="006E631A">
              <w:t>76.4 (372)</w:t>
            </w:r>
          </w:p>
        </w:tc>
        <w:tc>
          <w:tcPr>
            <w:tcW w:w="0" w:type="auto"/>
            <w:vAlign w:val="center"/>
            <w:hideMark/>
          </w:tcPr>
          <w:p w14:paraId="0938542D" w14:textId="77777777" w:rsidR="006E631A" w:rsidRPr="006E631A" w:rsidRDefault="006E631A" w:rsidP="006E631A">
            <w:pPr>
              <w:spacing w:before="100" w:beforeAutospacing="1" w:after="100" w:afterAutospacing="1"/>
              <w:jc w:val="center"/>
            </w:pPr>
            <w:r w:rsidRPr="006E631A">
              <w:t>9.9 (48)</w:t>
            </w:r>
          </w:p>
        </w:tc>
        <w:tc>
          <w:tcPr>
            <w:tcW w:w="0" w:type="auto"/>
            <w:vAlign w:val="center"/>
            <w:hideMark/>
          </w:tcPr>
          <w:p w14:paraId="5101F765" w14:textId="77777777" w:rsidR="006E631A" w:rsidRPr="006E631A" w:rsidRDefault="006E631A" w:rsidP="006E631A">
            <w:pPr>
              <w:spacing w:before="100" w:beforeAutospacing="1" w:after="100" w:afterAutospacing="1"/>
              <w:jc w:val="center"/>
            </w:pPr>
            <w:r w:rsidRPr="006E631A">
              <w:t>0.2 (1)</w:t>
            </w:r>
          </w:p>
        </w:tc>
        <w:tc>
          <w:tcPr>
            <w:tcW w:w="0" w:type="auto"/>
            <w:vAlign w:val="center"/>
            <w:hideMark/>
          </w:tcPr>
          <w:p w14:paraId="537CCE9C" w14:textId="77777777" w:rsidR="006E631A" w:rsidRPr="006E631A" w:rsidRDefault="006E631A" w:rsidP="006E631A">
            <w:pPr>
              <w:spacing w:before="100" w:beforeAutospacing="1" w:after="100" w:afterAutospacing="1"/>
              <w:jc w:val="center"/>
            </w:pPr>
            <w:r w:rsidRPr="006E631A">
              <w:t>487</w:t>
            </w:r>
          </w:p>
        </w:tc>
      </w:tr>
      <w:tr w:rsidR="006E631A" w:rsidRPr="006E631A" w14:paraId="08C7ADAC" w14:textId="77777777" w:rsidTr="006E631A">
        <w:trPr>
          <w:tblCellSpacing w:w="15" w:type="dxa"/>
        </w:trPr>
        <w:tc>
          <w:tcPr>
            <w:tcW w:w="0" w:type="auto"/>
            <w:vAlign w:val="center"/>
            <w:hideMark/>
          </w:tcPr>
          <w:p w14:paraId="396F74FB" w14:textId="77777777" w:rsidR="006E631A" w:rsidRPr="006E631A" w:rsidRDefault="006E631A" w:rsidP="006E631A">
            <w:pPr>
              <w:spacing w:before="100" w:beforeAutospacing="1" w:after="100" w:afterAutospacing="1"/>
              <w:jc w:val="center"/>
            </w:pPr>
            <w:r w:rsidRPr="006E631A">
              <w:t>Non‐Support (IND)</w:t>
            </w:r>
          </w:p>
        </w:tc>
        <w:tc>
          <w:tcPr>
            <w:tcW w:w="0" w:type="auto"/>
            <w:vAlign w:val="center"/>
            <w:hideMark/>
          </w:tcPr>
          <w:p w14:paraId="03E78FCA" w14:textId="77777777" w:rsidR="006E631A" w:rsidRPr="006E631A" w:rsidRDefault="006E631A" w:rsidP="006E631A">
            <w:pPr>
              <w:spacing w:before="100" w:beforeAutospacing="1" w:after="100" w:afterAutospacing="1"/>
              <w:jc w:val="center"/>
            </w:pPr>
            <w:r w:rsidRPr="006E631A">
              <w:t>14.8 (42)</w:t>
            </w:r>
          </w:p>
        </w:tc>
        <w:tc>
          <w:tcPr>
            <w:tcW w:w="0" w:type="auto"/>
            <w:vAlign w:val="center"/>
            <w:hideMark/>
          </w:tcPr>
          <w:p w14:paraId="6583DA40" w14:textId="77777777" w:rsidR="006E631A" w:rsidRPr="006E631A" w:rsidRDefault="006E631A" w:rsidP="006E631A">
            <w:pPr>
              <w:spacing w:before="100" w:beforeAutospacing="1" w:after="100" w:afterAutospacing="1"/>
              <w:jc w:val="center"/>
            </w:pPr>
            <w:r w:rsidRPr="006E631A">
              <w:t>66.9 (190)</w:t>
            </w:r>
          </w:p>
        </w:tc>
        <w:tc>
          <w:tcPr>
            <w:tcW w:w="0" w:type="auto"/>
            <w:vAlign w:val="center"/>
            <w:hideMark/>
          </w:tcPr>
          <w:p w14:paraId="0E58A6FD" w14:textId="77777777" w:rsidR="006E631A" w:rsidRPr="006E631A" w:rsidRDefault="006E631A" w:rsidP="006E631A">
            <w:pPr>
              <w:spacing w:before="100" w:beforeAutospacing="1" w:after="100" w:afterAutospacing="1"/>
              <w:jc w:val="center"/>
            </w:pPr>
            <w:r w:rsidRPr="006E631A">
              <w:t>16.9 (48)</w:t>
            </w:r>
          </w:p>
        </w:tc>
        <w:tc>
          <w:tcPr>
            <w:tcW w:w="0" w:type="auto"/>
            <w:vAlign w:val="center"/>
            <w:hideMark/>
          </w:tcPr>
          <w:p w14:paraId="7A0AF44D" w14:textId="77777777" w:rsidR="006E631A" w:rsidRPr="006E631A" w:rsidRDefault="006E631A" w:rsidP="006E631A">
            <w:pPr>
              <w:spacing w:before="100" w:beforeAutospacing="1" w:after="100" w:afterAutospacing="1"/>
              <w:jc w:val="center"/>
            </w:pPr>
            <w:r w:rsidRPr="006E631A">
              <w:t>1.4 (4)</w:t>
            </w:r>
          </w:p>
        </w:tc>
        <w:tc>
          <w:tcPr>
            <w:tcW w:w="0" w:type="auto"/>
            <w:vAlign w:val="center"/>
            <w:hideMark/>
          </w:tcPr>
          <w:p w14:paraId="114B1740" w14:textId="77777777" w:rsidR="006E631A" w:rsidRPr="006E631A" w:rsidRDefault="006E631A" w:rsidP="006E631A">
            <w:pPr>
              <w:spacing w:before="100" w:beforeAutospacing="1" w:after="100" w:afterAutospacing="1"/>
              <w:jc w:val="center"/>
            </w:pPr>
            <w:r w:rsidRPr="006E631A">
              <w:t>284</w:t>
            </w:r>
          </w:p>
        </w:tc>
      </w:tr>
    </w:tbl>
    <w:p w14:paraId="0357040B" w14:textId="1F932A92" w:rsidR="00325827" w:rsidRDefault="006E631A" w:rsidP="005E1CE2">
      <w:pPr>
        <w:spacing w:before="240" w:after="240" w:line="480" w:lineRule="auto"/>
        <w:ind w:firstLine="720"/>
      </w:pPr>
      <w:r w:rsidRPr="006E631A">
        <w:t xml:space="preserve">Table 7 presents the relationship between Taiwanese ethnic groups and support for Taiwan independence. Among unconditional supporters, the vast majority (82.9%) are </w:t>
      </w:r>
      <w:proofErr w:type="spellStart"/>
      <w:r w:rsidRPr="006E631A">
        <w:t>Minnan</w:t>
      </w:r>
      <w:proofErr w:type="spellEnd"/>
      <w:r w:rsidRPr="006E631A">
        <w:t xml:space="preserve"> (Hoklo), while only 4.6% are Mainlanders, 9.6% are Hakka, and 3.0% are Aboriginals. A similar trend is observed among conditional supporters, where 76.4% are </w:t>
      </w:r>
      <w:proofErr w:type="spellStart"/>
      <w:r w:rsidRPr="006E631A">
        <w:t>Minnan</w:t>
      </w:r>
      <w:proofErr w:type="spellEnd"/>
      <w:r w:rsidRPr="006E631A">
        <w:t xml:space="preserve"> and 9.9% are Mainlanders. Within non-supporters, the proportion of Mainlanders rises to 16.9%, while </w:t>
      </w:r>
      <w:proofErr w:type="spellStart"/>
      <w:r w:rsidRPr="006E631A">
        <w:t>Minnan</w:t>
      </w:r>
      <w:proofErr w:type="spellEnd"/>
      <w:r w:rsidRPr="006E631A">
        <w:t xml:space="preserve"> representation drops to 66.9%. The Pearson Chi-Square test is highly significant (p &lt; .001), confirming that ethnic identity is a crucial factor influencing preferences for Taiwan independence. </w:t>
      </w:r>
      <w:proofErr w:type="spellStart"/>
      <w:r w:rsidRPr="006E631A">
        <w:t>Minnan</w:t>
      </w:r>
      <w:proofErr w:type="spellEnd"/>
      <w:r w:rsidRPr="006E631A">
        <w:t xml:space="preserve"> respondents are more likely to support independence, whereas Mainlanders are more likely to oppose 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1577"/>
        <w:gridCol w:w="1077"/>
        <w:gridCol w:w="973"/>
        <w:gridCol w:w="1437"/>
        <w:gridCol w:w="1223"/>
        <w:gridCol w:w="981"/>
      </w:tblGrid>
      <w:tr w:rsidR="006E631A" w:rsidRPr="006E631A" w14:paraId="69118BC7" w14:textId="77777777" w:rsidTr="006E631A">
        <w:trPr>
          <w:tblHeader/>
          <w:tblCellSpacing w:w="15" w:type="dxa"/>
        </w:trPr>
        <w:tc>
          <w:tcPr>
            <w:tcW w:w="0" w:type="auto"/>
            <w:vAlign w:val="center"/>
            <w:hideMark/>
          </w:tcPr>
          <w:p w14:paraId="3B85126D" w14:textId="77777777" w:rsidR="006E631A" w:rsidRPr="006E631A" w:rsidRDefault="006E631A" w:rsidP="006E631A"/>
        </w:tc>
        <w:tc>
          <w:tcPr>
            <w:tcW w:w="0" w:type="auto"/>
            <w:vAlign w:val="center"/>
            <w:hideMark/>
          </w:tcPr>
          <w:p w14:paraId="7B20AD98" w14:textId="77777777" w:rsidR="006E631A" w:rsidRPr="006E631A" w:rsidRDefault="006E631A" w:rsidP="006E631A">
            <w:pPr>
              <w:spacing w:before="100" w:beforeAutospacing="1" w:after="100" w:afterAutospacing="1"/>
              <w:jc w:val="center"/>
            </w:pPr>
            <w:r w:rsidRPr="006E631A">
              <w:t xml:space="preserve">Elementary &amp; </w:t>
            </w:r>
            <w:proofErr w:type="gramStart"/>
            <w:r w:rsidRPr="006E631A">
              <w:t>Below</w:t>
            </w:r>
            <w:proofErr w:type="gramEnd"/>
          </w:p>
        </w:tc>
        <w:tc>
          <w:tcPr>
            <w:tcW w:w="0" w:type="auto"/>
            <w:vAlign w:val="center"/>
            <w:hideMark/>
          </w:tcPr>
          <w:p w14:paraId="2FB0A3CB" w14:textId="77777777" w:rsidR="006E631A" w:rsidRPr="006E631A" w:rsidRDefault="006E631A" w:rsidP="006E631A">
            <w:pPr>
              <w:spacing w:before="100" w:beforeAutospacing="1" w:after="100" w:afterAutospacing="1"/>
              <w:jc w:val="center"/>
            </w:pPr>
            <w:r w:rsidRPr="006E631A">
              <w:t>Middle School</w:t>
            </w:r>
          </w:p>
        </w:tc>
        <w:tc>
          <w:tcPr>
            <w:tcW w:w="0" w:type="auto"/>
            <w:vAlign w:val="center"/>
            <w:hideMark/>
          </w:tcPr>
          <w:p w14:paraId="26887B17" w14:textId="77777777" w:rsidR="006E631A" w:rsidRPr="006E631A" w:rsidRDefault="006E631A" w:rsidP="006E631A">
            <w:pPr>
              <w:spacing w:before="100" w:beforeAutospacing="1" w:after="100" w:afterAutospacing="1"/>
              <w:jc w:val="center"/>
            </w:pPr>
            <w:r w:rsidRPr="006E631A">
              <w:t>High School</w:t>
            </w:r>
          </w:p>
        </w:tc>
        <w:tc>
          <w:tcPr>
            <w:tcW w:w="0" w:type="auto"/>
            <w:vAlign w:val="center"/>
            <w:hideMark/>
          </w:tcPr>
          <w:p w14:paraId="5CE6DAC0" w14:textId="77777777" w:rsidR="006E631A" w:rsidRPr="006E631A" w:rsidRDefault="006E631A" w:rsidP="006E631A">
            <w:pPr>
              <w:spacing w:before="100" w:beforeAutospacing="1" w:after="100" w:afterAutospacing="1"/>
              <w:jc w:val="center"/>
            </w:pPr>
            <w:r w:rsidRPr="006E631A">
              <w:t>Vocational School</w:t>
            </w:r>
          </w:p>
        </w:tc>
        <w:tc>
          <w:tcPr>
            <w:tcW w:w="0" w:type="auto"/>
            <w:vAlign w:val="center"/>
            <w:hideMark/>
          </w:tcPr>
          <w:p w14:paraId="1F62D6D6" w14:textId="77777777" w:rsidR="006E631A" w:rsidRPr="006E631A" w:rsidRDefault="006E631A" w:rsidP="006E631A">
            <w:pPr>
              <w:spacing w:before="100" w:beforeAutospacing="1" w:after="100" w:afterAutospacing="1"/>
              <w:jc w:val="center"/>
            </w:pPr>
            <w:r w:rsidRPr="006E631A">
              <w:t xml:space="preserve">College &amp; </w:t>
            </w:r>
            <w:proofErr w:type="gramStart"/>
            <w:r w:rsidRPr="006E631A">
              <w:t>Above</w:t>
            </w:r>
            <w:proofErr w:type="gramEnd"/>
          </w:p>
        </w:tc>
        <w:tc>
          <w:tcPr>
            <w:tcW w:w="0" w:type="auto"/>
            <w:vAlign w:val="center"/>
            <w:hideMark/>
          </w:tcPr>
          <w:p w14:paraId="2DD8967A" w14:textId="77777777" w:rsidR="006E631A" w:rsidRPr="006E631A" w:rsidRDefault="006E631A" w:rsidP="006E631A">
            <w:pPr>
              <w:spacing w:before="100" w:beforeAutospacing="1" w:after="100" w:afterAutospacing="1"/>
              <w:jc w:val="center"/>
            </w:pPr>
            <w:r w:rsidRPr="006E631A">
              <w:t>Row Total (N)</w:t>
            </w:r>
          </w:p>
        </w:tc>
      </w:tr>
      <w:tr w:rsidR="006E631A" w:rsidRPr="006E631A" w14:paraId="23D2CD13" w14:textId="77777777" w:rsidTr="006E631A">
        <w:trPr>
          <w:tblCellSpacing w:w="15" w:type="dxa"/>
        </w:trPr>
        <w:tc>
          <w:tcPr>
            <w:tcW w:w="0" w:type="auto"/>
            <w:vAlign w:val="center"/>
            <w:hideMark/>
          </w:tcPr>
          <w:p w14:paraId="612C39BE" w14:textId="77777777" w:rsidR="006E631A" w:rsidRPr="006E631A" w:rsidRDefault="006E631A" w:rsidP="006E631A">
            <w:pPr>
              <w:spacing w:before="100" w:beforeAutospacing="1" w:after="100" w:afterAutospacing="1"/>
            </w:pPr>
            <w:r w:rsidRPr="006E631A">
              <w:t>Unconditional Support (IND)</w:t>
            </w:r>
          </w:p>
        </w:tc>
        <w:tc>
          <w:tcPr>
            <w:tcW w:w="0" w:type="auto"/>
            <w:vAlign w:val="center"/>
            <w:hideMark/>
          </w:tcPr>
          <w:p w14:paraId="78B00FCD" w14:textId="77777777" w:rsidR="006E631A" w:rsidRPr="006E631A" w:rsidRDefault="006E631A" w:rsidP="006E631A">
            <w:pPr>
              <w:spacing w:before="100" w:beforeAutospacing="1" w:after="100" w:afterAutospacing="1"/>
            </w:pPr>
            <w:r w:rsidRPr="006E631A">
              <w:t>10.1 (47)</w:t>
            </w:r>
          </w:p>
        </w:tc>
        <w:tc>
          <w:tcPr>
            <w:tcW w:w="0" w:type="auto"/>
            <w:vAlign w:val="center"/>
            <w:hideMark/>
          </w:tcPr>
          <w:p w14:paraId="155B2D40" w14:textId="77777777" w:rsidR="006E631A" w:rsidRPr="006E631A" w:rsidRDefault="006E631A" w:rsidP="006E631A">
            <w:pPr>
              <w:spacing w:before="100" w:beforeAutospacing="1" w:after="100" w:afterAutospacing="1"/>
            </w:pPr>
            <w:r w:rsidRPr="006E631A">
              <w:t>15.1 (70)</w:t>
            </w:r>
          </w:p>
        </w:tc>
        <w:tc>
          <w:tcPr>
            <w:tcW w:w="0" w:type="auto"/>
            <w:vAlign w:val="center"/>
            <w:hideMark/>
          </w:tcPr>
          <w:p w14:paraId="65E3BACD" w14:textId="77777777" w:rsidR="006E631A" w:rsidRPr="006E631A" w:rsidRDefault="006E631A" w:rsidP="006E631A">
            <w:pPr>
              <w:spacing w:before="100" w:beforeAutospacing="1" w:after="100" w:afterAutospacing="1"/>
            </w:pPr>
            <w:r w:rsidRPr="006E631A">
              <w:t>28.2 (131)</w:t>
            </w:r>
          </w:p>
        </w:tc>
        <w:tc>
          <w:tcPr>
            <w:tcW w:w="0" w:type="auto"/>
            <w:vAlign w:val="center"/>
            <w:hideMark/>
          </w:tcPr>
          <w:p w14:paraId="6C824068" w14:textId="77777777" w:rsidR="006E631A" w:rsidRPr="006E631A" w:rsidRDefault="006E631A" w:rsidP="006E631A">
            <w:pPr>
              <w:spacing w:before="100" w:beforeAutospacing="1" w:after="100" w:afterAutospacing="1"/>
            </w:pPr>
            <w:r w:rsidRPr="006E631A">
              <w:t>8.8 (41)</w:t>
            </w:r>
          </w:p>
        </w:tc>
        <w:tc>
          <w:tcPr>
            <w:tcW w:w="0" w:type="auto"/>
            <w:vAlign w:val="center"/>
            <w:hideMark/>
          </w:tcPr>
          <w:p w14:paraId="5BEDD23C" w14:textId="77777777" w:rsidR="006E631A" w:rsidRPr="006E631A" w:rsidRDefault="006E631A" w:rsidP="006E631A">
            <w:pPr>
              <w:spacing w:before="100" w:beforeAutospacing="1" w:after="100" w:afterAutospacing="1"/>
            </w:pPr>
            <w:r w:rsidRPr="006E631A">
              <w:t>37.7 (175)</w:t>
            </w:r>
          </w:p>
        </w:tc>
        <w:tc>
          <w:tcPr>
            <w:tcW w:w="0" w:type="auto"/>
            <w:vAlign w:val="center"/>
            <w:hideMark/>
          </w:tcPr>
          <w:p w14:paraId="4DA73CC2" w14:textId="77777777" w:rsidR="006E631A" w:rsidRPr="006E631A" w:rsidRDefault="006E631A" w:rsidP="006E631A">
            <w:pPr>
              <w:spacing w:before="100" w:beforeAutospacing="1" w:after="100" w:afterAutospacing="1"/>
            </w:pPr>
            <w:r w:rsidRPr="006E631A">
              <w:t>464</w:t>
            </w:r>
          </w:p>
        </w:tc>
      </w:tr>
      <w:tr w:rsidR="006E631A" w:rsidRPr="006E631A" w14:paraId="0AAFD4F1" w14:textId="77777777" w:rsidTr="006E631A">
        <w:trPr>
          <w:tblCellSpacing w:w="15" w:type="dxa"/>
        </w:trPr>
        <w:tc>
          <w:tcPr>
            <w:tcW w:w="0" w:type="auto"/>
            <w:vAlign w:val="center"/>
            <w:hideMark/>
          </w:tcPr>
          <w:p w14:paraId="69120946" w14:textId="77777777" w:rsidR="006E631A" w:rsidRPr="006E631A" w:rsidRDefault="006E631A" w:rsidP="006E631A">
            <w:pPr>
              <w:spacing w:before="100" w:beforeAutospacing="1" w:after="100" w:afterAutospacing="1"/>
            </w:pPr>
            <w:r w:rsidRPr="006E631A">
              <w:t>Conditional Support (IND)</w:t>
            </w:r>
          </w:p>
        </w:tc>
        <w:tc>
          <w:tcPr>
            <w:tcW w:w="0" w:type="auto"/>
            <w:vAlign w:val="center"/>
            <w:hideMark/>
          </w:tcPr>
          <w:p w14:paraId="73FAA52F" w14:textId="77777777" w:rsidR="006E631A" w:rsidRPr="006E631A" w:rsidRDefault="006E631A" w:rsidP="006E631A">
            <w:pPr>
              <w:spacing w:before="100" w:beforeAutospacing="1" w:after="100" w:afterAutospacing="1"/>
            </w:pPr>
            <w:r w:rsidRPr="006E631A">
              <w:t>5.4 (27)</w:t>
            </w:r>
          </w:p>
        </w:tc>
        <w:tc>
          <w:tcPr>
            <w:tcW w:w="0" w:type="auto"/>
            <w:vAlign w:val="center"/>
            <w:hideMark/>
          </w:tcPr>
          <w:p w14:paraId="719FE559" w14:textId="77777777" w:rsidR="006E631A" w:rsidRPr="006E631A" w:rsidRDefault="006E631A" w:rsidP="006E631A">
            <w:pPr>
              <w:spacing w:before="100" w:beforeAutospacing="1" w:after="100" w:afterAutospacing="1"/>
            </w:pPr>
            <w:r w:rsidRPr="006E631A">
              <w:t>7.4 (37)</w:t>
            </w:r>
          </w:p>
        </w:tc>
        <w:tc>
          <w:tcPr>
            <w:tcW w:w="0" w:type="auto"/>
            <w:vAlign w:val="center"/>
            <w:hideMark/>
          </w:tcPr>
          <w:p w14:paraId="1E2E691E" w14:textId="77777777" w:rsidR="006E631A" w:rsidRPr="006E631A" w:rsidRDefault="006E631A" w:rsidP="006E631A">
            <w:pPr>
              <w:spacing w:before="100" w:beforeAutospacing="1" w:after="100" w:afterAutospacing="1"/>
            </w:pPr>
            <w:r w:rsidRPr="006E631A">
              <w:t>27.1 (136)</w:t>
            </w:r>
          </w:p>
        </w:tc>
        <w:tc>
          <w:tcPr>
            <w:tcW w:w="0" w:type="auto"/>
            <w:vAlign w:val="center"/>
            <w:hideMark/>
          </w:tcPr>
          <w:p w14:paraId="75835905" w14:textId="77777777" w:rsidR="006E631A" w:rsidRPr="006E631A" w:rsidRDefault="006E631A" w:rsidP="006E631A">
            <w:pPr>
              <w:spacing w:before="100" w:beforeAutospacing="1" w:after="100" w:afterAutospacing="1"/>
            </w:pPr>
            <w:r w:rsidRPr="006E631A">
              <w:t>13.8 (69)</w:t>
            </w:r>
          </w:p>
        </w:tc>
        <w:tc>
          <w:tcPr>
            <w:tcW w:w="0" w:type="auto"/>
            <w:vAlign w:val="center"/>
            <w:hideMark/>
          </w:tcPr>
          <w:p w14:paraId="4AFB0CB4" w14:textId="77777777" w:rsidR="006E631A" w:rsidRPr="006E631A" w:rsidRDefault="006E631A" w:rsidP="006E631A">
            <w:pPr>
              <w:spacing w:before="100" w:beforeAutospacing="1" w:after="100" w:afterAutospacing="1"/>
            </w:pPr>
            <w:r w:rsidRPr="006E631A">
              <w:t>46.3 (232)</w:t>
            </w:r>
          </w:p>
        </w:tc>
        <w:tc>
          <w:tcPr>
            <w:tcW w:w="0" w:type="auto"/>
            <w:vAlign w:val="center"/>
            <w:hideMark/>
          </w:tcPr>
          <w:p w14:paraId="1C2320D9" w14:textId="77777777" w:rsidR="006E631A" w:rsidRPr="006E631A" w:rsidRDefault="006E631A" w:rsidP="006E631A">
            <w:pPr>
              <w:spacing w:before="100" w:beforeAutospacing="1" w:after="100" w:afterAutospacing="1"/>
            </w:pPr>
            <w:r w:rsidRPr="006E631A">
              <w:t>501</w:t>
            </w:r>
          </w:p>
        </w:tc>
      </w:tr>
      <w:tr w:rsidR="006E631A" w:rsidRPr="006E631A" w14:paraId="01471136" w14:textId="77777777" w:rsidTr="006E631A">
        <w:trPr>
          <w:tblCellSpacing w:w="15" w:type="dxa"/>
        </w:trPr>
        <w:tc>
          <w:tcPr>
            <w:tcW w:w="0" w:type="auto"/>
            <w:vAlign w:val="center"/>
            <w:hideMark/>
          </w:tcPr>
          <w:p w14:paraId="1688C632" w14:textId="77777777" w:rsidR="006E631A" w:rsidRPr="006E631A" w:rsidRDefault="006E631A" w:rsidP="006E631A">
            <w:pPr>
              <w:spacing w:before="100" w:beforeAutospacing="1" w:after="100" w:afterAutospacing="1"/>
            </w:pPr>
            <w:r w:rsidRPr="006E631A">
              <w:lastRenderedPageBreak/>
              <w:t>Non‐Support (IND)</w:t>
            </w:r>
          </w:p>
        </w:tc>
        <w:tc>
          <w:tcPr>
            <w:tcW w:w="0" w:type="auto"/>
            <w:vAlign w:val="center"/>
            <w:hideMark/>
          </w:tcPr>
          <w:p w14:paraId="182818D3" w14:textId="77777777" w:rsidR="006E631A" w:rsidRPr="006E631A" w:rsidRDefault="006E631A" w:rsidP="006E631A">
            <w:pPr>
              <w:spacing w:before="100" w:beforeAutospacing="1" w:after="100" w:afterAutospacing="1"/>
            </w:pPr>
            <w:r w:rsidRPr="006E631A">
              <w:t>13.2 (38)</w:t>
            </w:r>
          </w:p>
        </w:tc>
        <w:tc>
          <w:tcPr>
            <w:tcW w:w="0" w:type="auto"/>
            <w:vAlign w:val="center"/>
            <w:hideMark/>
          </w:tcPr>
          <w:p w14:paraId="554D1405" w14:textId="77777777" w:rsidR="006E631A" w:rsidRPr="006E631A" w:rsidRDefault="006E631A" w:rsidP="006E631A">
            <w:pPr>
              <w:spacing w:before="100" w:beforeAutospacing="1" w:after="100" w:afterAutospacing="1"/>
            </w:pPr>
            <w:r w:rsidRPr="006E631A">
              <w:t>10.4 (30)</w:t>
            </w:r>
          </w:p>
        </w:tc>
        <w:tc>
          <w:tcPr>
            <w:tcW w:w="0" w:type="auto"/>
            <w:vAlign w:val="center"/>
            <w:hideMark/>
          </w:tcPr>
          <w:p w14:paraId="0905D498" w14:textId="77777777" w:rsidR="006E631A" w:rsidRPr="006E631A" w:rsidRDefault="006E631A" w:rsidP="006E631A">
            <w:pPr>
              <w:spacing w:before="100" w:beforeAutospacing="1" w:after="100" w:afterAutospacing="1"/>
            </w:pPr>
            <w:r w:rsidRPr="006E631A">
              <w:t>30.6 (88)</w:t>
            </w:r>
          </w:p>
        </w:tc>
        <w:tc>
          <w:tcPr>
            <w:tcW w:w="0" w:type="auto"/>
            <w:vAlign w:val="center"/>
            <w:hideMark/>
          </w:tcPr>
          <w:p w14:paraId="3FB9775A" w14:textId="77777777" w:rsidR="006E631A" w:rsidRPr="006E631A" w:rsidRDefault="006E631A" w:rsidP="006E631A">
            <w:pPr>
              <w:spacing w:before="100" w:beforeAutospacing="1" w:after="100" w:afterAutospacing="1"/>
            </w:pPr>
            <w:r w:rsidRPr="006E631A">
              <w:t>13.9 (40)</w:t>
            </w:r>
          </w:p>
        </w:tc>
        <w:tc>
          <w:tcPr>
            <w:tcW w:w="0" w:type="auto"/>
            <w:vAlign w:val="center"/>
            <w:hideMark/>
          </w:tcPr>
          <w:p w14:paraId="49249102" w14:textId="77777777" w:rsidR="006E631A" w:rsidRPr="006E631A" w:rsidRDefault="006E631A" w:rsidP="006E631A">
            <w:pPr>
              <w:spacing w:before="100" w:beforeAutospacing="1" w:after="100" w:afterAutospacing="1"/>
            </w:pPr>
            <w:r w:rsidRPr="006E631A">
              <w:t>31.9 (92)</w:t>
            </w:r>
          </w:p>
        </w:tc>
        <w:tc>
          <w:tcPr>
            <w:tcW w:w="0" w:type="auto"/>
            <w:vAlign w:val="center"/>
            <w:hideMark/>
          </w:tcPr>
          <w:p w14:paraId="1ADBE759" w14:textId="77777777" w:rsidR="006E631A" w:rsidRPr="006E631A" w:rsidRDefault="006E631A" w:rsidP="006E631A">
            <w:pPr>
              <w:spacing w:before="100" w:beforeAutospacing="1" w:after="100" w:afterAutospacing="1"/>
            </w:pPr>
            <w:r w:rsidRPr="006E631A">
              <w:t>288</w:t>
            </w:r>
          </w:p>
        </w:tc>
      </w:tr>
    </w:tbl>
    <w:p w14:paraId="6E110DC6" w14:textId="64D37743" w:rsidR="006E631A" w:rsidRDefault="005E1CE2" w:rsidP="006E631A">
      <w:pPr>
        <w:spacing w:before="240" w:after="240" w:line="480" w:lineRule="auto"/>
        <w:ind w:firstLine="720"/>
        <w:rPr>
          <w:rFonts w:hint="eastAsia"/>
        </w:rPr>
      </w:pPr>
      <w:r w:rsidRPr="006E631A">
        <w:drawing>
          <wp:anchor distT="0" distB="0" distL="114300" distR="114300" simplePos="0" relativeHeight="251666432" behindDoc="0" locked="0" layoutInCell="1" allowOverlap="1" wp14:anchorId="7F2D3320" wp14:editId="0D798B17">
            <wp:simplePos x="0" y="0"/>
            <wp:positionH relativeFrom="column">
              <wp:posOffset>0</wp:posOffset>
            </wp:positionH>
            <wp:positionV relativeFrom="paragraph">
              <wp:posOffset>523</wp:posOffset>
            </wp:positionV>
            <wp:extent cx="2107023" cy="1009290"/>
            <wp:effectExtent l="0" t="0" r="1270" b="0"/>
            <wp:wrapTopAndBottom/>
            <wp:docPr id="83081036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0361" name="Picture 1" descr="A screenshot of a calculato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7023" cy="1009290"/>
                    </a:xfrm>
                    <a:prstGeom prst="rect">
                      <a:avLst/>
                    </a:prstGeom>
                  </pic:spPr>
                </pic:pic>
              </a:graphicData>
            </a:graphic>
            <wp14:sizeRelH relativeFrom="page">
              <wp14:pctWidth>0</wp14:pctWidth>
            </wp14:sizeRelH>
            <wp14:sizeRelV relativeFrom="page">
              <wp14:pctHeight>0</wp14:pctHeight>
            </wp14:sizeRelV>
          </wp:anchor>
        </w:drawing>
      </w:r>
      <w:r w:rsidR="006E631A" w:rsidRPr="006E631A">
        <w:t xml:space="preserve">Finally, table 8 </w:t>
      </w:r>
      <w:r w:rsidR="006E631A">
        <w:rPr>
          <w:rFonts w:hint="eastAsia"/>
        </w:rPr>
        <w:t>visualizes</w:t>
      </w:r>
      <w:r w:rsidR="006E631A" w:rsidRPr="006E631A">
        <w:t xml:space="preserve"> the relationship between education level and support for Taiwan independence. The results suggest that higher education levels are associated with greater support for independence. Among unconditional supporters, 37.7% have attained college education or above, while only 10.1% have elementary education or below. The trend is similar for conditional supporters, with the highest proportion (46.3%) being college-educated, compared to 5.4% with elementary-level education. The non-supporters are more evenly distributed. 31.9% have a college education, and 13.2% have elementary-level education, suggesting that lower education levels correspond with greater opposition to independence. The Pearson Chi-Square test is highly significant (p &lt; .001), confirming that education level is an important factor influencing attitudes toward Taiwan independence.</w:t>
      </w:r>
    </w:p>
    <w:p w14:paraId="2FDFE007" w14:textId="267F7923" w:rsidR="00CA089F" w:rsidRPr="0032657B" w:rsidRDefault="00121045" w:rsidP="004E2B25">
      <w:pPr>
        <w:spacing w:before="240" w:after="240" w:line="480" w:lineRule="auto"/>
        <w:rPr>
          <w:i/>
          <w:iCs/>
        </w:rPr>
      </w:pPr>
      <w:r>
        <w:rPr>
          <w:rFonts w:hint="eastAsia"/>
          <w:i/>
          <w:iCs/>
        </w:rPr>
        <w:t xml:space="preserve">Multinominal </w:t>
      </w:r>
      <w:r w:rsidR="0032657B" w:rsidRPr="0032657B">
        <w:rPr>
          <w:rFonts w:hint="eastAsia"/>
          <w:i/>
          <w:iCs/>
        </w:rPr>
        <w:t>Regression</w:t>
      </w:r>
    </w:p>
    <w:p w14:paraId="3F64FDE9" w14:textId="130A3B4E" w:rsidR="00CC4565" w:rsidRPr="00CC4565" w:rsidRDefault="00CC4565" w:rsidP="00CC4565">
      <w:pPr>
        <w:spacing w:before="240" w:after="240" w:line="480" w:lineRule="auto"/>
      </w:pPr>
      <w:r w:rsidRPr="00CC4565">
        <w:t>Based on the multinomial logit regression results for preferences on independence</w:t>
      </w:r>
      <w:r>
        <w:rPr>
          <w:rFonts w:hint="eastAsia"/>
        </w:rPr>
        <w:t xml:space="preserve"> (as shown </w:t>
      </w:r>
      <w:r w:rsidR="009B712F">
        <w:rPr>
          <w:rFonts w:hint="eastAsia"/>
        </w:rPr>
        <w:t xml:space="preserve">regression table </w:t>
      </w:r>
      <w:r w:rsidRPr="00CC4565">
        <w:t>, several key findings emerge regarding the factors influencing Taiwanese public opinion.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41"/>
        <w:gridCol w:w="2967"/>
        <w:gridCol w:w="2342"/>
      </w:tblGrid>
      <w:tr w:rsidR="00F46AFE" w:rsidRPr="00E87C37" w14:paraId="27791BB7" w14:textId="77777777" w:rsidTr="00E87C37">
        <w:trPr>
          <w:tblHeader/>
          <w:tblCellSpacing w:w="15" w:type="dxa"/>
        </w:trPr>
        <w:tc>
          <w:tcPr>
            <w:tcW w:w="0" w:type="auto"/>
            <w:vAlign w:val="center"/>
            <w:hideMark/>
          </w:tcPr>
          <w:p w14:paraId="1C90051B" w14:textId="77777777" w:rsidR="00E87C37" w:rsidRPr="00E87C37" w:rsidRDefault="00E87C37" w:rsidP="00E87C37">
            <w:pPr>
              <w:spacing w:before="100" w:beforeAutospacing="1" w:after="100" w:afterAutospacing="1"/>
              <w:jc w:val="center"/>
              <w:rPr>
                <w:b/>
                <w:bCs/>
              </w:rPr>
            </w:pPr>
            <w:r w:rsidRPr="00E87C37">
              <w:rPr>
                <w:b/>
                <w:bCs/>
              </w:rPr>
              <w:t>Covariate</w:t>
            </w:r>
          </w:p>
        </w:tc>
        <w:tc>
          <w:tcPr>
            <w:tcW w:w="0" w:type="auto"/>
            <w:vAlign w:val="center"/>
            <w:hideMark/>
          </w:tcPr>
          <w:p w14:paraId="5C20A1BE" w14:textId="77777777" w:rsidR="00E87C37" w:rsidRPr="00E87C37" w:rsidRDefault="00E87C37" w:rsidP="00E87C37">
            <w:pPr>
              <w:spacing w:before="100" w:beforeAutospacing="1" w:after="100" w:afterAutospacing="1"/>
              <w:jc w:val="center"/>
              <w:rPr>
                <w:b/>
                <w:bCs/>
              </w:rPr>
            </w:pPr>
            <w:r w:rsidRPr="00E87C37">
              <w:rPr>
                <w:b/>
                <w:bCs/>
              </w:rPr>
              <w:t>Conditional Supporters (B, SE)</w:t>
            </w:r>
          </w:p>
        </w:tc>
        <w:tc>
          <w:tcPr>
            <w:tcW w:w="0" w:type="auto"/>
            <w:vAlign w:val="center"/>
            <w:hideMark/>
          </w:tcPr>
          <w:p w14:paraId="6AE9D40E" w14:textId="77777777" w:rsidR="00E87C37" w:rsidRPr="00E87C37" w:rsidRDefault="00E87C37" w:rsidP="00E87C37">
            <w:pPr>
              <w:spacing w:before="100" w:beforeAutospacing="1" w:after="100" w:afterAutospacing="1"/>
              <w:jc w:val="center"/>
              <w:rPr>
                <w:b/>
                <w:bCs/>
              </w:rPr>
            </w:pPr>
            <w:r w:rsidRPr="00E87C37">
              <w:rPr>
                <w:b/>
                <w:bCs/>
              </w:rPr>
              <w:t>Non-Supporters (B, SE)</w:t>
            </w:r>
          </w:p>
        </w:tc>
      </w:tr>
      <w:tr w:rsidR="00F46AFE" w:rsidRPr="00E87C37" w14:paraId="480C5370" w14:textId="77777777" w:rsidTr="00E87C37">
        <w:trPr>
          <w:tblCellSpacing w:w="15" w:type="dxa"/>
        </w:trPr>
        <w:tc>
          <w:tcPr>
            <w:tcW w:w="0" w:type="auto"/>
            <w:vAlign w:val="center"/>
            <w:hideMark/>
          </w:tcPr>
          <w:p w14:paraId="6C291445" w14:textId="45AAA8BD" w:rsidR="00E87C37" w:rsidRPr="00E87C37" w:rsidRDefault="00E87C37" w:rsidP="00E87C37">
            <w:pPr>
              <w:spacing w:before="100" w:beforeAutospacing="1" w:after="100" w:afterAutospacing="1"/>
              <w:rPr>
                <w:rFonts w:hint="eastAsia"/>
              </w:rPr>
            </w:pPr>
            <w:r w:rsidRPr="00E87C37">
              <w:rPr>
                <w:b/>
                <w:bCs/>
              </w:rPr>
              <w:t>National Identity</w:t>
            </w:r>
            <w:r w:rsidR="00F46AFE">
              <w:rPr>
                <w:rFonts w:hint="eastAsia"/>
                <w:b/>
                <w:bCs/>
              </w:rPr>
              <w:t xml:space="preserve"> (Ref = Both)</w:t>
            </w:r>
          </w:p>
        </w:tc>
        <w:tc>
          <w:tcPr>
            <w:tcW w:w="0" w:type="auto"/>
            <w:vAlign w:val="center"/>
            <w:hideMark/>
          </w:tcPr>
          <w:p w14:paraId="7EFB7E45" w14:textId="77777777" w:rsidR="00E87C37" w:rsidRPr="00E87C37" w:rsidRDefault="00E87C37" w:rsidP="00E87C37">
            <w:pPr>
              <w:rPr>
                <w:sz w:val="20"/>
                <w:szCs w:val="20"/>
              </w:rPr>
            </w:pPr>
          </w:p>
        </w:tc>
        <w:tc>
          <w:tcPr>
            <w:tcW w:w="0" w:type="auto"/>
            <w:vAlign w:val="center"/>
            <w:hideMark/>
          </w:tcPr>
          <w:p w14:paraId="112809CA" w14:textId="77777777" w:rsidR="00E87C37" w:rsidRPr="00E87C37" w:rsidRDefault="00E87C37" w:rsidP="00E87C37">
            <w:pPr>
              <w:rPr>
                <w:sz w:val="20"/>
                <w:szCs w:val="20"/>
              </w:rPr>
            </w:pPr>
          </w:p>
        </w:tc>
      </w:tr>
      <w:tr w:rsidR="00F46AFE" w:rsidRPr="00E87C37" w14:paraId="1DA89D95" w14:textId="77777777" w:rsidTr="00E87C37">
        <w:trPr>
          <w:tblCellSpacing w:w="15" w:type="dxa"/>
        </w:trPr>
        <w:tc>
          <w:tcPr>
            <w:tcW w:w="0" w:type="auto"/>
            <w:vAlign w:val="center"/>
            <w:hideMark/>
          </w:tcPr>
          <w:p w14:paraId="1BE9CD5A" w14:textId="7F9EDCB9" w:rsidR="00E87C37" w:rsidRPr="00E87C37" w:rsidRDefault="00E87C37" w:rsidP="00E87C37">
            <w:pPr>
              <w:spacing w:before="100" w:beforeAutospacing="1" w:after="100" w:afterAutospacing="1"/>
              <w:rPr>
                <w:rFonts w:hint="eastAsia"/>
              </w:rPr>
            </w:pPr>
            <w:r w:rsidRPr="00E87C37">
              <w:lastRenderedPageBreak/>
              <w:t>Taiwanese</w:t>
            </w:r>
          </w:p>
        </w:tc>
        <w:tc>
          <w:tcPr>
            <w:tcW w:w="0" w:type="auto"/>
            <w:vAlign w:val="center"/>
            <w:hideMark/>
          </w:tcPr>
          <w:p w14:paraId="7377AB1E" w14:textId="77777777" w:rsidR="00E87C37" w:rsidRPr="00E87C37" w:rsidRDefault="00E87C37" w:rsidP="00E87C37">
            <w:pPr>
              <w:spacing w:before="100" w:beforeAutospacing="1" w:after="100" w:afterAutospacing="1"/>
            </w:pPr>
            <w:r w:rsidRPr="00E87C37">
              <w:t>-0.699 (0.883)</w:t>
            </w:r>
          </w:p>
        </w:tc>
        <w:tc>
          <w:tcPr>
            <w:tcW w:w="0" w:type="auto"/>
            <w:vAlign w:val="center"/>
            <w:hideMark/>
          </w:tcPr>
          <w:p w14:paraId="50EC8B4B" w14:textId="77777777" w:rsidR="00E87C37" w:rsidRPr="00E87C37" w:rsidRDefault="00E87C37" w:rsidP="00E87C37">
            <w:pPr>
              <w:spacing w:before="100" w:beforeAutospacing="1" w:after="100" w:afterAutospacing="1"/>
            </w:pPr>
            <w:r w:rsidRPr="00E87C37">
              <w:t>-3.858</w:t>
            </w:r>
            <w:proofErr w:type="gramStart"/>
            <w:r w:rsidRPr="00E87C37">
              <w:t>^{</w:t>
            </w:r>
            <w:proofErr w:type="gramEnd"/>
            <w:r w:rsidRPr="00E87C37">
              <w:t>***} (0.732)</w:t>
            </w:r>
          </w:p>
        </w:tc>
      </w:tr>
      <w:tr w:rsidR="00F46AFE" w:rsidRPr="00E87C37" w14:paraId="1FEDD190" w14:textId="77777777" w:rsidTr="00E87C37">
        <w:trPr>
          <w:tblCellSpacing w:w="15" w:type="dxa"/>
        </w:trPr>
        <w:tc>
          <w:tcPr>
            <w:tcW w:w="0" w:type="auto"/>
            <w:vAlign w:val="center"/>
            <w:hideMark/>
          </w:tcPr>
          <w:p w14:paraId="68B20EBB" w14:textId="007A69C9" w:rsidR="00A01F2C" w:rsidRPr="00E87C37" w:rsidRDefault="00E87C37" w:rsidP="00E87C37">
            <w:pPr>
              <w:spacing w:before="100" w:beforeAutospacing="1" w:after="100" w:afterAutospacing="1"/>
              <w:rPr>
                <w:rFonts w:hint="eastAsia"/>
              </w:rPr>
            </w:pPr>
            <w:r w:rsidRPr="00E87C37">
              <w:t>Chinese</w:t>
            </w:r>
          </w:p>
        </w:tc>
        <w:tc>
          <w:tcPr>
            <w:tcW w:w="0" w:type="auto"/>
            <w:vAlign w:val="center"/>
            <w:hideMark/>
          </w:tcPr>
          <w:p w14:paraId="11EBFF37" w14:textId="77777777" w:rsidR="00E87C37" w:rsidRPr="00E87C37" w:rsidRDefault="00E87C37" w:rsidP="00E87C37">
            <w:pPr>
              <w:spacing w:before="100" w:beforeAutospacing="1" w:after="100" w:afterAutospacing="1"/>
            </w:pPr>
            <w:r w:rsidRPr="00E87C37">
              <w:t>0.618 (0.891)</w:t>
            </w:r>
          </w:p>
        </w:tc>
        <w:tc>
          <w:tcPr>
            <w:tcW w:w="0" w:type="auto"/>
            <w:vAlign w:val="center"/>
            <w:hideMark/>
          </w:tcPr>
          <w:p w14:paraId="25AAAE4F" w14:textId="77777777" w:rsidR="00E87C37" w:rsidRPr="00E87C37" w:rsidRDefault="00E87C37" w:rsidP="00E87C37">
            <w:pPr>
              <w:spacing w:before="100" w:beforeAutospacing="1" w:after="100" w:afterAutospacing="1"/>
            </w:pPr>
            <w:r w:rsidRPr="00E87C37">
              <w:t>-1.177 (0.736)</w:t>
            </w:r>
          </w:p>
        </w:tc>
      </w:tr>
      <w:tr w:rsidR="00F46AFE" w:rsidRPr="00E87C37" w14:paraId="2FA3878C" w14:textId="77777777" w:rsidTr="00E87C37">
        <w:trPr>
          <w:tblCellSpacing w:w="15" w:type="dxa"/>
        </w:trPr>
        <w:tc>
          <w:tcPr>
            <w:tcW w:w="0" w:type="auto"/>
            <w:vAlign w:val="center"/>
            <w:hideMark/>
          </w:tcPr>
          <w:p w14:paraId="018D3205" w14:textId="48CA8AF9" w:rsidR="00E87C37" w:rsidRPr="00E87C37" w:rsidRDefault="00E87C37" w:rsidP="00E87C37">
            <w:pPr>
              <w:spacing w:before="100" w:beforeAutospacing="1" w:after="100" w:afterAutospacing="1"/>
              <w:rPr>
                <w:rFonts w:hint="eastAsia"/>
              </w:rPr>
            </w:pPr>
            <w:r w:rsidRPr="00E87C37">
              <w:rPr>
                <w:b/>
                <w:bCs/>
              </w:rPr>
              <w:t>Generational Difference</w:t>
            </w:r>
            <w:r w:rsidR="00F46AFE">
              <w:rPr>
                <w:rFonts w:hint="eastAsia"/>
                <w:b/>
                <w:bCs/>
              </w:rPr>
              <w:t xml:space="preserve"> (Ref = 60+)</w:t>
            </w:r>
          </w:p>
        </w:tc>
        <w:tc>
          <w:tcPr>
            <w:tcW w:w="0" w:type="auto"/>
            <w:vAlign w:val="center"/>
            <w:hideMark/>
          </w:tcPr>
          <w:p w14:paraId="20C49FD8" w14:textId="77777777" w:rsidR="00E87C37" w:rsidRPr="00E87C37" w:rsidRDefault="00E87C37" w:rsidP="00E87C37">
            <w:pPr>
              <w:rPr>
                <w:sz w:val="20"/>
                <w:szCs w:val="20"/>
              </w:rPr>
            </w:pPr>
          </w:p>
        </w:tc>
        <w:tc>
          <w:tcPr>
            <w:tcW w:w="0" w:type="auto"/>
            <w:vAlign w:val="center"/>
            <w:hideMark/>
          </w:tcPr>
          <w:p w14:paraId="3234D386" w14:textId="77777777" w:rsidR="00E87C37" w:rsidRPr="00E87C37" w:rsidRDefault="00E87C37" w:rsidP="00E87C37">
            <w:pPr>
              <w:rPr>
                <w:sz w:val="20"/>
                <w:szCs w:val="20"/>
              </w:rPr>
            </w:pPr>
          </w:p>
        </w:tc>
      </w:tr>
      <w:tr w:rsidR="00F46AFE" w:rsidRPr="00E87C37" w14:paraId="6CFCFCFF" w14:textId="77777777" w:rsidTr="00E87C37">
        <w:trPr>
          <w:tblCellSpacing w:w="15" w:type="dxa"/>
        </w:trPr>
        <w:tc>
          <w:tcPr>
            <w:tcW w:w="0" w:type="auto"/>
            <w:vAlign w:val="center"/>
            <w:hideMark/>
          </w:tcPr>
          <w:p w14:paraId="2F93C91C" w14:textId="66013B63" w:rsidR="00E87C37" w:rsidRPr="00E87C37" w:rsidRDefault="00E87C37" w:rsidP="00E87C37">
            <w:pPr>
              <w:spacing w:before="100" w:beforeAutospacing="1" w:after="100" w:afterAutospacing="1"/>
            </w:pPr>
            <w:r w:rsidRPr="00E87C37">
              <w:t>20</w:t>
            </w:r>
            <w:r w:rsidR="00A01F2C">
              <w:rPr>
                <w:rFonts w:hint="eastAsia"/>
              </w:rPr>
              <w:t>-</w:t>
            </w:r>
            <w:r w:rsidRPr="00E87C37">
              <w:t>29</w:t>
            </w:r>
          </w:p>
        </w:tc>
        <w:tc>
          <w:tcPr>
            <w:tcW w:w="0" w:type="auto"/>
            <w:vAlign w:val="center"/>
            <w:hideMark/>
          </w:tcPr>
          <w:p w14:paraId="5396FEB1" w14:textId="77777777" w:rsidR="00E87C37" w:rsidRPr="00E87C37" w:rsidRDefault="00E87C37" w:rsidP="00E87C37">
            <w:pPr>
              <w:spacing w:before="100" w:beforeAutospacing="1" w:after="100" w:afterAutospacing="1"/>
            </w:pPr>
            <w:r w:rsidRPr="00E87C37">
              <w:t>0.319 (0.201)</w:t>
            </w:r>
          </w:p>
        </w:tc>
        <w:tc>
          <w:tcPr>
            <w:tcW w:w="0" w:type="auto"/>
            <w:vAlign w:val="center"/>
            <w:hideMark/>
          </w:tcPr>
          <w:p w14:paraId="62B5A161" w14:textId="77777777" w:rsidR="00E87C37" w:rsidRPr="00E87C37" w:rsidRDefault="00E87C37" w:rsidP="00E87C37">
            <w:pPr>
              <w:spacing w:before="100" w:beforeAutospacing="1" w:after="100" w:afterAutospacing="1"/>
            </w:pPr>
            <w:r w:rsidRPr="00E87C37">
              <w:t>-1.655</w:t>
            </w:r>
            <w:proofErr w:type="gramStart"/>
            <w:r w:rsidRPr="00E87C37">
              <w:t>^{</w:t>
            </w:r>
            <w:proofErr w:type="gramEnd"/>
            <w:r w:rsidRPr="00E87C37">
              <w:t>***} (0.310)</w:t>
            </w:r>
          </w:p>
        </w:tc>
      </w:tr>
      <w:tr w:rsidR="00F46AFE" w:rsidRPr="00E87C37" w14:paraId="43F40775" w14:textId="77777777" w:rsidTr="00E87C37">
        <w:trPr>
          <w:tblCellSpacing w:w="15" w:type="dxa"/>
        </w:trPr>
        <w:tc>
          <w:tcPr>
            <w:tcW w:w="0" w:type="auto"/>
            <w:vAlign w:val="center"/>
            <w:hideMark/>
          </w:tcPr>
          <w:p w14:paraId="4082BF05" w14:textId="16B19FE1" w:rsidR="00E87C37" w:rsidRPr="00E87C37" w:rsidRDefault="00E87C37" w:rsidP="00E87C37">
            <w:pPr>
              <w:spacing w:before="100" w:beforeAutospacing="1" w:after="100" w:afterAutospacing="1"/>
            </w:pPr>
            <w:r w:rsidRPr="00E87C37">
              <w:t>30</w:t>
            </w:r>
            <w:r w:rsidR="00A01F2C">
              <w:rPr>
                <w:rFonts w:hint="eastAsia"/>
              </w:rPr>
              <w:t>-</w:t>
            </w:r>
            <w:r w:rsidRPr="00E87C37">
              <w:t>39</w:t>
            </w:r>
          </w:p>
        </w:tc>
        <w:tc>
          <w:tcPr>
            <w:tcW w:w="0" w:type="auto"/>
            <w:vAlign w:val="center"/>
            <w:hideMark/>
          </w:tcPr>
          <w:p w14:paraId="72E6EA5F" w14:textId="77777777" w:rsidR="00E87C37" w:rsidRPr="00E87C37" w:rsidRDefault="00E87C37" w:rsidP="00E87C37">
            <w:pPr>
              <w:spacing w:before="100" w:beforeAutospacing="1" w:after="100" w:afterAutospacing="1"/>
            </w:pPr>
            <w:r w:rsidRPr="00E87C37">
              <w:t>0.254 (0.200)</w:t>
            </w:r>
          </w:p>
        </w:tc>
        <w:tc>
          <w:tcPr>
            <w:tcW w:w="0" w:type="auto"/>
            <w:vAlign w:val="center"/>
            <w:hideMark/>
          </w:tcPr>
          <w:p w14:paraId="1FBA2A43" w14:textId="77777777" w:rsidR="00E87C37" w:rsidRPr="00E87C37" w:rsidRDefault="00E87C37" w:rsidP="00E87C37">
            <w:pPr>
              <w:spacing w:before="100" w:beforeAutospacing="1" w:after="100" w:afterAutospacing="1"/>
            </w:pPr>
            <w:r w:rsidRPr="00E87C37">
              <w:t>-0.918</w:t>
            </w:r>
            <w:proofErr w:type="gramStart"/>
            <w:r w:rsidRPr="00E87C37">
              <w:t>^{</w:t>
            </w:r>
            <w:proofErr w:type="gramEnd"/>
            <w:r w:rsidRPr="00E87C37">
              <w:t>***} (0.244)</w:t>
            </w:r>
          </w:p>
        </w:tc>
      </w:tr>
      <w:tr w:rsidR="00F46AFE" w:rsidRPr="00E87C37" w14:paraId="652B0EF6" w14:textId="77777777" w:rsidTr="00E87C37">
        <w:trPr>
          <w:tblCellSpacing w:w="15" w:type="dxa"/>
        </w:trPr>
        <w:tc>
          <w:tcPr>
            <w:tcW w:w="0" w:type="auto"/>
            <w:vAlign w:val="center"/>
            <w:hideMark/>
          </w:tcPr>
          <w:p w14:paraId="03CEF969" w14:textId="74C3991B" w:rsidR="00E87C37" w:rsidRPr="00E87C37" w:rsidRDefault="00E87C37" w:rsidP="00E87C37">
            <w:pPr>
              <w:spacing w:before="100" w:beforeAutospacing="1" w:after="100" w:afterAutospacing="1"/>
            </w:pPr>
            <w:r w:rsidRPr="00E87C37">
              <w:t>40</w:t>
            </w:r>
            <w:r w:rsidR="00A01F2C">
              <w:rPr>
                <w:rFonts w:hint="eastAsia"/>
              </w:rPr>
              <w:t>-</w:t>
            </w:r>
            <w:r w:rsidRPr="00E87C37">
              <w:t>49</w:t>
            </w:r>
          </w:p>
        </w:tc>
        <w:tc>
          <w:tcPr>
            <w:tcW w:w="0" w:type="auto"/>
            <w:vAlign w:val="center"/>
            <w:hideMark/>
          </w:tcPr>
          <w:p w14:paraId="3642E5D2" w14:textId="77777777" w:rsidR="00E87C37" w:rsidRPr="00E87C37" w:rsidRDefault="00E87C37" w:rsidP="00E87C37">
            <w:pPr>
              <w:spacing w:before="100" w:beforeAutospacing="1" w:after="100" w:afterAutospacing="1"/>
            </w:pPr>
            <w:r w:rsidRPr="00E87C37">
              <w:t>0.083 (0.195)</w:t>
            </w:r>
          </w:p>
        </w:tc>
        <w:tc>
          <w:tcPr>
            <w:tcW w:w="0" w:type="auto"/>
            <w:vAlign w:val="center"/>
            <w:hideMark/>
          </w:tcPr>
          <w:p w14:paraId="3F77775D" w14:textId="77777777" w:rsidR="00E87C37" w:rsidRPr="00E87C37" w:rsidRDefault="00E87C37" w:rsidP="00E87C37">
            <w:pPr>
              <w:spacing w:before="100" w:beforeAutospacing="1" w:after="100" w:afterAutospacing="1"/>
            </w:pPr>
            <w:r w:rsidRPr="00E87C37">
              <w:t>-0.705</w:t>
            </w:r>
            <w:proofErr w:type="gramStart"/>
            <w:r w:rsidRPr="00E87C37">
              <w:t>^{</w:t>
            </w:r>
            <w:proofErr w:type="gramEnd"/>
            <w:r w:rsidRPr="00E87C37">
              <w:t>**} (0.219)</w:t>
            </w:r>
          </w:p>
        </w:tc>
      </w:tr>
      <w:tr w:rsidR="00F46AFE" w:rsidRPr="00E87C37" w14:paraId="7E038E3E" w14:textId="77777777" w:rsidTr="00E87C37">
        <w:trPr>
          <w:tblCellSpacing w:w="15" w:type="dxa"/>
        </w:trPr>
        <w:tc>
          <w:tcPr>
            <w:tcW w:w="0" w:type="auto"/>
            <w:vAlign w:val="center"/>
            <w:hideMark/>
          </w:tcPr>
          <w:p w14:paraId="3FE9EDF3" w14:textId="06BB7BDA" w:rsidR="00E87C37" w:rsidRPr="00E87C37" w:rsidRDefault="00E87C37" w:rsidP="00E87C37">
            <w:pPr>
              <w:spacing w:before="100" w:beforeAutospacing="1" w:after="100" w:afterAutospacing="1"/>
            </w:pPr>
            <w:r w:rsidRPr="00E87C37">
              <w:t>50</w:t>
            </w:r>
            <w:r w:rsidR="00A01F2C">
              <w:rPr>
                <w:rFonts w:hint="eastAsia"/>
              </w:rPr>
              <w:t>-</w:t>
            </w:r>
            <w:r w:rsidRPr="00E87C37">
              <w:t>59</w:t>
            </w:r>
          </w:p>
        </w:tc>
        <w:tc>
          <w:tcPr>
            <w:tcW w:w="0" w:type="auto"/>
            <w:vAlign w:val="center"/>
            <w:hideMark/>
          </w:tcPr>
          <w:p w14:paraId="0C5A636A" w14:textId="77777777" w:rsidR="00E87C37" w:rsidRPr="00E87C37" w:rsidRDefault="00E87C37" w:rsidP="00E87C37">
            <w:pPr>
              <w:spacing w:before="100" w:beforeAutospacing="1" w:after="100" w:afterAutospacing="1"/>
            </w:pPr>
            <w:r w:rsidRPr="00E87C37">
              <w:t>-0.068 (0.206)</w:t>
            </w:r>
          </w:p>
        </w:tc>
        <w:tc>
          <w:tcPr>
            <w:tcW w:w="0" w:type="auto"/>
            <w:vAlign w:val="center"/>
            <w:hideMark/>
          </w:tcPr>
          <w:p w14:paraId="02A48EB6" w14:textId="77777777" w:rsidR="00E87C37" w:rsidRPr="00E87C37" w:rsidRDefault="00E87C37" w:rsidP="00E87C37">
            <w:pPr>
              <w:spacing w:before="100" w:beforeAutospacing="1" w:after="100" w:afterAutospacing="1"/>
            </w:pPr>
            <w:r w:rsidRPr="00E87C37">
              <w:t>-0.205 (0.208)</w:t>
            </w:r>
          </w:p>
        </w:tc>
      </w:tr>
      <w:tr w:rsidR="00F46AFE" w:rsidRPr="00E87C37" w14:paraId="47DE1FB1" w14:textId="77777777" w:rsidTr="00E87C37">
        <w:trPr>
          <w:tblCellSpacing w:w="15" w:type="dxa"/>
        </w:trPr>
        <w:tc>
          <w:tcPr>
            <w:tcW w:w="0" w:type="auto"/>
            <w:vAlign w:val="center"/>
            <w:hideMark/>
          </w:tcPr>
          <w:p w14:paraId="6974CE38" w14:textId="09F3602C" w:rsidR="00E87C37" w:rsidRPr="00E87C37" w:rsidRDefault="00E87C37" w:rsidP="00E87C37">
            <w:pPr>
              <w:spacing w:before="100" w:beforeAutospacing="1" w:after="100" w:afterAutospacing="1"/>
              <w:rPr>
                <w:rFonts w:hint="eastAsia"/>
              </w:rPr>
            </w:pPr>
            <w:r w:rsidRPr="00E87C37">
              <w:rPr>
                <w:b/>
                <w:bCs/>
              </w:rPr>
              <w:t>China Threat</w:t>
            </w:r>
            <w:r w:rsidR="00F46AFE">
              <w:rPr>
                <w:rFonts w:hint="eastAsia"/>
                <w:b/>
                <w:bCs/>
              </w:rPr>
              <w:t xml:space="preserve"> (Ref = Yes)</w:t>
            </w:r>
          </w:p>
        </w:tc>
        <w:tc>
          <w:tcPr>
            <w:tcW w:w="0" w:type="auto"/>
            <w:vAlign w:val="center"/>
            <w:hideMark/>
          </w:tcPr>
          <w:p w14:paraId="4118281D" w14:textId="7DCC79B5" w:rsidR="00E87C37" w:rsidRPr="00E87C37" w:rsidRDefault="00A01F2C" w:rsidP="00E87C37">
            <w:pPr>
              <w:rPr>
                <w:sz w:val="20"/>
                <w:szCs w:val="20"/>
              </w:rPr>
            </w:pPr>
            <w:r w:rsidRPr="00E87C37">
              <w:t>-1.866</w:t>
            </w:r>
            <w:proofErr w:type="gramStart"/>
            <w:r w:rsidRPr="00E87C37">
              <w:t>^{</w:t>
            </w:r>
            <w:proofErr w:type="gramEnd"/>
            <w:r w:rsidRPr="00E87C37">
              <w:t>***} (0.153)</w:t>
            </w:r>
          </w:p>
        </w:tc>
        <w:tc>
          <w:tcPr>
            <w:tcW w:w="0" w:type="auto"/>
            <w:vAlign w:val="center"/>
            <w:hideMark/>
          </w:tcPr>
          <w:p w14:paraId="56C7BE58" w14:textId="52DD8846" w:rsidR="00E87C37" w:rsidRPr="00E87C37" w:rsidRDefault="00A01F2C" w:rsidP="00E87C37">
            <w:pPr>
              <w:rPr>
                <w:sz w:val="20"/>
                <w:szCs w:val="20"/>
              </w:rPr>
            </w:pPr>
            <w:r w:rsidRPr="00E87C37">
              <w:t>-2.531</w:t>
            </w:r>
            <w:proofErr w:type="gramStart"/>
            <w:r w:rsidRPr="00E87C37">
              <w:t>^{</w:t>
            </w:r>
            <w:proofErr w:type="gramEnd"/>
            <w:r w:rsidRPr="00E87C37">
              <w:t>***} (0.221)</w:t>
            </w:r>
          </w:p>
        </w:tc>
      </w:tr>
      <w:tr w:rsidR="00F46AFE" w:rsidRPr="00E87C37" w14:paraId="3AEEAAC0" w14:textId="77777777" w:rsidTr="00E87C37">
        <w:trPr>
          <w:tblCellSpacing w:w="15" w:type="dxa"/>
        </w:trPr>
        <w:tc>
          <w:tcPr>
            <w:tcW w:w="0" w:type="auto"/>
            <w:vAlign w:val="center"/>
            <w:hideMark/>
          </w:tcPr>
          <w:p w14:paraId="3BEE03CF" w14:textId="6E6EB70F" w:rsidR="00A01F2C" w:rsidRPr="00E87C37" w:rsidRDefault="00A01F2C" w:rsidP="00A01F2C">
            <w:pPr>
              <w:spacing w:before="100" w:beforeAutospacing="1" w:after="100" w:afterAutospacing="1"/>
              <w:rPr>
                <w:rFonts w:hint="eastAsia"/>
              </w:rPr>
            </w:pPr>
            <w:r w:rsidRPr="00E87C37">
              <w:rPr>
                <w:b/>
                <w:bCs/>
              </w:rPr>
              <w:t xml:space="preserve">Economic </w:t>
            </w:r>
            <w:r w:rsidR="00F46AFE">
              <w:rPr>
                <w:b/>
                <w:bCs/>
              </w:rPr>
              <w:t>Interde</w:t>
            </w:r>
            <w:r w:rsidR="00F46AFE">
              <w:rPr>
                <w:rFonts w:hint="eastAsia"/>
                <w:b/>
                <w:bCs/>
              </w:rPr>
              <w:t>penden</w:t>
            </w:r>
            <w:r w:rsidR="00F46AFE">
              <w:rPr>
                <w:b/>
                <w:bCs/>
              </w:rPr>
              <w:t>ce</w:t>
            </w:r>
            <w:r w:rsidR="00F46AFE">
              <w:rPr>
                <w:rFonts w:hint="eastAsia"/>
                <w:b/>
                <w:bCs/>
              </w:rPr>
              <w:t xml:space="preserve"> (Ref = Decline)</w:t>
            </w:r>
          </w:p>
        </w:tc>
        <w:tc>
          <w:tcPr>
            <w:tcW w:w="0" w:type="auto"/>
            <w:vAlign w:val="center"/>
            <w:hideMark/>
          </w:tcPr>
          <w:p w14:paraId="3514E435" w14:textId="2C1DC7A9" w:rsidR="00A01F2C" w:rsidRPr="00E87C37" w:rsidRDefault="00A01F2C" w:rsidP="00A01F2C">
            <w:pPr>
              <w:rPr>
                <w:sz w:val="20"/>
                <w:szCs w:val="20"/>
              </w:rPr>
            </w:pPr>
            <w:r w:rsidRPr="00E87C37">
              <w:t>1.388</w:t>
            </w:r>
            <w:proofErr w:type="gramStart"/>
            <w:r w:rsidRPr="00E87C37">
              <w:t>^{</w:t>
            </w:r>
            <w:proofErr w:type="gramEnd"/>
            <w:r w:rsidRPr="00E87C37">
              <w:t>***} (0.147)</w:t>
            </w:r>
          </w:p>
        </w:tc>
        <w:tc>
          <w:tcPr>
            <w:tcW w:w="0" w:type="auto"/>
            <w:vAlign w:val="center"/>
            <w:hideMark/>
          </w:tcPr>
          <w:p w14:paraId="7D838E15" w14:textId="0D816AFA" w:rsidR="00A01F2C" w:rsidRPr="00E87C37" w:rsidRDefault="00A01F2C" w:rsidP="00A01F2C">
            <w:pPr>
              <w:rPr>
                <w:sz w:val="20"/>
                <w:szCs w:val="20"/>
              </w:rPr>
            </w:pPr>
            <w:r w:rsidRPr="00E87C37">
              <w:t>2.858</w:t>
            </w:r>
            <w:proofErr w:type="gramStart"/>
            <w:r w:rsidRPr="00E87C37">
              <w:t>^{</w:t>
            </w:r>
            <w:proofErr w:type="gramEnd"/>
            <w:r w:rsidRPr="00E87C37">
              <w:t>***} (0.226)</w:t>
            </w:r>
          </w:p>
        </w:tc>
      </w:tr>
      <w:tr w:rsidR="00F46AFE" w:rsidRPr="00E87C37" w14:paraId="23AB77C5" w14:textId="77777777" w:rsidTr="00E87C37">
        <w:trPr>
          <w:tblCellSpacing w:w="15" w:type="dxa"/>
        </w:trPr>
        <w:tc>
          <w:tcPr>
            <w:tcW w:w="0" w:type="auto"/>
            <w:vAlign w:val="center"/>
            <w:hideMark/>
          </w:tcPr>
          <w:p w14:paraId="09A665C5" w14:textId="5C89375F" w:rsidR="00A01F2C" w:rsidRPr="00E87C37" w:rsidRDefault="00A01F2C" w:rsidP="00A01F2C">
            <w:pPr>
              <w:spacing w:before="100" w:beforeAutospacing="1" w:after="100" w:afterAutospacing="1"/>
              <w:rPr>
                <w:rFonts w:hint="eastAsia"/>
              </w:rPr>
            </w:pPr>
            <w:r w:rsidRPr="00E87C37">
              <w:rPr>
                <w:b/>
                <w:bCs/>
              </w:rPr>
              <w:t>Party Identificatio</w:t>
            </w:r>
            <w:r>
              <w:rPr>
                <w:rFonts w:hint="eastAsia"/>
                <w:b/>
                <w:bCs/>
              </w:rPr>
              <w:t>n</w:t>
            </w:r>
            <w:r w:rsidR="00F46AFE">
              <w:rPr>
                <w:rFonts w:hint="eastAsia"/>
                <w:b/>
                <w:bCs/>
              </w:rPr>
              <w:t xml:space="preserve"> (Refer = TPP)</w:t>
            </w:r>
          </w:p>
        </w:tc>
        <w:tc>
          <w:tcPr>
            <w:tcW w:w="0" w:type="auto"/>
            <w:vAlign w:val="center"/>
            <w:hideMark/>
          </w:tcPr>
          <w:p w14:paraId="4F9AF9A0" w14:textId="77777777" w:rsidR="00A01F2C" w:rsidRPr="00E87C37" w:rsidRDefault="00A01F2C" w:rsidP="00A01F2C">
            <w:pPr>
              <w:rPr>
                <w:sz w:val="20"/>
                <w:szCs w:val="20"/>
              </w:rPr>
            </w:pPr>
          </w:p>
        </w:tc>
        <w:tc>
          <w:tcPr>
            <w:tcW w:w="0" w:type="auto"/>
            <w:vAlign w:val="center"/>
            <w:hideMark/>
          </w:tcPr>
          <w:p w14:paraId="07675EC6" w14:textId="77777777" w:rsidR="00A01F2C" w:rsidRPr="00E87C37" w:rsidRDefault="00A01F2C" w:rsidP="00A01F2C">
            <w:pPr>
              <w:rPr>
                <w:sz w:val="20"/>
                <w:szCs w:val="20"/>
              </w:rPr>
            </w:pPr>
          </w:p>
        </w:tc>
      </w:tr>
      <w:tr w:rsidR="00F46AFE" w:rsidRPr="00E87C37" w14:paraId="2CAFF373" w14:textId="77777777" w:rsidTr="00E87C37">
        <w:trPr>
          <w:tblCellSpacing w:w="15" w:type="dxa"/>
        </w:trPr>
        <w:tc>
          <w:tcPr>
            <w:tcW w:w="0" w:type="auto"/>
            <w:vAlign w:val="center"/>
            <w:hideMark/>
          </w:tcPr>
          <w:p w14:paraId="041E8FFF" w14:textId="2359FEDF" w:rsidR="00A01F2C" w:rsidRPr="00E87C37" w:rsidRDefault="00A01F2C" w:rsidP="00A01F2C">
            <w:pPr>
              <w:spacing w:before="100" w:beforeAutospacing="1" w:after="100" w:afterAutospacing="1"/>
              <w:rPr>
                <w:rFonts w:hint="eastAsia"/>
              </w:rPr>
            </w:pPr>
            <w:r w:rsidRPr="00E87C37">
              <w:t>KMT</w:t>
            </w:r>
          </w:p>
        </w:tc>
        <w:tc>
          <w:tcPr>
            <w:tcW w:w="0" w:type="auto"/>
            <w:vAlign w:val="center"/>
            <w:hideMark/>
          </w:tcPr>
          <w:p w14:paraId="2386CB6E" w14:textId="77777777" w:rsidR="00A01F2C" w:rsidRPr="00E87C37" w:rsidRDefault="00A01F2C" w:rsidP="00A01F2C">
            <w:pPr>
              <w:spacing w:before="100" w:beforeAutospacing="1" w:after="100" w:afterAutospacing="1"/>
            </w:pPr>
            <w:r w:rsidRPr="00E87C37">
              <w:t>-0.055 (0.307)</w:t>
            </w:r>
          </w:p>
        </w:tc>
        <w:tc>
          <w:tcPr>
            <w:tcW w:w="0" w:type="auto"/>
            <w:vAlign w:val="center"/>
            <w:hideMark/>
          </w:tcPr>
          <w:p w14:paraId="053711BB" w14:textId="77777777" w:rsidR="00A01F2C" w:rsidRPr="00E87C37" w:rsidRDefault="00A01F2C" w:rsidP="00A01F2C">
            <w:pPr>
              <w:spacing w:before="100" w:beforeAutospacing="1" w:after="100" w:afterAutospacing="1"/>
            </w:pPr>
            <w:r w:rsidRPr="00E87C37">
              <w:t>1.128</w:t>
            </w:r>
            <w:proofErr w:type="gramStart"/>
            <w:r w:rsidRPr="00E87C37">
              <w:t>^{</w:t>
            </w:r>
            <w:proofErr w:type="gramEnd"/>
            <w:r w:rsidRPr="00E87C37">
              <w:t>***} (0.334)</w:t>
            </w:r>
          </w:p>
        </w:tc>
      </w:tr>
      <w:tr w:rsidR="00F46AFE" w:rsidRPr="00E87C37" w14:paraId="3C98EB7F" w14:textId="77777777" w:rsidTr="00E87C37">
        <w:trPr>
          <w:tblCellSpacing w:w="15" w:type="dxa"/>
        </w:trPr>
        <w:tc>
          <w:tcPr>
            <w:tcW w:w="0" w:type="auto"/>
            <w:vAlign w:val="center"/>
            <w:hideMark/>
          </w:tcPr>
          <w:p w14:paraId="751B4550" w14:textId="2EE83820" w:rsidR="00A01F2C" w:rsidRPr="00E87C37" w:rsidRDefault="00A01F2C" w:rsidP="00A01F2C">
            <w:pPr>
              <w:spacing w:before="100" w:beforeAutospacing="1" w:after="100" w:afterAutospacing="1"/>
              <w:rPr>
                <w:rFonts w:hint="eastAsia"/>
              </w:rPr>
            </w:pPr>
            <w:r w:rsidRPr="00E87C37">
              <w:t>DPP</w:t>
            </w:r>
          </w:p>
        </w:tc>
        <w:tc>
          <w:tcPr>
            <w:tcW w:w="0" w:type="auto"/>
            <w:vAlign w:val="center"/>
            <w:hideMark/>
          </w:tcPr>
          <w:p w14:paraId="323EF34B" w14:textId="77777777" w:rsidR="00A01F2C" w:rsidRPr="00E87C37" w:rsidRDefault="00A01F2C" w:rsidP="00A01F2C">
            <w:pPr>
              <w:spacing w:before="100" w:beforeAutospacing="1" w:after="100" w:afterAutospacing="1"/>
            </w:pPr>
            <w:r w:rsidRPr="00E87C37">
              <w:t>-2.095</w:t>
            </w:r>
            <w:proofErr w:type="gramStart"/>
            <w:r w:rsidRPr="00E87C37">
              <w:t>^{</w:t>
            </w:r>
            <w:proofErr w:type="gramEnd"/>
            <w:r w:rsidRPr="00E87C37">
              <w:t>***} (0.261)</w:t>
            </w:r>
          </w:p>
        </w:tc>
        <w:tc>
          <w:tcPr>
            <w:tcW w:w="0" w:type="auto"/>
            <w:vAlign w:val="center"/>
            <w:hideMark/>
          </w:tcPr>
          <w:p w14:paraId="34084702" w14:textId="77777777" w:rsidR="00A01F2C" w:rsidRPr="00E87C37" w:rsidRDefault="00A01F2C" w:rsidP="00A01F2C">
            <w:pPr>
              <w:spacing w:before="100" w:beforeAutospacing="1" w:after="100" w:afterAutospacing="1"/>
            </w:pPr>
            <w:r w:rsidRPr="00E87C37">
              <w:t>-3.317</w:t>
            </w:r>
            <w:proofErr w:type="gramStart"/>
            <w:r w:rsidRPr="00E87C37">
              <w:t>^{</w:t>
            </w:r>
            <w:proofErr w:type="gramEnd"/>
            <w:r w:rsidRPr="00E87C37">
              <w:t>***} (0.391)</w:t>
            </w:r>
          </w:p>
        </w:tc>
      </w:tr>
      <w:tr w:rsidR="00F46AFE" w:rsidRPr="00E87C37" w14:paraId="1C1EB831" w14:textId="77777777" w:rsidTr="00E87C37">
        <w:trPr>
          <w:tblCellSpacing w:w="15" w:type="dxa"/>
        </w:trPr>
        <w:tc>
          <w:tcPr>
            <w:tcW w:w="0" w:type="auto"/>
            <w:vAlign w:val="center"/>
            <w:hideMark/>
          </w:tcPr>
          <w:p w14:paraId="518F43D3" w14:textId="6CB042C6" w:rsidR="00A01F2C" w:rsidRPr="00E87C37" w:rsidRDefault="00A01F2C" w:rsidP="00A01F2C">
            <w:pPr>
              <w:spacing w:before="100" w:beforeAutospacing="1" w:after="100" w:afterAutospacing="1"/>
              <w:rPr>
                <w:rFonts w:hint="eastAsia"/>
              </w:rPr>
            </w:pPr>
            <w:r w:rsidRPr="00E87C37">
              <w:rPr>
                <w:b/>
                <w:bCs/>
              </w:rPr>
              <w:t>U.S. Commitment</w:t>
            </w:r>
            <w:r w:rsidR="00F46AFE">
              <w:rPr>
                <w:rFonts w:hint="eastAsia"/>
                <w:b/>
                <w:bCs/>
              </w:rPr>
              <w:t xml:space="preserve"> (Refer = Neutral)</w:t>
            </w:r>
          </w:p>
        </w:tc>
        <w:tc>
          <w:tcPr>
            <w:tcW w:w="0" w:type="auto"/>
            <w:vAlign w:val="center"/>
            <w:hideMark/>
          </w:tcPr>
          <w:p w14:paraId="0029C395" w14:textId="71A75327" w:rsidR="00A01F2C" w:rsidRPr="00E87C37" w:rsidRDefault="00A01F2C" w:rsidP="00A01F2C">
            <w:pPr>
              <w:rPr>
                <w:sz w:val="20"/>
                <w:szCs w:val="20"/>
              </w:rPr>
            </w:pPr>
            <w:r w:rsidRPr="00E87C37">
              <w:t>-0.197 (0.161)</w:t>
            </w:r>
          </w:p>
        </w:tc>
        <w:tc>
          <w:tcPr>
            <w:tcW w:w="0" w:type="auto"/>
            <w:vAlign w:val="center"/>
            <w:hideMark/>
          </w:tcPr>
          <w:p w14:paraId="5D40DB02" w14:textId="03D5FAFC" w:rsidR="00A01F2C" w:rsidRPr="00E87C37" w:rsidRDefault="00A01F2C" w:rsidP="00A01F2C">
            <w:pPr>
              <w:rPr>
                <w:sz w:val="20"/>
                <w:szCs w:val="20"/>
              </w:rPr>
            </w:pPr>
            <w:r w:rsidRPr="00E87C37">
              <w:t>-1.100</w:t>
            </w:r>
            <w:proofErr w:type="gramStart"/>
            <w:r w:rsidRPr="00E87C37">
              <w:t>^{</w:t>
            </w:r>
            <w:proofErr w:type="gramEnd"/>
            <w:r w:rsidRPr="00E87C37">
              <w:t>***} (0.174)</w:t>
            </w:r>
          </w:p>
        </w:tc>
      </w:tr>
      <w:tr w:rsidR="00F46AFE" w:rsidRPr="00E87C37" w14:paraId="5F589059" w14:textId="77777777" w:rsidTr="00E87C37">
        <w:trPr>
          <w:tblCellSpacing w:w="15" w:type="dxa"/>
        </w:trPr>
        <w:tc>
          <w:tcPr>
            <w:tcW w:w="0" w:type="auto"/>
            <w:vAlign w:val="center"/>
            <w:hideMark/>
          </w:tcPr>
          <w:p w14:paraId="0B4E14C4" w14:textId="65B0AC37" w:rsidR="00A01F2C" w:rsidRPr="00E87C37" w:rsidRDefault="00A01F2C" w:rsidP="00A01F2C">
            <w:pPr>
              <w:spacing w:before="100" w:beforeAutospacing="1" w:after="100" w:afterAutospacing="1"/>
              <w:rPr>
                <w:rFonts w:hint="eastAsia"/>
              </w:rPr>
            </w:pPr>
            <w:r w:rsidRPr="00E87C37">
              <w:rPr>
                <w:b/>
                <w:bCs/>
              </w:rPr>
              <w:t>Ethnic Groups</w:t>
            </w:r>
            <w:r w:rsidR="00F46AFE">
              <w:rPr>
                <w:rFonts w:hint="eastAsia"/>
                <w:b/>
                <w:bCs/>
              </w:rPr>
              <w:t xml:space="preserve"> (Refer = Aboriginals)</w:t>
            </w:r>
          </w:p>
        </w:tc>
        <w:tc>
          <w:tcPr>
            <w:tcW w:w="0" w:type="auto"/>
            <w:vAlign w:val="center"/>
            <w:hideMark/>
          </w:tcPr>
          <w:p w14:paraId="4D7F509C" w14:textId="77777777" w:rsidR="00A01F2C" w:rsidRPr="00E87C37" w:rsidRDefault="00A01F2C" w:rsidP="00A01F2C">
            <w:pPr>
              <w:rPr>
                <w:sz w:val="20"/>
                <w:szCs w:val="20"/>
              </w:rPr>
            </w:pPr>
          </w:p>
        </w:tc>
        <w:tc>
          <w:tcPr>
            <w:tcW w:w="0" w:type="auto"/>
            <w:vAlign w:val="center"/>
            <w:hideMark/>
          </w:tcPr>
          <w:p w14:paraId="28444D5C" w14:textId="77777777" w:rsidR="00A01F2C" w:rsidRPr="00E87C37" w:rsidRDefault="00A01F2C" w:rsidP="00A01F2C">
            <w:pPr>
              <w:rPr>
                <w:sz w:val="20"/>
                <w:szCs w:val="20"/>
              </w:rPr>
            </w:pPr>
          </w:p>
        </w:tc>
      </w:tr>
      <w:tr w:rsidR="00F46AFE" w:rsidRPr="00E87C37" w14:paraId="728512B9" w14:textId="77777777" w:rsidTr="00E87C37">
        <w:trPr>
          <w:tblCellSpacing w:w="15" w:type="dxa"/>
        </w:trPr>
        <w:tc>
          <w:tcPr>
            <w:tcW w:w="0" w:type="auto"/>
            <w:vAlign w:val="center"/>
            <w:hideMark/>
          </w:tcPr>
          <w:p w14:paraId="63A67C93" w14:textId="67971FF2" w:rsidR="00A01F2C" w:rsidRPr="00E87C37" w:rsidRDefault="00A01F2C" w:rsidP="00A01F2C">
            <w:pPr>
              <w:spacing w:before="100" w:beforeAutospacing="1" w:after="100" w:afterAutospacing="1"/>
              <w:rPr>
                <w:rFonts w:hint="eastAsia"/>
              </w:rPr>
            </w:pPr>
            <w:r w:rsidRPr="00E87C37">
              <w:t>Hakka</w:t>
            </w:r>
          </w:p>
        </w:tc>
        <w:tc>
          <w:tcPr>
            <w:tcW w:w="0" w:type="auto"/>
            <w:vAlign w:val="center"/>
            <w:hideMark/>
          </w:tcPr>
          <w:p w14:paraId="0505EFDE" w14:textId="77777777" w:rsidR="00A01F2C" w:rsidRPr="00E87C37" w:rsidRDefault="00A01F2C" w:rsidP="00A01F2C">
            <w:pPr>
              <w:spacing w:before="100" w:beforeAutospacing="1" w:after="100" w:afterAutospacing="1"/>
            </w:pPr>
            <w:r w:rsidRPr="00E87C37">
              <w:t>3.717</w:t>
            </w:r>
            <w:proofErr w:type="gramStart"/>
            <w:r w:rsidRPr="00E87C37">
              <w:t>^{</w:t>
            </w:r>
            <w:proofErr w:type="gramEnd"/>
            <w:r w:rsidRPr="00E87C37">
              <w:t>**} (1.430)</w:t>
            </w:r>
          </w:p>
        </w:tc>
        <w:tc>
          <w:tcPr>
            <w:tcW w:w="0" w:type="auto"/>
            <w:vAlign w:val="center"/>
            <w:hideMark/>
          </w:tcPr>
          <w:p w14:paraId="4FCFD0AB" w14:textId="77777777" w:rsidR="00A01F2C" w:rsidRPr="00E87C37" w:rsidRDefault="00A01F2C" w:rsidP="00A01F2C">
            <w:pPr>
              <w:spacing w:before="100" w:beforeAutospacing="1" w:after="100" w:afterAutospacing="1"/>
            </w:pPr>
            <w:r w:rsidRPr="00E87C37">
              <w:t>1.156 (0.599)</w:t>
            </w:r>
          </w:p>
        </w:tc>
      </w:tr>
      <w:tr w:rsidR="00F46AFE" w:rsidRPr="00E87C37" w14:paraId="657F2277" w14:textId="77777777" w:rsidTr="00E87C37">
        <w:trPr>
          <w:tblCellSpacing w:w="15" w:type="dxa"/>
        </w:trPr>
        <w:tc>
          <w:tcPr>
            <w:tcW w:w="0" w:type="auto"/>
            <w:vAlign w:val="center"/>
            <w:hideMark/>
          </w:tcPr>
          <w:p w14:paraId="762C44E8" w14:textId="1AECE516" w:rsidR="00A01F2C" w:rsidRPr="00E87C37" w:rsidRDefault="00A01F2C" w:rsidP="00A01F2C">
            <w:pPr>
              <w:spacing w:before="100" w:beforeAutospacing="1" w:after="100" w:afterAutospacing="1"/>
              <w:rPr>
                <w:rFonts w:hint="eastAsia"/>
              </w:rPr>
            </w:pPr>
            <w:proofErr w:type="spellStart"/>
            <w:r w:rsidRPr="00E87C37">
              <w:t>Minnan</w:t>
            </w:r>
            <w:proofErr w:type="spellEnd"/>
          </w:p>
        </w:tc>
        <w:tc>
          <w:tcPr>
            <w:tcW w:w="0" w:type="auto"/>
            <w:vAlign w:val="center"/>
            <w:hideMark/>
          </w:tcPr>
          <w:p w14:paraId="1B5C624F" w14:textId="77777777" w:rsidR="00A01F2C" w:rsidRPr="00E87C37" w:rsidRDefault="00A01F2C" w:rsidP="00A01F2C">
            <w:pPr>
              <w:spacing w:before="100" w:beforeAutospacing="1" w:after="100" w:afterAutospacing="1"/>
            </w:pPr>
            <w:r w:rsidRPr="00E87C37">
              <w:t>3.278</w:t>
            </w:r>
            <w:proofErr w:type="gramStart"/>
            <w:r w:rsidRPr="00E87C37">
              <w:t>^{</w:t>
            </w:r>
            <w:proofErr w:type="gramEnd"/>
            <w:r w:rsidRPr="00E87C37">
              <w:t>*} (1.418)</w:t>
            </w:r>
          </w:p>
        </w:tc>
        <w:tc>
          <w:tcPr>
            <w:tcW w:w="0" w:type="auto"/>
            <w:vAlign w:val="center"/>
            <w:hideMark/>
          </w:tcPr>
          <w:p w14:paraId="42342513" w14:textId="77777777" w:rsidR="00A01F2C" w:rsidRPr="00E87C37" w:rsidRDefault="00A01F2C" w:rsidP="00A01F2C">
            <w:pPr>
              <w:spacing w:before="100" w:beforeAutospacing="1" w:after="100" w:afterAutospacing="1"/>
            </w:pPr>
            <w:r w:rsidRPr="00E87C37">
              <w:t>0.504 (0.565)</w:t>
            </w:r>
          </w:p>
        </w:tc>
      </w:tr>
      <w:tr w:rsidR="00F46AFE" w:rsidRPr="00E87C37" w14:paraId="5A93A19E" w14:textId="77777777" w:rsidTr="00E87C37">
        <w:trPr>
          <w:tblCellSpacing w:w="15" w:type="dxa"/>
        </w:trPr>
        <w:tc>
          <w:tcPr>
            <w:tcW w:w="0" w:type="auto"/>
            <w:vAlign w:val="center"/>
            <w:hideMark/>
          </w:tcPr>
          <w:p w14:paraId="595A23E5" w14:textId="5FA4BFEF" w:rsidR="00A01F2C" w:rsidRPr="00E87C37" w:rsidRDefault="00A01F2C" w:rsidP="00A01F2C">
            <w:pPr>
              <w:spacing w:before="100" w:beforeAutospacing="1" w:after="100" w:afterAutospacing="1"/>
              <w:rPr>
                <w:rFonts w:hint="eastAsia"/>
              </w:rPr>
            </w:pPr>
            <w:r w:rsidRPr="00E87C37">
              <w:t>Mainlanders</w:t>
            </w:r>
          </w:p>
        </w:tc>
        <w:tc>
          <w:tcPr>
            <w:tcW w:w="0" w:type="auto"/>
            <w:vAlign w:val="center"/>
            <w:hideMark/>
          </w:tcPr>
          <w:p w14:paraId="721FDAE9" w14:textId="77777777" w:rsidR="00A01F2C" w:rsidRPr="00E87C37" w:rsidRDefault="00A01F2C" w:rsidP="00A01F2C">
            <w:pPr>
              <w:spacing w:before="100" w:beforeAutospacing="1" w:after="100" w:afterAutospacing="1"/>
            </w:pPr>
            <w:r w:rsidRPr="00E87C37">
              <w:t>4.138</w:t>
            </w:r>
            <w:proofErr w:type="gramStart"/>
            <w:r w:rsidRPr="00E87C37">
              <w:t>^{</w:t>
            </w:r>
            <w:proofErr w:type="gramEnd"/>
            <w:r w:rsidRPr="00E87C37">
              <w:t>**} (1.441)</w:t>
            </w:r>
          </w:p>
        </w:tc>
        <w:tc>
          <w:tcPr>
            <w:tcW w:w="0" w:type="auto"/>
            <w:vAlign w:val="center"/>
            <w:hideMark/>
          </w:tcPr>
          <w:p w14:paraId="4B1E0ADD" w14:textId="77777777" w:rsidR="00A01F2C" w:rsidRPr="00E87C37" w:rsidRDefault="00A01F2C" w:rsidP="00A01F2C">
            <w:pPr>
              <w:spacing w:before="100" w:beforeAutospacing="1" w:after="100" w:afterAutospacing="1"/>
            </w:pPr>
            <w:r w:rsidRPr="00E87C37">
              <w:t>2.030</w:t>
            </w:r>
            <w:proofErr w:type="gramStart"/>
            <w:r w:rsidRPr="00E87C37">
              <w:t>^{</w:t>
            </w:r>
            <w:proofErr w:type="gramEnd"/>
            <w:r w:rsidRPr="00E87C37">
              <w:t>**} (0.618)</w:t>
            </w:r>
          </w:p>
        </w:tc>
      </w:tr>
      <w:tr w:rsidR="00F46AFE" w:rsidRPr="00E87C37" w14:paraId="60AF0397" w14:textId="77777777" w:rsidTr="00E87C37">
        <w:trPr>
          <w:tblCellSpacing w:w="15" w:type="dxa"/>
        </w:trPr>
        <w:tc>
          <w:tcPr>
            <w:tcW w:w="0" w:type="auto"/>
            <w:vAlign w:val="center"/>
            <w:hideMark/>
          </w:tcPr>
          <w:p w14:paraId="6CAC025D" w14:textId="151EF10C" w:rsidR="00A01F2C" w:rsidRPr="00E87C37" w:rsidRDefault="00A01F2C" w:rsidP="00A01F2C">
            <w:pPr>
              <w:spacing w:before="100" w:beforeAutospacing="1" w:after="100" w:afterAutospacing="1"/>
              <w:rPr>
                <w:rFonts w:hint="eastAsia"/>
              </w:rPr>
            </w:pPr>
            <w:r w:rsidRPr="00E87C37">
              <w:rPr>
                <w:b/>
                <w:bCs/>
              </w:rPr>
              <w:t>Education</w:t>
            </w:r>
            <w:r w:rsidR="00F46AFE">
              <w:rPr>
                <w:rFonts w:hint="eastAsia"/>
                <w:b/>
                <w:bCs/>
              </w:rPr>
              <w:t xml:space="preserve"> (Refer = College &amp; Above)</w:t>
            </w:r>
          </w:p>
        </w:tc>
        <w:tc>
          <w:tcPr>
            <w:tcW w:w="0" w:type="auto"/>
            <w:vAlign w:val="center"/>
            <w:hideMark/>
          </w:tcPr>
          <w:p w14:paraId="1DE38D11" w14:textId="77777777" w:rsidR="00A01F2C" w:rsidRPr="00E87C37" w:rsidRDefault="00A01F2C" w:rsidP="00A01F2C">
            <w:pPr>
              <w:rPr>
                <w:sz w:val="20"/>
                <w:szCs w:val="20"/>
              </w:rPr>
            </w:pPr>
          </w:p>
        </w:tc>
        <w:tc>
          <w:tcPr>
            <w:tcW w:w="0" w:type="auto"/>
            <w:vAlign w:val="center"/>
            <w:hideMark/>
          </w:tcPr>
          <w:p w14:paraId="3DA79294" w14:textId="77777777" w:rsidR="00A01F2C" w:rsidRPr="00E87C37" w:rsidRDefault="00A01F2C" w:rsidP="00A01F2C">
            <w:pPr>
              <w:rPr>
                <w:sz w:val="20"/>
                <w:szCs w:val="20"/>
              </w:rPr>
            </w:pPr>
          </w:p>
        </w:tc>
      </w:tr>
      <w:tr w:rsidR="00F46AFE" w:rsidRPr="00E87C37" w14:paraId="30B9B93D" w14:textId="77777777" w:rsidTr="00E87C37">
        <w:trPr>
          <w:tblCellSpacing w:w="15" w:type="dxa"/>
        </w:trPr>
        <w:tc>
          <w:tcPr>
            <w:tcW w:w="0" w:type="auto"/>
            <w:vAlign w:val="center"/>
            <w:hideMark/>
          </w:tcPr>
          <w:p w14:paraId="3529B12A" w14:textId="078BE8AF" w:rsidR="00A01F2C" w:rsidRPr="00E87C37" w:rsidRDefault="00A01F2C" w:rsidP="00A01F2C">
            <w:pPr>
              <w:spacing w:before="100" w:beforeAutospacing="1" w:after="100" w:afterAutospacing="1"/>
              <w:rPr>
                <w:rFonts w:hint="eastAsia"/>
              </w:rPr>
            </w:pPr>
            <w:r w:rsidRPr="00E87C37">
              <w:t xml:space="preserve">Elementary and </w:t>
            </w:r>
            <w:proofErr w:type="gramStart"/>
            <w:r w:rsidRPr="00E87C37">
              <w:t>Below</w:t>
            </w:r>
            <w:proofErr w:type="gramEnd"/>
          </w:p>
        </w:tc>
        <w:tc>
          <w:tcPr>
            <w:tcW w:w="0" w:type="auto"/>
            <w:vAlign w:val="center"/>
            <w:hideMark/>
          </w:tcPr>
          <w:p w14:paraId="1B7E7506" w14:textId="77777777" w:rsidR="00A01F2C" w:rsidRPr="00E87C37" w:rsidRDefault="00A01F2C" w:rsidP="00A01F2C">
            <w:pPr>
              <w:spacing w:before="100" w:beforeAutospacing="1" w:after="100" w:afterAutospacing="1"/>
            </w:pPr>
            <w:r w:rsidRPr="00E87C37">
              <w:t>-0.836</w:t>
            </w:r>
            <w:proofErr w:type="gramStart"/>
            <w:r w:rsidRPr="00E87C37">
              <w:t>^{</w:t>
            </w:r>
            <w:proofErr w:type="gramEnd"/>
            <w:r w:rsidRPr="00E87C37">
              <w:t>**} (0.262)</w:t>
            </w:r>
          </w:p>
        </w:tc>
        <w:tc>
          <w:tcPr>
            <w:tcW w:w="0" w:type="auto"/>
            <w:vAlign w:val="center"/>
            <w:hideMark/>
          </w:tcPr>
          <w:p w14:paraId="5D5C15B5" w14:textId="77777777" w:rsidR="00A01F2C" w:rsidRPr="00E87C37" w:rsidRDefault="00A01F2C" w:rsidP="00A01F2C">
            <w:pPr>
              <w:spacing w:before="100" w:beforeAutospacing="1" w:after="100" w:afterAutospacing="1"/>
            </w:pPr>
            <w:r w:rsidRPr="00E87C37">
              <w:t>0.426 (0.254)</w:t>
            </w:r>
          </w:p>
        </w:tc>
      </w:tr>
      <w:tr w:rsidR="00F46AFE" w:rsidRPr="00E87C37" w14:paraId="0B06C2B7" w14:textId="77777777" w:rsidTr="00E87C37">
        <w:trPr>
          <w:tblCellSpacing w:w="15" w:type="dxa"/>
        </w:trPr>
        <w:tc>
          <w:tcPr>
            <w:tcW w:w="0" w:type="auto"/>
            <w:vAlign w:val="center"/>
            <w:hideMark/>
          </w:tcPr>
          <w:p w14:paraId="600435FF" w14:textId="6B228FB6" w:rsidR="00A01F2C" w:rsidRPr="00E87C37" w:rsidRDefault="00A01F2C" w:rsidP="00A01F2C">
            <w:pPr>
              <w:spacing w:before="100" w:beforeAutospacing="1" w:after="100" w:afterAutospacing="1"/>
              <w:rPr>
                <w:rFonts w:hint="eastAsia"/>
              </w:rPr>
            </w:pPr>
            <w:r w:rsidRPr="00E87C37">
              <w:t>Middle School</w:t>
            </w:r>
          </w:p>
        </w:tc>
        <w:tc>
          <w:tcPr>
            <w:tcW w:w="0" w:type="auto"/>
            <w:vAlign w:val="center"/>
            <w:hideMark/>
          </w:tcPr>
          <w:p w14:paraId="1C985380" w14:textId="77777777" w:rsidR="00A01F2C" w:rsidRPr="00E87C37" w:rsidRDefault="00A01F2C" w:rsidP="00A01F2C">
            <w:pPr>
              <w:spacing w:before="100" w:beforeAutospacing="1" w:after="100" w:afterAutospacing="1"/>
            </w:pPr>
            <w:r w:rsidRPr="00E87C37">
              <w:t>-0.905</w:t>
            </w:r>
            <w:proofErr w:type="gramStart"/>
            <w:r w:rsidRPr="00E87C37">
              <w:t>^{</w:t>
            </w:r>
            <w:proofErr w:type="gramEnd"/>
            <w:r w:rsidRPr="00E87C37">
              <w:t>***} (0.226)</w:t>
            </w:r>
          </w:p>
        </w:tc>
        <w:tc>
          <w:tcPr>
            <w:tcW w:w="0" w:type="auto"/>
            <w:vAlign w:val="center"/>
            <w:hideMark/>
          </w:tcPr>
          <w:p w14:paraId="1AC82381" w14:textId="77777777" w:rsidR="00A01F2C" w:rsidRPr="00E87C37" w:rsidRDefault="00A01F2C" w:rsidP="00A01F2C">
            <w:pPr>
              <w:spacing w:before="100" w:beforeAutospacing="1" w:after="100" w:afterAutospacing="1"/>
            </w:pPr>
            <w:r w:rsidRPr="00E87C37">
              <w:t>-0.185 (0.253)</w:t>
            </w:r>
          </w:p>
        </w:tc>
      </w:tr>
      <w:tr w:rsidR="00F46AFE" w:rsidRPr="00E87C37" w14:paraId="40786155" w14:textId="77777777" w:rsidTr="00E87C37">
        <w:trPr>
          <w:tblCellSpacing w:w="15" w:type="dxa"/>
        </w:trPr>
        <w:tc>
          <w:tcPr>
            <w:tcW w:w="0" w:type="auto"/>
            <w:vAlign w:val="center"/>
            <w:hideMark/>
          </w:tcPr>
          <w:p w14:paraId="1D689876" w14:textId="6A375C52" w:rsidR="00A01F2C" w:rsidRPr="00E87C37" w:rsidRDefault="00A01F2C" w:rsidP="00A01F2C">
            <w:pPr>
              <w:spacing w:before="100" w:beforeAutospacing="1" w:after="100" w:afterAutospacing="1"/>
              <w:rPr>
                <w:rFonts w:hint="eastAsia"/>
              </w:rPr>
            </w:pPr>
            <w:r w:rsidRPr="00E87C37">
              <w:t>High School</w:t>
            </w:r>
          </w:p>
        </w:tc>
        <w:tc>
          <w:tcPr>
            <w:tcW w:w="0" w:type="auto"/>
            <w:vAlign w:val="center"/>
            <w:hideMark/>
          </w:tcPr>
          <w:p w14:paraId="50ADA043" w14:textId="77777777" w:rsidR="00A01F2C" w:rsidRPr="00E87C37" w:rsidRDefault="00A01F2C" w:rsidP="00A01F2C">
            <w:pPr>
              <w:spacing w:before="100" w:beforeAutospacing="1" w:after="100" w:afterAutospacing="1"/>
            </w:pPr>
            <w:r w:rsidRPr="00E87C37">
              <w:t>-0.249 (0.158)</w:t>
            </w:r>
          </w:p>
        </w:tc>
        <w:tc>
          <w:tcPr>
            <w:tcW w:w="0" w:type="auto"/>
            <w:vAlign w:val="center"/>
            <w:hideMark/>
          </w:tcPr>
          <w:p w14:paraId="2FEA096D" w14:textId="77777777" w:rsidR="00A01F2C" w:rsidRPr="00E87C37" w:rsidRDefault="00A01F2C" w:rsidP="00A01F2C">
            <w:pPr>
              <w:spacing w:before="100" w:beforeAutospacing="1" w:after="100" w:afterAutospacing="1"/>
            </w:pPr>
            <w:r w:rsidRPr="00E87C37">
              <w:t>0.249 (0.189)</w:t>
            </w:r>
          </w:p>
        </w:tc>
      </w:tr>
      <w:tr w:rsidR="00F46AFE" w:rsidRPr="00E87C37" w14:paraId="654DE70A" w14:textId="77777777" w:rsidTr="00E87C37">
        <w:trPr>
          <w:tblCellSpacing w:w="15" w:type="dxa"/>
        </w:trPr>
        <w:tc>
          <w:tcPr>
            <w:tcW w:w="0" w:type="auto"/>
            <w:vAlign w:val="center"/>
            <w:hideMark/>
          </w:tcPr>
          <w:p w14:paraId="653ABF56" w14:textId="4F47BFF0" w:rsidR="00A01F2C" w:rsidRPr="00E87C37" w:rsidRDefault="00A01F2C" w:rsidP="00A01F2C">
            <w:pPr>
              <w:spacing w:before="100" w:beforeAutospacing="1" w:after="100" w:afterAutospacing="1"/>
              <w:rPr>
                <w:rFonts w:hint="eastAsia"/>
              </w:rPr>
            </w:pPr>
            <w:r w:rsidRPr="00E87C37">
              <w:t>Vocational School</w:t>
            </w:r>
          </w:p>
        </w:tc>
        <w:tc>
          <w:tcPr>
            <w:tcW w:w="0" w:type="auto"/>
            <w:vAlign w:val="center"/>
            <w:hideMark/>
          </w:tcPr>
          <w:p w14:paraId="19CB2EB2" w14:textId="77777777" w:rsidR="00A01F2C" w:rsidRPr="00E87C37" w:rsidRDefault="00A01F2C" w:rsidP="00A01F2C">
            <w:pPr>
              <w:spacing w:before="100" w:beforeAutospacing="1" w:after="100" w:afterAutospacing="1"/>
            </w:pPr>
            <w:r w:rsidRPr="00E87C37">
              <w:t>0.236 (0.221)</w:t>
            </w:r>
          </w:p>
        </w:tc>
        <w:tc>
          <w:tcPr>
            <w:tcW w:w="0" w:type="auto"/>
            <w:vAlign w:val="center"/>
            <w:hideMark/>
          </w:tcPr>
          <w:p w14:paraId="22CB1E16" w14:textId="77777777" w:rsidR="00A01F2C" w:rsidRPr="00E87C37" w:rsidRDefault="00A01F2C" w:rsidP="00A01F2C">
            <w:pPr>
              <w:spacing w:before="100" w:beforeAutospacing="1" w:after="100" w:afterAutospacing="1"/>
            </w:pPr>
            <w:r w:rsidRPr="00E87C37">
              <w:t>0.610</w:t>
            </w:r>
            <w:proofErr w:type="gramStart"/>
            <w:r w:rsidRPr="00E87C37">
              <w:t>^{</w:t>
            </w:r>
            <w:proofErr w:type="gramEnd"/>
            <w:r w:rsidRPr="00E87C37">
              <w:t>*} (0.258)</w:t>
            </w:r>
          </w:p>
        </w:tc>
      </w:tr>
    </w:tbl>
    <w:p w14:paraId="087E69A7" w14:textId="77777777" w:rsidR="00571C31" w:rsidRPr="00571C31" w:rsidRDefault="00571C31" w:rsidP="00571C31">
      <w:pPr>
        <w:spacing w:before="240" w:after="240" w:line="480" w:lineRule="auto"/>
      </w:pPr>
      <w:r w:rsidRPr="00571C31">
        <w:t>* Indicates p .05 two-tailed; entries are maximum likelihood coefficients with standard errors in</w:t>
      </w:r>
    </w:p>
    <w:p w14:paraId="4744E2F3" w14:textId="161A77F0" w:rsidR="00962007" w:rsidRDefault="00571C31" w:rsidP="005E1CE2">
      <w:pPr>
        <w:spacing w:before="240" w:after="240" w:line="480" w:lineRule="auto"/>
      </w:pPr>
      <w:r w:rsidRPr="00571C31">
        <w:t>parentheses.</w:t>
      </w:r>
    </w:p>
    <w:p w14:paraId="606DC92D" w14:textId="210C90DA" w:rsidR="00962007" w:rsidRPr="00962007" w:rsidRDefault="00962007" w:rsidP="00962007">
      <w:pPr>
        <w:spacing w:line="480" w:lineRule="auto"/>
        <w:rPr>
          <w:b/>
          <w:bCs/>
          <w:sz w:val="28"/>
          <w:szCs w:val="28"/>
        </w:rPr>
      </w:pPr>
      <w:r>
        <w:rPr>
          <w:b/>
          <w:bCs/>
          <w:sz w:val="28"/>
          <w:szCs w:val="28"/>
        </w:rPr>
        <w:t>Results and Discussion</w:t>
      </w:r>
    </w:p>
    <w:p w14:paraId="0924053F" w14:textId="77195591" w:rsidR="00F46AFE" w:rsidRDefault="00F46AFE" w:rsidP="00962007">
      <w:pPr>
        <w:spacing w:before="240" w:after="240" w:line="480" w:lineRule="auto"/>
        <w:ind w:firstLine="720"/>
      </w:pPr>
      <w:r>
        <w:lastRenderedPageBreak/>
        <w:t xml:space="preserve">The results of this multinomial logit model provide </w:t>
      </w:r>
      <w:r>
        <w:rPr>
          <w:rFonts w:hint="eastAsia"/>
        </w:rPr>
        <w:t>valuable</w:t>
      </w:r>
      <w:r>
        <w:t xml:space="preserve"> insights into the factors shaping attitudes toward Taiwan independence and extend </w:t>
      </w:r>
      <w:proofErr w:type="spellStart"/>
      <w:r>
        <w:t>Niou’s</w:t>
      </w:r>
      <w:proofErr w:type="spellEnd"/>
      <w:r>
        <w:t xml:space="preserve"> (2004)</w:t>
      </w:r>
      <w:r>
        <w:rPr>
          <w:rFonts w:hint="eastAsia"/>
        </w:rPr>
        <w:t xml:space="preserve"> and Wang et </w:t>
      </w:r>
      <w:proofErr w:type="spellStart"/>
      <w:r>
        <w:rPr>
          <w:rFonts w:hint="eastAsia"/>
        </w:rPr>
        <w:t>al</w:t>
      </w:r>
      <w:r>
        <w:t>’</w:t>
      </w:r>
      <w:r>
        <w:rPr>
          <w:rFonts w:hint="eastAsia"/>
        </w:rPr>
        <w:t>s</w:t>
      </w:r>
      <w:proofErr w:type="spellEnd"/>
      <w:r>
        <w:rPr>
          <w:rFonts w:hint="eastAsia"/>
        </w:rPr>
        <w:t xml:space="preserve"> (2025)</w:t>
      </w:r>
      <w:r>
        <w:t xml:space="preserve"> analys</w:t>
      </w:r>
      <w:r>
        <w:rPr>
          <w:rFonts w:hint="eastAsia"/>
        </w:rPr>
        <w:t>e</w:t>
      </w:r>
      <w:r>
        <w:t xml:space="preserve">s by incorporating more recent political, economic, and demographic trends. </w:t>
      </w:r>
    </w:p>
    <w:p w14:paraId="27F5C6CA" w14:textId="20C9CCB6" w:rsidR="00F46AFE" w:rsidRDefault="00F46AFE" w:rsidP="00F46AFE">
      <w:pPr>
        <w:spacing w:before="240" w:after="240" w:line="480" w:lineRule="auto"/>
        <w:ind w:firstLine="720"/>
      </w:pPr>
      <w:r>
        <w:t xml:space="preserve">Consistent with </w:t>
      </w:r>
      <w:proofErr w:type="spellStart"/>
      <w:r>
        <w:t>Niou’s</w:t>
      </w:r>
      <w:proofErr w:type="spellEnd"/>
      <w:r>
        <w:t xml:space="preserve"> findings, national identity remains a key determinant of independence preferences. Individuals who identify as Taiwanese are less likely to oppose independence compared to those who identify as both Taiwanese and Chinese, while those who identify solely as Chinese </w:t>
      </w:r>
      <w:r w:rsidRPr="00F46AFE">
        <w:rPr>
          <w:b/>
          <w:bCs/>
        </w:rPr>
        <w:t>do not exhibit a statistically significant difference</w:t>
      </w:r>
      <w:r>
        <w:t xml:space="preserve"> from the reference category. </w:t>
      </w:r>
    </w:p>
    <w:p w14:paraId="2397A5B2" w14:textId="098C963B" w:rsidR="00F46AFE" w:rsidRDefault="00F46AFE" w:rsidP="00F46AFE">
      <w:pPr>
        <w:spacing w:before="240" w:after="240" w:line="480" w:lineRule="auto"/>
        <w:ind w:firstLine="720"/>
      </w:pPr>
      <w:r>
        <w:t xml:space="preserve">Generational differences further reinforce the political divergence over independence, with younger respondents (particularly those aged 20–39) displaying a stronger inclination toward supporting independence, either conditionally or unconditionally. Older generations, who have had more direct experience with past KMT rule and </w:t>
      </w:r>
      <w:r>
        <w:rPr>
          <w:rFonts w:hint="eastAsia"/>
        </w:rPr>
        <w:t>potential cross-strait memories and family ties</w:t>
      </w:r>
      <w:r>
        <w:t xml:space="preserve">, are more likely to oppose independence or support it only under certain conditions. This generational shift </w:t>
      </w:r>
      <w:r w:rsidR="00B435A7">
        <w:t>indicates</w:t>
      </w:r>
      <w:r>
        <w:t xml:space="preserve"> a key development </w:t>
      </w:r>
      <w:r>
        <w:rPr>
          <w:rFonts w:hint="eastAsia"/>
        </w:rPr>
        <w:t>beyond Chu</w:t>
      </w:r>
      <w:r>
        <w:t>’</w:t>
      </w:r>
      <w:r>
        <w:rPr>
          <w:rFonts w:hint="eastAsia"/>
        </w:rPr>
        <w:t>s (2004)</w:t>
      </w:r>
      <w:r>
        <w:t xml:space="preserve"> findings: the younger cohorts</w:t>
      </w:r>
      <w:r>
        <w:rPr>
          <w:rFonts w:hint="eastAsia"/>
        </w:rPr>
        <w:t xml:space="preserve"> in 2024</w:t>
      </w:r>
      <w:r>
        <w:t>, having grown up in a democratic Taiwan with less direct connection to China, are more inclined toward supporting sovereignty</w:t>
      </w:r>
      <w:r>
        <w:rPr>
          <w:rFonts w:hint="eastAsia"/>
        </w:rPr>
        <w:t xml:space="preserve"> as compared to 20 years ago</w:t>
      </w:r>
      <w:r>
        <w:t>.</w:t>
      </w:r>
    </w:p>
    <w:p w14:paraId="64EBD63B" w14:textId="20968BE2" w:rsidR="00571C31" w:rsidRDefault="00F46AFE" w:rsidP="00571C31">
      <w:pPr>
        <w:spacing w:before="240" w:after="240" w:line="480" w:lineRule="auto"/>
        <w:ind w:firstLine="720"/>
      </w:pPr>
      <w:r>
        <w:t xml:space="preserve">While multiple factors influence preferences for Taiwan independence, the results indicate that the perception of a military threat from China is the </w:t>
      </w:r>
      <w:r w:rsidRPr="00F46AFE">
        <w:rPr>
          <w:b/>
          <w:bCs/>
        </w:rPr>
        <w:t>strongest determinant of independence attitudes</w:t>
      </w:r>
      <w:r>
        <w:t xml:space="preserve">. Individuals who do not perceive a military threat from China are more likely to support independence unconditionally, while those who do perceive a threat </w:t>
      </w:r>
      <w:r w:rsidR="00571C31">
        <w:rPr>
          <w:rFonts w:hint="eastAsia"/>
        </w:rPr>
        <w:t>either become</w:t>
      </w:r>
      <w:r>
        <w:t xml:space="preserve"> non-supporters or support</w:t>
      </w:r>
      <w:r w:rsidR="00571C31">
        <w:t xml:space="preserve"> </w:t>
      </w:r>
      <w:r w:rsidR="00571C31">
        <w:t>conditional</w:t>
      </w:r>
      <w:r w:rsidR="00571C31">
        <w:t>ly</w:t>
      </w:r>
      <w:r>
        <w:t xml:space="preserve">. This aligns with </w:t>
      </w:r>
      <w:proofErr w:type="spellStart"/>
      <w:r>
        <w:t>Niou’s</w:t>
      </w:r>
      <w:proofErr w:type="spellEnd"/>
      <w:r>
        <w:t xml:space="preserve"> argument that security </w:t>
      </w:r>
      <w:r>
        <w:lastRenderedPageBreak/>
        <w:t xml:space="preserve">concerns constrain pro-independence sentiment, reinforcing the idea that external deterrence remains a critical factor in Taiwan’s political landscape. </w:t>
      </w:r>
    </w:p>
    <w:p w14:paraId="2B877EF3" w14:textId="3B4C5DA1" w:rsidR="00571C31" w:rsidRDefault="00F46AFE" w:rsidP="00B42344">
      <w:pPr>
        <w:spacing w:before="240" w:after="240" w:line="480" w:lineRule="auto"/>
        <w:ind w:firstLine="720"/>
      </w:pPr>
      <w:r>
        <w:t xml:space="preserve">In contrast, economic integration with China emerges as the strongest pro-status quo force that discourages unconditional support for independence. Individuals who favor strengthening Taiwan’s economic ties with China </w:t>
      </w:r>
      <w:r w:rsidR="00B42344">
        <w:t>have a higher tendency</w:t>
      </w:r>
      <w:r>
        <w:t xml:space="preserve"> to oppose independence. Economic interdependence with China remains a critical factor in shaping Taiwan’s political trajectory, reinforcing arguments that Taiwanese voters may prioritize economic stability over nationalist aspirations.</w:t>
      </w:r>
    </w:p>
    <w:p w14:paraId="0AA0DD6C" w14:textId="77777777" w:rsidR="00571C31" w:rsidRDefault="00F46AFE" w:rsidP="00571C31">
      <w:pPr>
        <w:spacing w:before="240" w:after="240" w:line="480" w:lineRule="auto"/>
        <w:ind w:firstLine="720"/>
      </w:pPr>
      <w:r>
        <w:t xml:space="preserve">The impact of party identification </w:t>
      </w:r>
      <w:r w:rsidR="00571C31">
        <w:t>function quite</w:t>
      </w:r>
      <w:r>
        <w:t xml:space="preserve"> </w:t>
      </w:r>
      <w:r w:rsidR="00571C31">
        <w:t>a</w:t>
      </w:r>
      <w:r>
        <w:t>s expected, DPP supporters are overwhelmingly more likely to support independence unconditionally, while KMT supporters are significantly more likely to oppose it.</w:t>
      </w:r>
    </w:p>
    <w:p w14:paraId="06877CFF" w14:textId="77777777" w:rsidR="00571C31" w:rsidRDefault="00F46AFE" w:rsidP="00571C31">
      <w:pPr>
        <w:spacing w:before="240" w:after="240" w:line="480" w:lineRule="auto"/>
        <w:ind w:firstLine="720"/>
      </w:pPr>
      <w:r>
        <w:t>The influence of U.S. defense commitments</w:t>
      </w:r>
      <w:r w:rsidR="00571C31">
        <w:t>, however,</w:t>
      </w:r>
      <w:r>
        <w:t xml:space="preserve"> presents a more </w:t>
      </w:r>
      <w:r w:rsidR="00571C31">
        <w:t>complicated</w:t>
      </w:r>
      <w:r>
        <w:t xml:space="preserve"> effect than </w:t>
      </w:r>
      <w:proofErr w:type="spellStart"/>
      <w:r>
        <w:t>Niou</w:t>
      </w:r>
      <w:proofErr w:type="spellEnd"/>
      <w:r>
        <w:t xml:space="preserve"> originally </w:t>
      </w:r>
      <w:r w:rsidR="00571C31">
        <w:t>examined in 2004</w:t>
      </w:r>
      <w:r>
        <w:t xml:space="preserve">. While belief in U.S. military support does not significantly differentiate conditional and unconditional supporters, it has a strong impact in reducing outright opposition to independence. This </w:t>
      </w:r>
      <w:r w:rsidR="00571C31">
        <w:t>result provides an interesting finding</w:t>
      </w:r>
      <w:r>
        <w:t xml:space="preserve"> that confidence in U.S. defense assistance primarily acts as a deterrent to pro-China alignment</w:t>
      </w:r>
      <w:r w:rsidR="00571C31">
        <w:t>,</w:t>
      </w:r>
      <w:r>
        <w:t xml:space="preserve"> rather than a direct motivator for pro-independence sentiment.</w:t>
      </w:r>
    </w:p>
    <w:p w14:paraId="11E2F754" w14:textId="7EBC8F1D" w:rsidR="00571C31" w:rsidRDefault="00F46AFE" w:rsidP="00571C31">
      <w:pPr>
        <w:spacing w:before="240" w:after="240" w:line="480" w:lineRule="auto"/>
        <w:ind w:firstLine="720"/>
      </w:pPr>
      <w:r>
        <w:t>Ethnic background</w:t>
      </w:r>
      <w:r w:rsidR="00571C31">
        <w:t xml:space="preserve">, an area underexplored in </w:t>
      </w:r>
      <w:r w:rsidR="00B42344">
        <w:t>Western academia</w:t>
      </w:r>
      <w:r w:rsidR="00571C31">
        <w:t xml:space="preserve"> focuses,</w:t>
      </w:r>
      <w:r>
        <w:t xml:space="preserve"> continues to shape attitudes toward independence. </w:t>
      </w:r>
      <w:proofErr w:type="spellStart"/>
      <w:r w:rsidR="00571C31">
        <w:t>Waisheng</w:t>
      </w:r>
      <w:proofErr w:type="spellEnd"/>
      <w:r w:rsidR="00571C31">
        <w:t xml:space="preserve"> (</w:t>
      </w:r>
      <w:r>
        <w:t>Mainland</w:t>
      </w:r>
      <w:r w:rsidR="00571C31">
        <w:t>-ancestry) Taiwanese</w:t>
      </w:r>
      <w:r>
        <w:t xml:space="preserve"> remain the most likely to oppose independence, consistent with historical patterns, while Hakka and </w:t>
      </w:r>
      <w:proofErr w:type="spellStart"/>
      <w:r>
        <w:t>Minnan</w:t>
      </w:r>
      <w:proofErr w:type="spellEnd"/>
      <w:r>
        <w:t xml:space="preserve"> individuals tend to support independence conditionally rather than unconditionally. This suggests </w:t>
      </w:r>
      <w:r>
        <w:lastRenderedPageBreak/>
        <w:t>that while ethnic identity remains a key determinant, the stark ethnic cleavages that characterized earlier decades may be evolving, with greater internal variation within groups.</w:t>
      </w:r>
    </w:p>
    <w:p w14:paraId="342A7A3F" w14:textId="7F99180D" w:rsidR="00962007" w:rsidRDefault="00F46AFE" w:rsidP="00962007">
      <w:pPr>
        <w:spacing w:before="240" w:after="240" w:line="480" w:lineRule="auto"/>
        <w:ind w:firstLine="720"/>
      </w:pPr>
      <w:r>
        <w:t xml:space="preserve">Finally, education level plays a </w:t>
      </w:r>
      <w:r w:rsidR="00B42344">
        <w:t>pivotal</w:t>
      </w:r>
      <w:r>
        <w:t xml:space="preserve"> role in structuring independence attitudes, though its effect is less </w:t>
      </w:r>
      <w:r w:rsidR="00B42344">
        <w:t>evide</w:t>
      </w:r>
      <w:r w:rsidR="00571C31">
        <w:t>nt</w:t>
      </w:r>
      <w:r>
        <w:t xml:space="preserve"> than the security and economic variables. Higher education correlates with greater unconditional support for independence, while lower education levels are associated with more conditional or uncertain positions. Notably, vocational school graduates are significantly more likely to oppose independence than college graduates, suggesting that socioeconomic background—rather than education alone—may be influencing political attitudes. This adds an important socioeconomic dimension to </w:t>
      </w:r>
      <w:proofErr w:type="spellStart"/>
      <w:r>
        <w:t>Niou’s</w:t>
      </w:r>
      <w:proofErr w:type="spellEnd"/>
      <w:r>
        <w:t xml:space="preserve"> framework, indicating that the intersection of education, class, and political ideology is worth further exploration.</w:t>
      </w:r>
    </w:p>
    <w:p w14:paraId="648E36EF" w14:textId="530EA6F1" w:rsidR="00962007" w:rsidRPr="00962007" w:rsidRDefault="00962007" w:rsidP="00962007">
      <w:pPr>
        <w:spacing w:line="480" w:lineRule="auto"/>
        <w:rPr>
          <w:b/>
          <w:bCs/>
          <w:sz w:val="28"/>
          <w:szCs w:val="28"/>
        </w:rPr>
      </w:pPr>
      <w:r>
        <w:rPr>
          <w:b/>
          <w:bCs/>
          <w:sz w:val="28"/>
          <w:szCs w:val="28"/>
        </w:rPr>
        <w:t>Conclusion</w:t>
      </w:r>
    </w:p>
    <w:p w14:paraId="600DA783" w14:textId="115EADDE" w:rsidR="00291979" w:rsidRPr="00175137" w:rsidRDefault="00F46AFE" w:rsidP="00962007">
      <w:pPr>
        <w:spacing w:before="240" w:after="240" w:line="480" w:lineRule="auto"/>
        <w:ind w:firstLine="720"/>
      </w:pPr>
      <w:r>
        <w:t xml:space="preserve">Overall, these findings largely support </w:t>
      </w:r>
      <w:proofErr w:type="spellStart"/>
      <w:r>
        <w:t>Niou’s</w:t>
      </w:r>
      <w:proofErr w:type="spellEnd"/>
      <w:r>
        <w:t xml:space="preserve"> original arguments while refining and expanding upon them in key areas. The persistence of national identity, generational shifts, security concerns, economic considerations, and party politics as primary drivers of independence attitudes </w:t>
      </w:r>
      <w:r w:rsidR="00B42344">
        <w:t>reaffirm</w:t>
      </w:r>
      <w:r>
        <w:t xml:space="preserve"> </w:t>
      </w:r>
      <w:proofErr w:type="spellStart"/>
      <w:r>
        <w:t>Niou’s</w:t>
      </w:r>
      <w:proofErr w:type="spellEnd"/>
      <w:r>
        <w:t xml:space="preserve"> framework. However, the results </w:t>
      </w:r>
      <w:r w:rsidR="00431C56">
        <w:t xml:space="preserve">in 2024 </w:t>
      </w:r>
      <w:r>
        <w:t xml:space="preserve">also introduce important refinements, particularly in </w:t>
      </w:r>
      <w:r w:rsidR="00B435A7">
        <w:t>identifying</w:t>
      </w:r>
      <w:r>
        <w:t xml:space="preserve"> China’s military threat </w:t>
      </w:r>
      <w:r w:rsidR="00B435A7">
        <w:t>as the strongest</w:t>
      </w:r>
      <w:r w:rsidR="00B42344">
        <w:t xml:space="preserve"> </w:t>
      </w:r>
      <w:r w:rsidR="00B435A7">
        <w:t>determinant impacting</w:t>
      </w:r>
      <w:r w:rsidR="00B42344">
        <w:t xml:space="preserve"> Taiwanese conditional preference toward independence,</w:t>
      </w:r>
      <w:r>
        <w:t xml:space="preserve"> and economic integration as the most powerful predictor of opposition to sovereignty. These findings indicate that while the fundamental forces shaping Taiwan’s sovereignty debate remain largely intact, their manifestations are evolving in response to broader political, economic, and generational shifts.</w:t>
      </w:r>
    </w:p>
    <w:sectPr w:rsidR="00291979" w:rsidRPr="00175137">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94F73" w14:textId="77777777" w:rsidR="003E067F" w:rsidRDefault="003E067F" w:rsidP="00625814">
      <w:r>
        <w:separator/>
      </w:r>
    </w:p>
  </w:endnote>
  <w:endnote w:type="continuationSeparator" w:id="0">
    <w:p w14:paraId="0BD9ACD2" w14:textId="77777777" w:rsidR="003E067F" w:rsidRDefault="003E067F" w:rsidP="0062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1893902"/>
      <w:docPartObj>
        <w:docPartGallery w:val="Page Numbers (Bottom of Page)"/>
        <w:docPartUnique/>
      </w:docPartObj>
    </w:sdtPr>
    <w:sdtEndPr>
      <w:rPr>
        <w:rStyle w:val="PageNumber"/>
      </w:rPr>
    </w:sdtEndPr>
    <w:sdtContent>
      <w:p w14:paraId="5D42D187" w14:textId="5DAE7899" w:rsidR="00434B77" w:rsidRDefault="00434B77" w:rsidP="001E08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6971E2" w14:textId="77777777" w:rsidR="00434B77" w:rsidRDefault="00434B77" w:rsidP="00434B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3347377"/>
      <w:docPartObj>
        <w:docPartGallery w:val="Page Numbers (Bottom of Page)"/>
        <w:docPartUnique/>
      </w:docPartObj>
    </w:sdtPr>
    <w:sdtEndPr>
      <w:rPr>
        <w:rStyle w:val="PageNumber"/>
      </w:rPr>
    </w:sdtEndPr>
    <w:sdtContent>
      <w:p w14:paraId="3A15D9A6" w14:textId="4C54B1A7" w:rsidR="00434B77" w:rsidRDefault="00434B77" w:rsidP="001E08AB">
        <w:pPr>
          <w:pStyle w:val="Footer"/>
          <w:framePr w:wrap="none" w:vAnchor="text" w:hAnchor="margin" w:xAlign="right" w:y="1"/>
          <w:rPr>
            <w:rStyle w:val="PageNumber"/>
          </w:rPr>
        </w:pPr>
        <w:r w:rsidRPr="00434B77">
          <w:rPr>
            <w:rStyle w:val="PageNumber"/>
            <w:rFonts w:ascii="Times New Roman" w:hAnsi="Times New Roman" w:cs="Times New Roman"/>
            <w:sz w:val="24"/>
            <w:szCs w:val="24"/>
          </w:rPr>
          <w:fldChar w:fldCharType="begin"/>
        </w:r>
        <w:r w:rsidRPr="00434B77">
          <w:rPr>
            <w:rStyle w:val="PageNumber"/>
            <w:rFonts w:ascii="Times New Roman" w:hAnsi="Times New Roman" w:cs="Times New Roman"/>
            <w:sz w:val="24"/>
            <w:szCs w:val="24"/>
          </w:rPr>
          <w:instrText xml:space="preserve"> PAGE </w:instrText>
        </w:r>
        <w:r w:rsidRPr="00434B77">
          <w:rPr>
            <w:rStyle w:val="PageNumber"/>
            <w:rFonts w:ascii="Times New Roman" w:hAnsi="Times New Roman" w:cs="Times New Roman"/>
            <w:sz w:val="24"/>
            <w:szCs w:val="24"/>
          </w:rPr>
          <w:fldChar w:fldCharType="separate"/>
        </w:r>
        <w:r w:rsidRPr="00434B77">
          <w:rPr>
            <w:rStyle w:val="PageNumber"/>
            <w:rFonts w:ascii="Times New Roman" w:hAnsi="Times New Roman" w:cs="Times New Roman"/>
            <w:noProof/>
            <w:sz w:val="24"/>
            <w:szCs w:val="24"/>
          </w:rPr>
          <w:t>2</w:t>
        </w:r>
        <w:r w:rsidRPr="00434B77">
          <w:rPr>
            <w:rStyle w:val="PageNumber"/>
            <w:rFonts w:ascii="Times New Roman" w:hAnsi="Times New Roman" w:cs="Times New Roman"/>
            <w:sz w:val="24"/>
            <w:szCs w:val="24"/>
          </w:rPr>
          <w:fldChar w:fldCharType="end"/>
        </w:r>
      </w:p>
    </w:sdtContent>
  </w:sdt>
  <w:p w14:paraId="064FAFBF" w14:textId="77777777" w:rsidR="00434B77" w:rsidRDefault="00434B77" w:rsidP="00434B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66846" w14:textId="77777777" w:rsidR="003E067F" w:rsidRDefault="003E067F" w:rsidP="00625814">
      <w:r>
        <w:separator/>
      </w:r>
    </w:p>
  </w:footnote>
  <w:footnote w:type="continuationSeparator" w:id="0">
    <w:p w14:paraId="53354ED3" w14:textId="77777777" w:rsidR="003E067F" w:rsidRDefault="003E067F" w:rsidP="00625814">
      <w:r>
        <w:continuationSeparator/>
      </w:r>
    </w:p>
  </w:footnote>
  <w:footnote w:id="1">
    <w:p w14:paraId="3EFBA835" w14:textId="4C60075B" w:rsidR="006620BD" w:rsidRPr="006620BD" w:rsidRDefault="006620BD">
      <w:pPr>
        <w:pStyle w:val="FootnoteText"/>
        <w:rPr>
          <w:rFonts w:ascii="Times New Roman" w:hAnsi="Times New Roman" w:cs="Times New Roman"/>
        </w:rPr>
      </w:pPr>
      <w:r w:rsidRPr="006620BD">
        <w:rPr>
          <w:rStyle w:val="FootnoteReference"/>
          <w:rFonts w:ascii="Times New Roman" w:hAnsi="Times New Roman" w:cs="Times New Roman"/>
        </w:rPr>
        <w:footnoteRef/>
      </w:r>
      <w:r w:rsidRPr="006620BD">
        <w:rPr>
          <w:rFonts w:ascii="Times New Roman" w:hAnsi="Times New Roman" w:cs="Times New Roman"/>
        </w:rPr>
        <w:t xml:space="preserve"> </w:t>
      </w:r>
      <w:r w:rsidRPr="006620BD">
        <w:rPr>
          <w:rFonts w:ascii="Times New Roman" w:hAnsi="Times New Roman" w:cs="Times New Roman"/>
          <w:lang w:val="en-US"/>
        </w:rPr>
        <w:t>Chu, Yun-</w:t>
      </w:r>
      <w:proofErr w:type="spellStart"/>
      <w:r w:rsidRPr="006620BD">
        <w:rPr>
          <w:rFonts w:ascii="Times New Roman" w:hAnsi="Times New Roman" w:cs="Times New Roman"/>
          <w:lang w:val="en-US"/>
        </w:rPr>
        <w:t>han</w:t>
      </w:r>
      <w:proofErr w:type="spellEnd"/>
      <w:r w:rsidRPr="006620BD">
        <w:rPr>
          <w:rFonts w:ascii="Times New Roman" w:hAnsi="Times New Roman" w:cs="Times New Roman"/>
          <w:lang w:val="en-US"/>
        </w:rPr>
        <w:t xml:space="preserve">. 2004. “Taiwan’s National Identity Politics and the Prospect of Cross-Strait Relations.” </w:t>
      </w:r>
      <w:r w:rsidRPr="006620BD">
        <w:rPr>
          <w:rFonts w:ascii="Times New Roman" w:hAnsi="Times New Roman" w:cs="Times New Roman"/>
          <w:i/>
          <w:iCs/>
          <w:lang w:val="en-US"/>
        </w:rPr>
        <w:t>Asian Survey</w:t>
      </w:r>
      <w:r w:rsidRPr="006620BD">
        <w:rPr>
          <w:rFonts w:ascii="Times New Roman" w:hAnsi="Times New Roman" w:cs="Times New Roman"/>
          <w:lang w:val="en-US"/>
        </w:rPr>
        <w:t xml:space="preserve"> 44 (4): 484–512. </w:t>
      </w:r>
      <w:hyperlink r:id="rId1" w:history="1">
        <w:r w:rsidRPr="006620BD">
          <w:rPr>
            <w:rStyle w:val="Hyperlink"/>
            <w:rFonts w:ascii="Times New Roman" w:hAnsi="Times New Roman" w:cs="Times New Roman"/>
            <w:lang w:val="en-US"/>
          </w:rPr>
          <w:t>https://doi.org/10.1525/as.2004.44.4.484</w:t>
        </w:r>
      </w:hyperlink>
      <w:r w:rsidRPr="006620BD">
        <w:rPr>
          <w:rFonts w:ascii="Times New Roman" w:hAnsi="Times New Roman" w:cs="Times New Roman"/>
          <w:lang w:val="en-US"/>
        </w:rPr>
        <w:t>.</w:t>
      </w:r>
    </w:p>
  </w:footnote>
  <w:footnote w:id="2">
    <w:p w14:paraId="76888539" w14:textId="4E37E0D4" w:rsidR="006620BD" w:rsidRPr="006620BD" w:rsidRDefault="006620BD">
      <w:pPr>
        <w:pStyle w:val="FootnoteText"/>
        <w:rPr>
          <w:rFonts w:ascii="Times New Roman" w:hAnsi="Times New Roman" w:cs="Times New Roman"/>
        </w:rPr>
      </w:pPr>
      <w:r w:rsidRPr="006620BD">
        <w:rPr>
          <w:rStyle w:val="FootnoteReference"/>
          <w:rFonts w:ascii="Times New Roman" w:hAnsi="Times New Roman" w:cs="Times New Roman"/>
        </w:rPr>
        <w:footnoteRef/>
      </w:r>
      <w:r w:rsidRPr="006620BD">
        <w:rPr>
          <w:rFonts w:ascii="Times New Roman" w:hAnsi="Times New Roman" w:cs="Times New Roman"/>
        </w:rPr>
        <w:t xml:space="preserve"> </w:t>
      </w:r>
      <w:proofErr w:type="spellStart"/>
      <w:r w:rsidRPr="006620BD">
        <w:rPr>
          <w:rFonts w:ascii="Times New Roman" w:eastAsia="Times New Roman" w:hAnsi="Times New Roman" w:cs="Times New Roman"/>
        </w:rPr>
        <w:t>Niou</w:t>
      </w:r>
      <w:proofErr w:type="spellEnd"/>
      <w:r w:rsidRPr="006620BD">
        <w:rPr>
          <w:rFonts w:ascii="Times New Roman" w:eastAsia="Times New Roman" w:hAnsi="Times New Roman" w:cs="Times New Roman"/>
        </w:rPr>
        <w:t xml:space="preserve">, Emerson M. S. 2004. “Understanding Taiwan Independence and Its Policy Implications.” </w:t>
      </w:r>
      <w:r w:rsidRPr="006620BD">
        <w:rPr>
          <w:rFonts w:ascii="Times New Roman" w:eastAsia="Times New Roman" w:hAnsi="Times New Roman" w:cs="Times New Roman"/>
          <w:i/>
        </w:rPr>
        <w:t>Asian Survey</w:t>
      </w:r>
      <w:r w:rsidRPr="006620BD">
        <w:rPr>
          <w:rFonts w:ascii="Times New Roman" w:eastAsia="Times New Roman" w:hAnsi="Times New Roman" w:cs="Times New Roman"/>
        </w:rPr>
        <w:t xml:space="preserve"> 44 (4): 555–67. </w:t>
      </w:r>
      <w:hyperlink r:id="rId2">
        <w:r w:rsidRPr="006620BD">
          <w:rPr>
            <w:rFonts w:ascii="Times New Roman" w:eastAsia="Times New Roman" w:hAnsi="Times New Roman" w:cs="Times New Roman"/>
            <w:color w:val="1155CC"/>
            <w:u w:val="single"/>
          </w:rPr>
          <w:t>https://doi.org/10.1525/as.2004.44.4.555</w:t>
        </w:r>
      </w:hyperlink>
      <w:r w:rsidRPr="006620BD">
        <w:rPr>
          <w:rFonts w:ascii="Times New Roman" w:eastAsia="Times New Roman" w:hAnsi="Times New Roman" w:cs="Times New Roman"/>
        </w:rPr>
        <w:t>.</w:t>
      </w:r>
    </w:p>
  </w:footnote>
  <w:footnote w:id="3">
    <w:p w14:paraId="380250F4" w14:textId="5BDFE404" w:rsidR="006620BD" w:rsidRPr="007D2FEC" w:rsidRDefault="006620BD">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w:t>
      </w:r>
      <w:proofErr w:type="spellStart"/>
      <w:r w:rsidRPr="007D2FEC">
        <w:rPr>
          <w:rFonts w:ascii="Times New Roman" w:hAnsi="Times New Roman" w:cs="Times New Roman"/>
        </w:rPr>
        <w:t>Niou</w:t>
      </w:r>
      <w:proofErr w:type="spellEnd"/>
      <w:r w:rsidRPr="007D2FEC">
        <w:rPr>
          <w:rFonts w:ascii="Times New Roman" w:hAnsi="Times New Roman" w:cs="Times New Roman"/>
        </w:rPr>
        <w:t xml:space="preserve"> (2004), p. 558.</w:t>
      </w:r>
    </w:p>
  </w:footnote>
  <w:footnote w:id="4">
    <w:p w14:paraId="529EAE35" w14:textId="2BB50DD1" w:rsidR="006620BD" w:rsidRPr="007D2FEC" w:rsidRDefault="006620BD">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503.</w:t>
      </w:r>
    </w:p>
  </w:footnote>
  <w:footnote w:id="5">
    <w:p w14:paraId="01976D45" w14:textId="7B914DC2" w:rsidR="00434B77" w:rsidRPr="007D2FEC" w:rsidRDefault="00434B77">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w:t>
      </w:r>
      <w:proofErr w:type="spellStart"/>
      <w:r w:rsidRPr="007D2FEC">
        <w:rPr>
          <w:rFonts w:ascii="Times New Roman" w:hAnsi="Times New Roman" w:cs="Times New Roman"/>
        </w:rPr>
        <w:t>Niou</w:t>
      </w:r>
      <w:proofErr w:type="spellEnd"/>
      <w:r w:rsidRPr="007D2FEC">
        <w:rPr>
          <w:rFonts w:ascii="Times New Roman" w:hAnsi="Times New Roman" w:cs="Times New Roman"/>
        </w:rPr>
        <w:t xml:space="preserve"> (2004), p. 556.</w:t>
      </w:r>
    </w:p>
  </w:footnote>
  <w:footnote w:id="6">
    <w:p w14:paraId="6B633368" w14:textId="7CF7AF11" w:rsidR="00AB7C80" w:rsidRPr="007D2FEC" w:rsidRDefault="00AB7C80">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504.</w:t>
      </w:r>
    </w:p>
  </w:footnote>
  <w:footnote w:id="7">
    <w:p w14:paraId="61941FEF" w14:textId="74EA53C8" w:rsidR="006620BD" w:rsidRDefault="006620BD">
      <w:pPr>
        <w:pStyle w:val="FootnoteText"/>
      </w:pPr>
      <w:r w:rsidRPr="007D2FEC">
        <w:rPr>
          <w:rStyle w:val="FootnoteReference"/>
          <w:rFonts w:ascii="Times New Roman" w:hAnsi="Times New Roman" w:cs="Times New Roman"/>
        </w:rPr>
        <w:footnoteRef/>
      </w:r>
      <w:r w:rsidRPr="007D2FEC">
        <w:rPr>
          <w:rFonts w:ascii="Times New Roman" w:hAnsi="Times New Roman" w:cs="Times New Roman"/>
        </w:rPr>
        <w:t xml:space="preserve"> </w:t>
      </w:r>
      <w:r w:rsidRPr="007D2FEC">
        <w:rPr>
          <w:rFonts w:ascii="Times New Roman" w:eastAsia="Times New Roman" w:hAnsi="Times New Roman" w:cs="Times New Roman"/>
          <w:lang w:val="en-US"/>
        </w:rPr>
        <w:t>Presser, Stanley, and Howard Schuman. 1980. "The Measurement of a Middle Position in Attitude Surveys." </w:t>
      </w:r>
      <w:r w:rsidRPr="007D2FEC">
        <w:rPr>
          <w:rFonts w:ascii="Times New Roman" w:eastAsia="Times New Roman" w:hAnsi="Times New Roman" w:cs="Times New Roman"/>
          <w:i/>
          <w:iCs/>
          <w:lang w:val="en-US"/>
        </w:rPr>
        <w:t>Public Opinion Quarterly</w:t>
      </w:r>
      <w:r w:rsidRPr="007D2FEC">
        <w:rPr>
          <w:rFonts w:ascii="Times New Roman" w:eastAsia="Times New Roman" w:hAnsi="Times New Roman" w:cs="Times New Roman"/>
          <w:lang w:val="en-US"/>
        </w:rPr>
        <w:t> 44 (1): 70. https://doi.org/10.1086/268567.</w:t>
      </w:r>
    </w:p>
  </w:footnote>
  <w:footnote w:id="8">
    <w:p w14:paraId="197DEA54" w14:textId="520AA269"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Chu, Yun-</w:t>
      </w:r>
      <w:proofErr w:type="spellStart"/>
      <w:r w:rsidRPr="00FD521A">
        <w:rPr>
          <w:sz w:val="20"/>
          <w:szCs w:val="20"/>
        </w:rPr>
        <w:t>han</w:t>
      </w:r>
      <w:proofErr w:type="spellEnd"/>
      <w:r w:rsidRPr="00FD521A">
        <w:rPr>
          <w:sz w:val="20"/>
          <w:szCs w:val="20"/>
        </w:rPr>
        <w:t xml:space="preserve">. 2004. “Taiwan’s National Identity Politics and the Prospect of Cross-Strait Relations.” </w:t>
      </w:r>
      <w:r w:rsidRPr="00FD521A">
        <w:rPr>
          <w:i/>
          <w:sz w:val="20"/>
          <w:szCs w:val="20"/>
        </w:rPr>
        <w:t>Asian Survey</w:t>
      </w:r>
      <w:r w:rsidRPr="00FD521A">
        <w:rPr>
          <w:sz w:val="20"/>
          <w:szCs w:val="20"/>
        </w:rPr>
        <w:t xml:space="preserve"> 44 (4): 484–512. </w:t>
      </w:r>
      <w:hyperlink r:id="rId3">
        <w:r w:rsidRPr="00FD521A">
          <w:rPr>
            <w:color w:val="1155CC"/>
            <w:sz w:val="20"/>
            <w:szCs w:val="20"/>
            <w:u w:val="single"/>
          </w:rPr>
          <w:t>https://doi.org/10.1525/as.2004.44.4.484</w:t>
        </w:r>
      </w:hyperlink>
      <w:r w:rsidRPr="00FD521A">
        <w:rPr>
          <w:sz w:val="20"/>
          <w:szCs w:val="20"/>
        </w:rPr>
        <w:t>.</w:t>
      </w:r>
      <w:r w:rsidR="006D6BE8" w:rsidRPr="00FD521A">
        <w:rPr>
          <w:sz w:val="20"/>
          <w:szCs w:val="20"/>
        </w:rPr>
        <w:t xml:space="preserve"> p. 486.</w:t>
      </w:r>
    </w:p>
  </w:footnote>
  <w:footnote w:id="9">
    <w:p w14:paraId="01119DA3" w14:textId="2A9B85AA" w:rsidR="006D6BE8" w:rsidRPr="00FD521A" w:rsidRDefault="006D6BE8">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00CA541C" w:rsidRPr="00FD521A">
        <w:rPr>
          <w:rFonts w:ascii="Times New Roman" w:hAnsi="Times New Roman" w:cs="Times New Roman"/>
          <w:lang w:val="en-US"/>
        </w:rPr>
        <w:t xml:space="preserve">Tang, </w:t>
      </w:r>
      <w:proofErr w:type="spellStart"/>
      <w:r w:rsidR="00CA541C" w:rsidRPr="00FD521A">
        <w:rPr>
          <w:rFonts w:ascii="Times New Roman" w:hAnsi="Times New Roman" w:cs="Times New Roman"/>
          <w:lang w:val="en-US"/>
        </w:rPr>
        <w:t>Wenfang</w:t>
      </w:r>
      <w:proofErr w:type="spellEnd"/>
      <w:r w:rsidR="00CA541C" w:rsidRPr="00FD521A">
        <w:rPr>
          <w:rFonts w:ascii="Times New Roman" w:hAnsi="Times New Roman" w:cs="Times New Roman"/>
          <w:lang w:val="en-US"/>
        </w:rPr>
        <w:t xml:space="preserve">. 2007. “Nationalism and Electoral Outcome in Taiwan: The Impact of Identity Fence-Sitting on Voting </w:t>
      </w:r>
      <w:proofErr w:type="spellStart"/>
      <w:r w:rsidR="00CA541C" w:rsidRPr="00FD521A">
        <w:rPr>
          <w:rFonts w:ascii="Times New Roman" w:hAnsi="Times New Roman" w:cs="Times New Roman"/>
          <w:lang w:val="en-US"/>
        </w:rPr>
        <w:t>Behaviour</w:t>
      </w:r>
      <w:proofErr w:type="spellEnd"/>
      <w:r w:rsidR="00CA541C" w:rsidRPr="00FD521A">
        <w:rPr>
          <w:rFonts w:ascii="Times New Roman" w:hAnsi="Times New Roman" w:cs="Times New Roman"/>
          <w:lang w:val="en-US"/>
        </w:rPr>
        <w:t xml:space="preserve">.” </w:t>
      </w:r>
      <w:r w:rsidR="00CA541C" w:rsidRPr="00FD521A">
        <w:rPr>
          <w:rFonts w:ascii="Times New Roman" w:hAnsi="Times New Roman" w:cs="Times New Roman"/>
          <w:i/>
          <w:iCs/>
          <w:lang w:val="en-US"/>
        </w:rPr>
        <w:t>The Chinese Journal of International Politics</w:t>
      </w:r>
      <w:r w:rsidR="00CA541C" w:rsidRPr="00FD521A">
        <w:rPr>
          <w:rFonts w:ascii="Times New Roman" w:hAnsi="Times New Roman" w:cs="Times New Roman"/>
          <w:lang w:val="en-US"/>
        </w:rPr>
        <w:t xml:space="preserve"> 1 (4): 481–96. </w:t>
      </w:r>
      <w:hyperlink r:id="rId4" w:history="1">
        <w:r w:rsidR="00CA541C" w:rsidRPr="00FD521A">
          <w:rPr>
            <w:rStyle w:val="Hyperlink"/>
            <w:rFonts w:ascii="Times New Roman" w:hAnsi="Times New Roman" w:cs="Times New Roman"/>
            <w:lang w:val="en-US"/>
          </w:rPr>
          <w:t>https://doi.org/10.1093/cjip/pom010</w:t>
        </w:r>
      </w:hyperlink>
      <w:r w:rsidR="00CA541C" w:rsidRPr="00FD521A">
        <w:rPr>
          <w:rFonts w:ascii="Times New Roman" w:hAnsi="Times New Roman" w:cs="Times New Roman"/>
          <w:lang w:val="en-US"/>
        </w:rPr>
        <w:t>. p. 493.</w:t>
      </w:r>
    </w:p>
  </w:footnote>
  <w:footnote w:id="10">
    <w:p w14:paraId="0E9352BD" w14:textId="77777777"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Sobel, Richard, William-Arthur Haynes, and Yu Zheng. 2010. “The Polls—Trends: Taiwan Public Opinion Trends, 1992–2008: Exploring Attitudes </w:t>
      </w:r>
      <w:proofErr w:type="gramStart"/>
      <w:r w:rsidRPr="00FD521A">
        <w:rPr>
          <w:sz w:val="20"/>
          <w:szCs w:val="20"/>
        </w:rPr>
        <w:t>On</w:t>
      </w:r>
      <w:proofErr w:type="gramEnd"/>
      <w:r w:rsidRPr="00FD521A">
        <w:rPr>
          <w:sz w:val="20"/>
          <w:szCs w:val="20"/>
        </w:rPr>
        <w:t xml:space="preserve"> Cross-Strait Issues.” </w:t>
      </w:r>
      <w:r w:rsidRPr="00FD521A">
        <w:rPr>
          <w:i/>
          <w:sz w:val="20"/>
          <w:szCs w:val="20"/>
        </w:rPr>
        <w:t>Public Opinion Quarterly</w:t>
      </w:r>
      <w:r w:rsidRPr="00FD521A">
        <w:rPr>
          <w:sz w:val="20"/>
          <w:szCs w:val="20"/>
        </w:rPr>
        <w:t xml:space="preserve"> 74 (4): 782–813. </w:t>
      </w:r>
      <w:hyperlink r:id="rId5">
        <w:r w:rsidRPr="00FD521A">
          <w:rPr>
            <w:color w:val="1155CC"/>
            <w:sz w:val="20"/>
            <w:szCs w:val="20"/>
            <w:u w:val="single"/>
          </w:rPr>
          <w:t>https://doi.org/10.1093/poq/nfq045</w:t>
        </w:r>
      </w:hyperlink>
      <w:r w:rsidRPr="00FD521A">
        <w:rPr>
          <w:sz w:val="20"/>
          <w:szCs w:val="20"/>
        </w:rPr>
        <w:t>.</w:t>
      </w:r>
    </w:p>
  </w:footnote>
  <w:footnote w:id="11">
    <w:p w14:paraId="40B16733" w14:textId="77777777" w:rsidR="00CA541C" w:rsidRPr="00FD521A" w:rsidRDefault="00CA541C" w:rsidP="00CA541C">
      <w:pPr>
        <w:rPr>
          <w:sz w:val="20"/>
          <w:szCs w:val="20"/>
        </w:rPr>
      </w:pPr>
      <w:r w:rsidRPr="00FD521A">
        <w:rPr>
          <w:sz w:val="20"/>
          <w:szCs w:val="20"/>
          <w:vertAlign w:val="superscript"/>
        </w:rPr>
        <w:footnoteRef/>
      </w:r>
      <w:r w:rsidRPr="00FD521A">
        <w:rPr>
          <w:sz w:val="20"/>
          <w:szCs w:val="20"/>
        </w:rPr>
        <w:t xml:space="preserve"> Wang, T. Y. “Changing Boundaries: The Development of the Taiwan Voters’ Identity.” In </w:t>
      </w:r>
      <w:r w:rsidRPr="00FD521A">
        <w:rPr>
          <w:i/>
          <w:sz w:val="20"/>
          <w:szCs w:val="20"/>
        </w:rPr>
        <w:t>The Taiwan Voter</w:t>
      </w:r>
      <w:r w:rsidRPr="00FD521A">
        <w:rPr>
          <w:sz w:val="20"/>
          <w:szCs w:val="20"/>
        </w:rPr>
        <w:t>, edited by T. Y. Wang and Christopher H. Achen, 45–70. University of Michigan Press, 2017. http://www.jstor.org/stable/j.ctvndv9z7.6.</w:t>
      </w:r>
    </w:p>
  </w:footnote>
  <w:footnote w:id="12">
    <w:p w14:paraId="44D9D54E" w14:textId="77777777"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Wang, Austin Horng-En, Charles K S Wu, Fang-Yu Chen, and Yao-Yuan Yeh. 2025. “Undercurrent in Taiwan: Nationalism and Calculation of the Cross-Strait Relations (2002–2022).” </w:t>
      </w:r>
      <w:r w:rsidRPr="00FD521A">
        <w:rPr>
          <w:i/>
          <w:sz w:val="20"/>
          <w:szCs w:val="20"/>
        </w:rPr>
        <w:t>Public Opinion Quarterly</w:t>
      </w:r>
      <w:r w:rsidRPr="00FD521A">
        <w:rPr>
          <w:sz w:val="20"/>
          <w:szCs w:val="20"/>
        </w:rPr>
        <w:t xml:space="preserve">, February, nfae063. </w:t>
      </w:r>
      <w:hyperlink r:id="rId6">
        <w:r w:rsidRPr="00FD521A">
          <w:rPr>
            <w:color w:val="1155CC"/>
            <w:sz w:val="20"/>
            <w:szCs w:val="20"/>
            <w:u w:val="single"/>
          </w:rPr>
          <w:t>https://doi.org/10.1093/poq/nfae063</w:t>
        </w:r>
      </w:hyperlink>
      <w:r w:rsidRPr="00FD521A">
        <w:rPr>
          <w:sz w:val="20"/>
          <w:szCs w:val="20"/>
        </w:rPr>
        <w:t>.</w:t>
      </w:r>
    </w:p>
  </w:footnote>
  <w:footnote w:id="13">
    <w:p w14:paraId="523D44E9" w14:textId="42485CB9" w:rsidR="00CA541C" w:rsidRPr="00CA541C" w:rsidRDefault="00CA541C">
      <w:pPr>
        <w:pStyle w:val="FootnoteText"/>
        <w:rPr>
          <w:rFonts w:ascii="Times New Roman" w:hAnsi="Times New Roman" w:cs="Times New Roman"/>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proofErr w:type="spellStart"/>
      <w:r w:rsidRPr="00FD521A">
        <w:rPr>
          <w:rFonts w:ascii="Times New Roman" w:hAnsi="Times New Roman" w:cs="Times New Roman"/>
        </w:rPr>
        <w:t>Niou</w:t>
      </w:r>
      <w:proofErr w:type="spellEnd"/>
      <w:r w:rsidRPr="00FD521A">
        <w:rPr>
          <w:rFonts w:ascii="Times New Roman" w:hAnsi="Times New Roman" w:cs="Times New Roman"/>
        </w:rPr>
        <w:t xml:space="preserve"> (2004), p. 556.</w:t>
      </w:r>
    </w:p>
  </w:footnote>
  <w:footnote w:id="14">
    <w:p w14:paraId="659A59CF" w14:textId="77777777" w:rsidR="00654DCB" w:rsidRPr="00FD521A" w:rsidRDefault="00654DCB" w:rsidP="00654DCB">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hAnsi="Times New Roman" w:cs="Times New Roman"/>
          <w:lang w:val="en-US"/>
        </w:rPr>
        <w:t xml:space="preserve">Moors, Guy. 2008. “Exploring the Effect of a Middle Response Category on Response Style in Attitude Measurement.” </w:t>
      </w:r>
      <w:r w:rsidRPr="00FD521A">
        <w:rPr>
          <w:rFonts w:ascii="Times New Roman" w:hAnsi="Times New Roman" w:cs="Times New Roman"/>
          <w:i/>
          <w:iCs/>
          <w:lang w:val="en-US"/>
        </w:rPr>
        <w:t>Quality &amp; Quantity</w:t>
      </w:r>
      <w:r w:rsidRPr="00FD521A">
        <w:rPr>
          <w:rFonts w:ascii="Times New Roman" w:hAnsi="Times New Roman" w:cs="Times New Roman"/>
          <w:lang w:val="en-US"/>
        </w:rPr>
        <w:t xml:space="preserve"> 42 (6): 779–94. </w:t>
      </w:r>
      <w:hyperlink r:id="rId7" w:history="1">
        <w:r w:rsidRPr="00FD521A">
          <w:rPr>
            <w:rStyle w:val="Hyperlink"/>
            <w:rFonts w:ascii="Times New Roman" w:hAnsi="Times New Roman" w:cs="Times New Roman"/>
            <w:lang w:val="en-US"/>
          </w:rPr>
          <w:t>https://doi.org/10.1007/s11135-006-9067-x</w:t>
        </w:r>
      </w:hyperlink>
      <w:r w:rsidRPr="00FD521A">
        <w:rPr>
          <w:rFonts w:ascii="Times New Roman" w:hAnsi="Times New Roman" w:cs="Times New Roman"/>
          <w:lang w:val="en-US"/>
        </w:rPr>
        <w:t>.</w:t>
      </w:r>
    </w:p>
  </w:footnote>
  <w:footnote w:id="15">
    <w:p w14:paraId="6D744246" w14:textId="77777777" w:rsidR="00654DCB" w:rsidRPr="00FD521A" w:rsidRDefault="00654DCB" w:rsidP="00654DCB">
      <w:pPr>
        <w:pStyle w:val="FootnoteText"/>
        <w:rPr>
          <w:rFonts w:ascii="Times New Roman" w:hAnsi="Times New Roman" w:cs="Times New Roman"/>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eastAsia="Times New Roman" w:hAnsi="Times New Roman" w:cs="Times New Roman"/>
          <w:lang w:val="en-US"/>
        </w:rPr>
        <w:t>Presser, Stanley, and Howard Schuman. 1980. "The Measurement of a Middle Position in Attitude Surveys." </w:t>
      </w:r>
      <w:r w:rsidRPr="00FD521A">
        <w:rPr>
          <w:rFonts w:ascii="Times New Roman" w:eastAsia="Times New Roman" w:hAnsi="Times New Roman" w:cs="Times New Roman"/>
          <w:i/>
          <w:iCs/>
          <w:lang w:val="en-US"/>
        </w:rPr>
        <w:t>Public Opinion Quarterly</w:t>
      </w:r>
      <w:r w:rsidRPr="00FD521A">
        <w:rPr>
          <w:rFonts w:ascii="Times New Roman" w:eastAsia="Times New Roman" w:hAnsi="Times New Roman" w:cs="Times New Roman"/>
          <w:lang w:val="en-US"/>
        </w:rPr>
        <w:t> 44 (1): 70. https://doi.org/10.1086/268567.</w:t>
      </w:r>
    </w:p>
  </w:footnote>
  <w:footnote w:id="16">
    <w:p w14:paraId="43289DC3" w14:textId="6AF8FB3A" w:rsidR="00CA541C" w:rsidRPr="00FD521A" w:rsidRDefault="00CA541C">
      <w:pPr>
        <w:pStyle w:val="FootnoteText"/>
        <w:rPr>
          <w:rFonts w:ascii="Times New Roman" w:hAnsi="Times New Roman" w:cs="Times New Roman"/>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Wang et al. (2025), p. 2; Sobel et al. (2010), p. 785.</w:t>
      </w:r>
    </w:p>
  </w:footnote>
  <w:footnote w:id="17">
    <w:p w14:paraId="0EEA6861" w14:textId="7BEB83BB" w:rsidR="001332A6" w:rsidRPr="00FD521A" w:rsidRDefault="001332A6" w:rsidP="001332A6">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hAnsi="Times New Roman" w:cs="Times New Roman"/>
          <w:lang w:val="en-US"/>
        </w:rPr>
        <w:t>Chu, Yun-</w:t>
      </w:r>
      <w:proofErr w:type="spellStart"/>
      <w:r w:rsidRPr="00FD521A">
        <w:rPr>
          <w:rFonts w:ascii="Times New Roman" w:hAnsi="Times New Roman" w:cs="Times New Roman"/>
          <w:lang w:val="en-US"/>
        </w:rPr>
        <w:t>han</w:t>
      </w:r>
      <w:proofErr w:type="spellEnd"/>
      <w:r w:rsidRPr="00FD521A">
        <w:rPr>
          <w:rFonts w:ascii="Times New Roman" w:hAnsi="Times New Roman" w:cs="Times New Roman"/>
          <w:lang w:val="en-US"/>
        </w:rPr>
        <w:t xml:space="preserve">. 2004. “Taiwan’s National Identity Politics and the Prospect of Cross-Strait Relations.” </w:t>
      </w:r>
      <w:r w:rsidRPr="00FD521A">
        <w:rPr>
          <w:rFonts w:ascii="Times New Roman" w:hAnsi="Times New Roman" w:cs="Times New Roman"/>
          <w:i/>
          <w:iCs/>
          <w:lang w:val="en-US"/>
        </w:rPr>
        <w:t>Asian Survey</w:t>
      </w:r>
      <w:r w:rsidRPr="00FD521A">
        <w:rPr>
          <w:rFonts w:ascii="Times New Roman" w:hAnsi="Times New Roman" w:cs="Times New Roman"/>
          <w:lang w:val="en-US"/>
        </w:rPr>
        <w:t xml:space="preserve"> 44 (4): 484–512. </w:t>
      </w:r>
      <w:hyperlink r:id="rId8" w:history="1">
        <w:r w:rsidRPr="00FD521A">
          <w:rPr>
            <w:rStyle w:val="Hyperlink"/>
            <w:rFonts w:ascii="Times New Roman" w:hAnsi="Times New Roman" w:cs="Times New Roman"/>
            <w:lang w:val="en-US"/>
          </w:rPr>
          <w:t>https://doi.org/10.1525/as.2004.44.4.484</w:t>
        </w:r>
      </w:hyperlink>
      <w:r w:rsidRPr="00FD521A">
        <w:rPr>
          <w:rFonts w:ascii="Times New Roman" w:hAnsi="Times New Roman" w:cs="Times New Roman"/>
          <w:lang w:val="en-US"/>
        </w:rPr>
        <w:t xml:space="preserve">. p. </w:t>
      </w:r>
      <w:r w:rsidR="007D2FEC" w:rsidRPr="00FD521A">
        <w:rPr>
          <w:rFonts w:ascii="Times New Roman" w:hAnsi="Times New Roman" w:cs="Times New Roman"/>
          <w:lang w:val="en-US"/>
        </w:rPr>
        <w:t>503.</w:t>
      </w:r>
    </w:p>
    <w:p w14:paraId="51B3181F" w14:textId="77777777" w:rsidR="001332A6" w:rsidRPr="004115DA" w:rsidRDefault="001332A6" w:rsidP="001332A6">
      <w:pPr>
        <w:pStyle w:val="FootnoteText"/>
        <w:rPr>
          <w:lang w:val="en-US"/>
        </w:rPr>
      </w:pPr>
    </w:p>
  </w:footnote>
  <w:footnote w:id="18">
    <w:p w14:paraId="1E63F037" w14:textId="77777777" w:rsidR="00993B11" w:rsidRPr="007D2FEC" w:rsidRDefault="00993B11" w:rsidP="00993B11">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503.</w:t>
      </w:r>
    </w:p>
  </w:footnote>
  <w:footnote w:id="19">
    <w:p w14:paraId="4C899BC2" w14:textId="1E521668" w:rsidR="00130EB7" w:rsidRDefault="00130EB7">
      <w:pPr>
        <w:pStyle w:val="FootnoteText"/>
      </w:pPr>
      <w:r w:rsidRPr="007D2FEC">
        <w:rPr>
          <w:rStyle w:val="FootnoteReference"/>
          <w:rFonts w:ascii="Times New Roman" w:hAnsi="Times New Roman" w:cs="Times New Roman"/>
        </w:rPr>
        <w:footnoteRef/>
      </w:r>
      <w:r w:rsidRPr="007D2FEC">
        <w:rPr>
          <w:rFonts w:ascii="Times New Roman" w:hAnsi="Times New Roman" w:cs="Times New Roman"/>
        </w:rPr>
        <w:t xml:space="preserve"> </w:t>
      </w:r>
      <w:proofErr w:type="spellStart"/>
      <w:r w:rsidRPr="007D2FEC">
        <w:rPr>
          <w:rFonts w:ascii="Times New Roman" w:hAnsi="Times New Roman" w:cs="Times New Roman"/>
        </w:rPr>
        <w:t>Niou</w:t>
      </w:r>
      <w:proofErr w:type="spellEnd"/>
      <w:r w:rsidRPr="007D2FEC">
        <w:rPr>
          <w:rFonts w:ascii="Times New Roman" w:hAnsi="Times New Roman" w:cs="Times New Roman"/>
        </w:rPr>
        <w:t xml:space="preserve"> (2004), p. 562.</w:t>
      </w:r>
    </w:p>
  </w:footnote>
  <w:footnote w:id="20">
    <w:p w14:paraId="75703CA3" w14:textId="10CEA99D" w:rsidR="007D2FEC" w:rsidRPr="007D2FEC" w:rsidRDefault="007D2FEC">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Wang et al. (2025), p. 7</w:t>
      </w:r>
      <w:r>
        <w:rPr>
          <w:rFonts w:ascii="Times New Roman" w:hAnsi="Times New Roman" w:cs="Times New Roman" w:hint="eastAsia"/>
        </w:rPr>
        <w:t>.</w:t>
      </w:r>
    </w:p>
  </w:footnote>
  <w:footnote w:id="21">
    <w:p w14:paraId="3FE4C99E" w14:textId="632400C5" w:rsidR="007D2FEC" w:rsidRPr="007D2FEC" w:rsidRDefault="007D2FEC">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w:t>
      </w:r>
      <w:proofErr w:type="spellStart"/>
      <w:r w:rsidRPr="007D2FEC">
        <w:rPr>
          <w:rFonts w:ascii="Times New Roman" w:hAnsi="Times New Roman" w:cs="Times New Roman"/>
        </w:rPr>
        <w:t>Niou</w:t>
      </w:r>
      <w:proofErr w:type="spellEnd"/>
      <w:r w:rsidRPr="007D2FEC">
        <w:rPr>
          <w:rFonts w:ascii="Times New Roman" w:hAnsi="Times New Roman" w:cs="Times New Roman"/>
        </w:rPr>
        <w:t xml:space="preserve"> (2004), p. 564.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86D71" w14:textId="307508A8" w:rsidR="00AA09B2" w:rsidRPr="00AA09B2" w:rsidRDefault="00AA09B2">
    <w:pPr>
      <w:pStyle w:val="Header"/>
      <w:rPr>
        <w:rFonts w:ascii="Times New Roman" w:hAnsi="Times New Roman" w:cs="Times New Roman"/>
        <w:sz w:val="24"/>
        <w:szCs w:val="24"/>
      </w:rPr>
    </w:pPr>
    <w:r w:rsidRPr="00AA09B2">
      <w:rPr>
        <w:rFonts w:ascii="Times New Roman" w:hAnsi="Times New Roman" w:cs="Times New Roman"/>
        <w:sz w:val="24"/>
        <w:szCs w:val="24"/>
      </w:rPr>
      <w:t>Guanzheng Sun</w:t>
    </w:r>
  </w:p>
  <w:p w14:paraId="04330462" w14:textId="77777777" w:rsidR="00AA09B2" w:rsidRPr="00AA09B2" w:rsidRDefault="00AA09B2" w:rsidP="00AA09B2">
    <w:pPr>
      <w:pStyle w:val="Header"/>
      <w:rPr>
        <w:rFonts w:ascii="Times New Roman" w:hAnsi="Times New Roman" w:cs="Times New Roman"/>
        <w:sz w:val="24"/>
        <w:szCs w:val="24"/>
        <w:lang w:val="en-US"/>
      </w:rPr>
    </w:pPr>
    <w:r w:rsidRPr="00AA09B2">
      <w:rPr>
        <w:rFonts w:ascii="Times New Roman" w:hAnsi="Times New Roman" w:cs="Times New Roman"/>
        <w:sz w:val="24"/>
        <w:szCs w:val="24"/>
        <w:lang w:val="en-US"/>
      </w:rPr>
      <w:t>PLSC 42701 - Seminar in Chinese Politics</w:t>
    </w:r>
  </w:p>
  <w:p w14:paraId="04E7B2A2" w14:textId="77777777" w:rsidR="00AA09B2" w:rsidRDefault="00AA0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114F5"/>
    <w:multiLevelType w:val="hybridMultilevel"/>
    <w:tmpl w:val="CE0C58DC"/>
    <w:lvl w:ilvl="0" w:tplc="A63AA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A6F03"/>
    <w:multiLevelType w:val="hybridMultilevel"/>
    <w:tmpl w:val="CBE6F38C"/>
    <w:lvl w:ilvl="0" w:tplc="42DEA7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5600"/>
    <w:multiLevelType w:val="hybridMultilevel"/>
    <w:tmpl w:val="EE480578"/>
    <w:lvl w:ilvl="0" w:tplc="02724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0310E0"/>
    <w:multiLevelType w:val="hybridMultilevel"/>
    <w:tmpl w:val="FD9CE650"/>
    <w:lvl w:ilvl="0" w:tplc="EDAEA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E2900"/>
    <w:multiLevelType w:val="multilevel"/>
    <w:tmpl w:val="395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D2999"/>
    <w:multiLevelType w:val="hybridMultilevel"/>
    <w:tmpl w:val="EBBC4C08"/>
    <w:lvl w:ilvl="0" w:tplc="BAC6C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005881">
    <w:abstractNumId w:val="4"/>
  </w:num>
  <w:num w:numId="2" w16cid:durableId="1295453377">
    <w:abstractNumId w:val="3"/>
  </w:num>
  <w:num w:numId="3" w16cid:durableId="1382821819">
    <w:abstractNumId w:val="5"/>
  </w:num>
  <w:num w:numId="4" w16cid:durableId="36399010">
    <w:abstractNumId w:val="2"/>
  </w:num>
  <w:num w:numId="5" w16cid:durableId="1326006063">
    <w:abstractNumId w:val="1"/>
  </w:num>
  <w:num w:numId="6" w16cid:durableId="64377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14"/>
    <w:rsid w:val="0000679D"/>
    <w:rsid w:val="000320A3"/>
    <w:rsid w:val="00051164"/>
    <w:rsid w:val="00096F91"/>
    <w:rsid w:val="000C77D7"/>
    <w:rsid w:val="000C7EA5"/>
    <w:rsid w:val="000F0068"/>
    <w:rsid w:val="00121045"/>
    <w:rsid w:val="00127BA3"/>
    <w:rsid w:val="00130EB7"/>
    <w:rsid w:val="001332A6"/>
    <w:rsid w:val="001572B9"/>
    <w:rsid w:val="001617DE"/>
    <w:rsid w:val="00173A16"/>
    <w:rsid w:val="00175137"/>
    <w:rsid w:val="00193025"/>
    <w:rsid w:val="001E644C"/>
    <w:rsid w:val="00217751"/>
    <w:rsid w:val="00237AB9"/>
    <w:rsid w:val="00271C4D"/>
    <w:rsid w:val="00291979"/>
    <w:rsid w:val="002C32E8"/>
    <w:rsid w:val="002F5239"/>
    <w:rsid w:val="00325827"/>
    <w:rsid w:val="0032657B"/>
    <w:rsid w:val="003E067F"/>
    <w:rsid w:val="003F3446"/>
    <w:rsid w:val="004115DA"/>
    <w:rsid w:val="00417FDE"/>
    <w:rsid w:val="004277C4"/>
    <w:rsid w:val="00431C56"/>
    <w:rsid w:val="00434B77"/>
    <w:rsid w:val="00444D6F"/>
    <w:rsid w:val="004467DF"/>
    <w:rsid w:val="00447CB8"/>
    <w:rsid w:val="004B185A"/>
    <w:rsid w:val="004D213F"/>
    <w:rsid w:val="004D42B9"/>
    <w:rsid w:val="004E2B25"/>
    <w:rsid w:val="004E79F9"/>
    <w:rsid w:val="0053077D"/>
    <w:rsid w:val="005327BD"/>
    <w:rsid w:val="00571C31"/>
    <w:rsid w:val="005876FE"/>
    <w:rsid w:val="005B16B1"/>
    <w:rsid w:val="005D0F21"/>
    <w:rsid w:val="005E1CE2"/>
    <w:rsid w:val="00625020"/>
    <w:rsid w:val="00625814"/>
    <w:rsid w:val="00654DCB"/>
    <w:rsid w:val="006620BD"/>
    <w:rsid w:val="00676876"/>
    <w:rsid w:val="006855CB"/>
    <w:rsid w:val="00687E41"/>
    <w:rsid w:val="006A62E1"/>
    <w:rsid w:val="006C3425"/>
    <w:rsid w:val="006C40AE"/>
    <w:rsid w:val="006D6BE8"/>
    <w:rsid w:val="006E4FA0"/>
    <w:rsid w:val="006E631A"/>
    <w:rsid w:val="006F1E23"/>
    <w:rsid w:val="0070060E"/>
    <w:rsid w:val="007532FF"/>
    <w:rsid w:val="007D2FEC"/>
    <w:rsid w:val="007D76D9"/>
    <w:rsid w:val="00836102"/>
    <w:rsid w:val="00864364"/>
    <w:rsid w:val="00873B3B"/>
    <w:rsid w:val="0088064A"/>
    <w:rsid w:val="008B154D"/>
    <w:rsid w:val="00901549"/>
    <w:rsid w:val="00962007"/>
    <w:rsid w:val="00976DBD"/>
    <w:rsid w:val="00993B11"/>
    <w:rsid w:val="009A01D0"/>
    <w:rsid w:val="009A1545"/>
    <w:rsid w:val="009B712F"/>
    <w:rsid w:val="009C2BCB"/>
    <w:rsid w:val="009C3A48"/>
    <w:rsid w:val="009F73CB"/>
    <w:rsid w:val="00A01F2C"/>
    <w:rsid w:val="00A07F76"/>
    <w:rsid w:val="00A94C42"/>
    <w:rsid w:val="00AA09B2"/>
    <w:rsid w:val="00AB6CF0"/>
    <w:rsid w:val="00AB7C80"/>
    <w:rsid w:val="00AD3A18"/>
    <w:rsid w:val="00B343AA"/>
    <w:rsid w:val="00B410C2"/>
    <w:rsid w:val="00B42344"/>
    <w:rsid w:val="00B435A7"/>
    <w:rsid w:val="00B44A69"/>
    <w:rsid w:val="00B66684"/>
    <w:rsid w:val="00B9656C"/>
    <w:rsid w:val="00BA181D"/>
    <w:rsid w:val="00BD24D3"/>
    <w:rsid w:val="00BD2DCF"/>
    <w:rsid w:val="00BE3A25"/>
    <w:rsid w:val="00C200D7"/>
    <w:rsid w:val="00C252BA"/>
    <w:rsid w:val="00C5428F"/>
    <w:rsid w:val="00C63AD7"/>
    <w:rsid w:val="00CA089F"/>
    <w:rsid w:val="00CA22F5"/>
    <w:rsid w:val="00CA541C"/>
    <w:rsid w:val="00CB07A1"/>
    <w:rsid w:val="00CB3176"/>
    <w:rsid w:val="00CC4565"/>
    <w:rsid w:val="00CE07F2"/>
    <w:rsid w:val="00CE4EF5"/>
    <w:rsid w:val="00CF0135"/>
    <w:rsid w:val="00D4106F"/>
    <w:rsid w:val="00D54E19"/>
    <w:rsid w:val="00D71535"/>
    <w:rsid w:val="00D76A7D"/>
    <w:rsid w:val="00D82796"/>
    <w:rsid w:val="00DE745D"/>
    <w:rsid w:val="00DF225B"/>
    <w:rsid w:val="00E34967"/>
    <w:rsid w:val="00E47127"/>
    <w:rsid w:val="00E87C37"/>
    <w:rsid w:val="00E90209"/>
    <w:rsid w:val="00EE2938"/>
    <w:rsid w:val="00F26B0B"/>
    <w:rsid w:val="00F46AFE"/>
    <w:rsid w:val="00F61B7D"/>
    <w:rsid w:val="00F847B7"/>
    <w:rsid w:val="00FD521A"/>
    <w:rsid w:val="00FE74C6"/>
    <w:rsid w:val="00FF501A"/>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F687"/>
  <w15:chartTrackingRefBased/>
  <w15:docId w15:val="{9A3EA58B-1E5C-0845-940B-F665C886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3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25814"/>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
    </w:rPr>
  </w:style>
  <w:style w:type="paragraph" w:styleId="Heading2">
    <w:name w:val="heading 2"/>
    <w:basedOn w:val="Normal"/>
    <w:next w:val="Normal"/>
    <w:link w:val="Heading2Char"/>
    <w:uiPriority w:val="9"/>
    <w:semiHidden/>
    <w:unhideWhenUsed/>
    <w:qFormat/>
    <w:rsid w:val="00625814"/>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
    </w:rPr>
  </w:style>
  <w:style w:type="paragraph" w:styleId="Heading3">
    <w:name w:val="heading 3"/>
    <w:basedOn w:val="Normal"/>
    <w:next w:val="Normal"/>
    <w:link w:val="Heading3Char"/>
    <w:uiPriority w:val="9"/>
    <w:unhideWhenUsed/>
    <w:qFormat/>
    <w:rsid w:val="00625814"/>
    <w:pPr>
      <w:keepNext/>
      <w:keepLines/>
      <w:spacing w:before="160" w:after="80" w:line="276" w:lineRule="auto"/>
      <w:outlineLvl w:val="2"/>
    </w:pPr>
    <w:rPr>
      <w:rFonts w:ascii="Arial" w:eastAsiaTheme="majorEastAsia" w:hAnsi="Arial" w:cstheme="majorBidi"/>
      <w:color w:val="0F4761" w:themeColor="accent1" w:themeShade="BF"/>
      <w:sz w:val="28"/>
      <w:szCs w:val="28"/>
      <w:lang w:val="en"/>
    </w:rPr>
  </w:style>
  <w:style w:type="paragraph" w:styleId="Heading4">
    <w:name w:val="heading 4"/>
    <w:basedOn w:val="Normal"/>
    <w:next w:val="Normal"/>
    <w:link w:val="Heading4Char"/>
    <w:uiPriority w:val="9"/>
    <w:semiHidden/>
    <w:unhideWhenUsed/>
    <w:qFormat/>
    <w:rsid w:val="00625814"/>
    <w:pPr>
      <w:keepNext/>
      <w:keepLines/>
      <w:spacing w:before="80" w:after="40" w:line="276" w:lineRule="auto"/>
      <w:outlineLvl w:val="3"/>
    </w:pPr>
    <w:rPr>
      <w:rFonts w:ascii="Arial" w:eastAsiaTheme="majorEastAsia" w:hAnsi="Arial" w:cstheme="majorBidi"/>
      <w:i/>
      <w:iCs/>
      <w:color w:val="0F4761" w:themeColor="accent1" w:themeShade="BF"/>
      <w:sz w:val="22"/>
      <w:szCs w:val="22"/>
      <w:lang w:val="en"/>
    </w:rPr>
  </w:style>
  <w:style w:type="paragraph" w:styleId="Heading5">
    <w:name w:val="heading 5"/>
    <w:basedOn w:val="Normal"/>
    <w:next w:val="Normal"/>
    <w:link w:val="Heading5Char"/>
    <w:uiPriority w:val="9"/>
    <w:semiHidden/>
    <w:unhideWhenUsed/>
    <w:qFormat/>
    <w:rsid w:val="00625814"/>
    <w:pPr>
      <w:keepNext/>
      <w:keepLines/>
      <w:spacing w:before="80" w:after="40" w:line="276" w:lineRule="auto"/>
      <w:outlineLvl w:val="4"/>
    </w:pPr>
    <w:rPr>
      <w:rFonts w:ascii="Arial" w:eastAsiaTheme="majorEastAsia" w:hAnsi="Arial" w:cstheme="majorBidi"/>
      <w:color w:val="0F4761" w:themeColor="accent1" w:themeShade="BF"/>
      <w:sz w:val="22"/>
      <w:szCs w:val="22"/>
      <w:lang w:val="en"/>
    </w:rPr>
  </w:style>
  <w:style w:type="paragraph" w:styleId="Heading6">
    <w:name w:val="heading 6"/>
    <w:basedOn w:val="Normal"/>
    <w:next w:val="Normal"/>
    <w:link w:val="Heading6Char"/>
    <w:uiPriority w:val="9"/>
    <w:semiHidden/>
    <w:unhideWhenUsed/>
    <w:qFormat/>
    <w:rsid w:val="00625814"/>
    <w:pPr>
      <w:keepNext/>
      <w:keepLines/>
      <w:spacing w:before="40" w:line="276" w:lineRule="auto"/>
      <w:outlineLvl w:val="5"/>
    </w:pPr>
    <w:rPr>
      <w:rFonts w:ascii="Arial" w:eastAsiaTheme="majorEastAsia" w:hAnsi="Arial" w:cstheme="majorBidi"/>
      <w:i/>
      <w:iCs/>
      <w:color w:val="595959" w:themeColor="text1" w:themeTint="A6"/>
      <w:sz w:val="22"/>
      <w:szCs w:val="22"/>
      <w:lang w:val="en"/>
    </w:rPr>
  </w:style>
  <w:style w:type="paragraph" w:styleId="Heading7">
    <w:name w:val="heading 7"/>
    <w:basedOn w:val="Normal"/>
    <w:next w:val="Normal"/>
    <w:link w:val="Heading7Char"/>
    <w:uiPriority w:val="9"/>
    <w:semiHidden/>
    <w:unhideWhenUsed/>
    <w:qFormat/>
    <w:rsid w:val="00625814"/>
    <w:pPr>
      <w:keepNext/>
      <w:keepLines/>
      <w:spacing w:before="40" w:line="276" w:lineRule="auto"/>
      <w:outlineLvl w:val="6"/>
    </w:pPr>
    <w:rPr>
      <w:rFonts w:ascii="Arial" w:eastAsiaTheme="majorEastAsia" w:hAnsi="Arial" w:cstheme="majorBidi"/>
      <w:color w:val="595959" w:themeColor="text1" w:themeTint="A6"/>
      <w:sz w:val="22"/>
      <w:szCs w:val="22"/>
      <w:lang w:val="en"/>
    </w:rPr>
  </w:style>
  <w:style w:type="paragraph" w:styleId="Heading8">
    <w:name w:val="heading 8"/>
    <w:basedOn w:val="Normal"/>
    <w:next w:val="Normal"/>
    <w:link w:val="Heading8Char"/>
    <w:uiPriority w:val="9"/>
    <w:semiHidden/>
    <w:unhideWhenUsed/>
    <w:qFormat/>
    <w:rsid w:val="00625814"/>
    <w:pPr>
      <w:keepNext/>
      <w:keepLines/>
      <w:spacing w:line="276" w:lineRule="auto"/>
      <w:outlineLvl w:val="7"/>
    </w:pPr>
    <w:rPr>
      <w:rFonts w:ascii="Arial" w:eastAsiaTheme="majorEastAsia" w:hAnsi="Arial" w:cstheme="majorBidi"/>
      <w:i/>
      <w:iCs/>
      <w:color w:val="272727" w:themeColor="text1" w:themeTint="D8"/>
      <w:sz w:val="22"/>
      <w:szCs w:val="22"/>
      <w:lang w:val="en"/>
    </w:rPr>
  </w:style>
  <w:style w:type="paragraph" w:styleId="Heading9">
    <w:name w:val="heading 9"/>
    <w:basedOn w:val="Normal"/>
    <w:next w:val="Normal"/>
    <w:link w:val="Heading9Char"/>
    <w:uiPriority w:val="9"/>
    <w:semiHidden/>
    <w:unhideWhenUsed/>
    <w:qFormat/>
    <w:rsid w:val="00625814"/>
    <w:pPr>
      <w:keepNext/>
      <w:keepLines/>
      <w:spacing w:line="276" w:lineRule="auto"/>
      <w:outlineLvl w:val="8"/>
    </w:pPr>
    <w:rPr>
      <w:rFonts w:ascii="Arial" w:eastAsiaTheme="majorEastAsia" w:hAnsi="Arial" w:cstheme="majorBidi"/>
      <w:color w:val="272727" w:themeColor="text1" w:themeTint="D8"/>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814"/>
    <w:rPr>
      <w:rFonts w:eastAsiaTheme="majorEastAsia" w:cstheme="majorBidi"/>
      <w:color w:val="272727" w:themeColor="text1" w:themeTint="D8"/>
    </w:rPr>
  </w:style>
  <w:style w:type="paragraph" w:styleId="Title">
    <w:name w:val="Title"/>
    <w:basedOn w:val="Normal"/>
    <w:next w:val="Normal"/>
    <w:link w:val="TitleChar"/>
    <w:uiPriority w:val="10"/>
    <w:qFormat/>
    <w:rsid w:val="00625814"/>
    <w:pPr>
      <w:spacing w:after="80"/>
      <w:contextualSpacing/>
    </w:pPr>
    <w:rPr>
      <w:rFonts w:asciiTheme="majorHAnsi" w:eastAsiaTheme="majorEastAsia" w:hAnsiTheme="majorHAnsi" w:cstheme="majorBidi"/>
      <w:spacing w:val="-10"/>
      <w:kern w:val="28"/>
      <w:sz w:val="56"/>
      <w:szCs w:val="56"/>
      <w:lang w:val="en"/>
    </w:rPr>
  </w:style>
  <w:style w:type="character" w:customStyle="1" w:styleId="TitleChar">
    <w:name w:val="Title Char"/>
    <w:basedOn w:val="DefaultParagraphFont"/>
    <w:link w:val="Title"/>
    <w:uiPriority w:val="10"/>
    <w:rsid w:val="00625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814"/>
    <w:pPr>
      <w:numPr>
        <w:ilvl w:val="1"/>
      </w:numPr>
      <w:spacing w:line="276" w:lineRule="auto"/>
    </w:pPr>
    <w:rPr>
      <w:rFonts w:ascii="Arial" w:eastAsiaTheme="majorEastAsia" w:hAnsi="Arial" w:cstheme="majorBidi"/>
      <w:color w:val="595959" w:themeColor="text1" w:themeTint="A6"/>
      <w:spacing w:val="15"/>
      <w:sz w:val="28"/>
      <w:szCs w:val="28"/>
      <w:lang w:val="en"/>
    </w:rPr>
  </w:style>
  <w:style w:type="character" w:customStyle="1" w:styleId="SubtitleChar">
    <w:name w:val="Subtitle Char"/>
    <w:basedOn w:val="DefaultParagraphFont"/>
    <w:link w:val="Subtitle"/>
    <w:uiPriority w:val="11"/>
    <w:rsid w:val="00625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814"/>
    <w:pPr>
      <w:spacing w:before="160" w:line="276" w:lineRule="auto"/>
      <w:jc w:val="center"/>
    </w:pPr>
    <w:rPr>
      <w:rFonts w:ascii="Arial" w:eastAsia="SimSun" w:hAnsi="Arial" w:cs="Arial"/>
      <w:i/>
      <w:iCs/>
      <w:color w:val="404040" w:themeColor="text1" w:themeTint="BF"/>
      <w:sz w:val="22"/>
      <w:szCs w:val="22"/>
      <w:lang w:val="en"/>
    </w:rPr>
  </w:style>
  <w:style w:type="character" w:customStyle="1" w:styleId="QuoteChar">
    <w:name w:val="Quote Char"/>
    <w:basedOn w:val="DefaultParagraphFont"/>
    <w:link w:val="Quote"/>
    <w:uiPriority w:val="29"/>
    <w:rsid w:val="00625814"/>
    <w:rPr>
      <w:i/>
      <w:iCs/>
      <w:color w:val="404040" w:themeColor="text1" w:themeTint="BF"/>
    </w:rPr>
  </w:style>
  <w:style w:type="paragraph" w:styleId="ListParagraph">
    <w:name w:val="List Paragraph"/>
    <w:basedOn w:val="Normal"/>
    <w:uiPriority w:val="34"/>
    <w:qFormat/>
    <w:rsid w:val="00625814"/>
    <w:pPr>
      <w:spacing w:line="276" w:lineRule="auto"/>
      <w:ind w:left="720"/>
      <w:contextualSpacing/>
    </w:pPr>
    <w:rPr>
      <w:rFonts w:ascii="Arial" w:eastAsia="SimSun" w:hAnsi="Arial" w:cs="Arial"/>
      <w:sz w:val="22"/>
      <w:szCs w:val="22"/>
      <w:lang w:val="en"/>
    </w:rPr>
  </w:style>
  <w:style w:type="character" w:styleId="IntenseEmphasis">
    <w:name w:val="Intense Emphasis"/>
    <w:basedOn w:val="DefaultParagraphFont"/>
    <w:uiPriority w:val="21"/>
    <w:qFormat/>
    <w:rsid w:val="00625814"/>
    <w:rPr>
      <w:i/>
      <w:iCs/>
      <w:color w:val="0F4761" w:themeColor="accent1" w:themeShade="BF"/>
    </w:rPr>
  </w:style>
  <w:style w:type="paragraph" w:styleId="IntenseQuote">
    <w:name w:val="Intense Quote"/>
    <w:basedOn w:val="Normal"/>
    <w:next w:val="Normal"/>
    <w:link w:val="IntenseQuoteChar"/>
    <w:uiPriority w:val="30"/>
    <w:qFormat/>
    <w:rsid w:val="0062581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Arial" w:eastAsia="SimSun" w:hAnsi="Arial" w:cs="Arial"/>
      <w:i/>
      <w:iCs/>
      <w:color w:val="0F4761" w:themeColor="accent1" w:themeShade="BF"/>
      <w:sz w:val="22"/>
      <w:szCs w:val="22"/>
      <w:lang w:val="en"/>
    </w:rPr>
  </w:style>
  <w:style w:type="character" w:customStyle="1" w:styleId="IntenseQuoteChar">
    <w:name w:val="Intense Quote Char"/>
    <w:basedOn w:val="DefaultParagraphFont"/>
    <w:link w:val="IntenseQuote"/>
    <w:uiPriority w:val="30"/>
    <w:rsid w:val="00625814"/>
    <w:rPr>
      <w:i/>
      <w:iCs/>
      <w:color w:val="0F4761" w:themeColor="accent1" w:themeShade="BF"/>
    </w:rPr>
  </w:style>
  <w:style w:type="character" w:styleId="IntenseReference">
    <w:name w:val="Intense Reference"/>
    <w:basedOn w:val="DefaultParagraphFont"/>
    <w:uiPriority w:val="32"/>
    <w:qFormat/>
    <w:rsid w:val="00625814"/>
    <w:rPr>
      <w:b/>
      <w:bCs/>
      <w:smallCaps/>
      <w:color w:val="0F4761" w:themeColor="accent1" w:themeShade="BF"/>
      <w:spacing w:val="5"/>
    </w:rPr>
  </w:style>
  <w:style w:type="paragraph" w:styleId="FootnoteText">
    <w:name w:val="footnote text"/>
    <w:basedOn w:val="Normal"/>
    <w:link w:val="FootnoteTextChar"/>
    <w:uiPriority w:val="99"/>
    <w:semiHidden/>
    <w:unhideWhenUsed/>
    <w:rsid w:val="00CE4EF5"/>
    <w:rPr>
      <w:rFonts w:ascii="Arial" w:eastAsia="SimSun" w:hAnsi="Arial" w:cs="Arial"/>
      <w:sz w:val="20"/>
      <w:szCs w:val="20"/>
      <w:lang w:val="en"/>
    </w:rPr>
  </w:style>
  <w:style w:type="character" w:customStyle="1" w:styleId="FootnoteTextChar">
    <w:name w:val="Footnote Text Char"/>
    <w:basedOn w:val="DefaultParagraphFont"/>
    <w:link w:val="FootnoteText"/>
    <w:uiPriority w:val="99"/>
    <w:semiHidden/>
    <w:rsid w:val="00CE4EF5"/>
    <w:rPr>
      <w:rFonts w:ascii="Arial" w:eastAsia="SimSun" w:hAnsi="Arial" w:cs="Arial"/>
      <w:kern w:val="0"/>
      <w:sz w:val="20"/>
      <w:szCs w:val="20"/>
      <w:lang w:val="en"/>
      <w14:ligatures w14:val="none"/>
    </w:rPr>
  </w:style>
  <w:style w:type="character" w:styleId="FootnoteReference">
    <w:name w:val="footnote reference"/>
    <w:basedOn w:val="DefaultParagraphFont"/>
    <w:uiPriority w:val="99"/>
    <w:semiHidden/>
    <w:unhideWhenUsed/>
    <w:rsid w:val="00CE4EF5"/>
    <w:rPr>
      <w:vertAlign w:val="superscript"/>
    </w:rPr>
  </w:style>
  <w:style w:type="paragraph" w:customStyle="1" w:styleId="p1">
    <w:name w:val="p1"/>
    <w:basedOn w:val="Normal"/>
    <w:rsid w:val="00CE4EF5"/>
    <w:rPr>
      <w:color w:val="000000"/>
      <w:sz w:val="15"/>
      <w:szCs w:val="15"/>
    </w:rPr>
  </w:style>
  <w:style w:type="character" w:styleId="Hyperlink">
    <w:name w:val="Hyperlink"/>
    <w:basedOn w:val="DefaultParagraphFont"/>
    <w:uiPriority w:val="99"/>
    <w:unhideWhenUsed/>
    <w:rsid w:val="00676876"/>
    <w:rPr>
      <w:color w:val="467886" w:themeColor="hyperlink"/>
      <w:u w:val="single"/>
    </w:rPr>
  </w:style>
  <w:style w:type="character" w:styleId="UnresolvedMention">
    <w:name w:val="Unresolved Mention"/>
    <w:basedOn w:val="DefaultParagraphFont"/>
    <w:uiPriority w:val="99"/>
    <w:semiHidden/>
    <w:unhideWhenUsed/>
    <w:rsid w:val="00676876"/>
    <w:rPr>
      <w:color w:val="605E5C"/>
      <w:shd w:val="clear" w:color="auto" w:fill="E1DFDD"/>
    </w:rPr>
  </w:style>
  <w:style w:type="character" w:customStyle="1" w:styleId="apple-converted-space">
    <w:name w:val="apple-converted-space"/>
    <w:basedOn w:val="DefaultParagraphFont"/>
    <w:rsid w:val="00051164"/>
  </w:style>
  <w:style w:type="character" w:styleId="FollowedHyperlink">
    <w:name w:val="FollowedHyperlink"/>
    <w:basedOn w:val="DefaultParagraphFont"/>
    <w:uiPriority w:val="99"/>
    <w:semiHidden/>
    <w:unhideWhenUsed/>
    <w:rsid w:val="00051164"/>
    <w:rPr>
      <w:color w:val="96607D" w:themeColor="followedHyperlink"/>
      <w:u w:val="single"/>
    </w:rPr>
  </w:style>
  <w:style w:type="paragraph" w:styleId="Header">
    <w:name w:val="header"/>
    <w:basedOn w:val="Normal"/>
    <w:link w:val="HeaderChar"/>
    <w:uiPriority w:val="99"/>
    <w:unhideWhenUsed/>
    <w:rsid w:val="00AA09B2"/>
    <w:pPr>
      <w:tabs>
        <w:tab w:val="center" w:pos="4680"/>
        <w:tab w:val="right" w:pos="9360"/>
      </w:tabs>
    </w:pPr>
    <w:rPr>
      <w:rFonts w:ascii="Arial" w:eastAsia="SimSun" w:hAnsi="Arial" w:cs="Arial"/>
      <w:sz w:val="22"/>
      <w:szCs w:val="22"/>
      <w:lang w:val="en"/>
    </w:rPr>
  </w:style>
  <w:style w:type="character" w:customStyle="1" w:styleId="HeaderChar">
    <w:name w:val="Header Char"/>
    <w:basedOn w:val="DefaultParagraphFont"/>
    <w:link w:val="Header"/>
    <w:uiPriority w:val="99"/>
    <w:rsid w:val="00AA09B2"/>
    <w:rPr>
      <w:rFonts w:ascii="Arial" w:eastAsia="SimSun" w:hAnsi="Arial" w:cs="Arial"/>
      <w:kern w:val="0"/>
      <w:sz w:val="22"/>
      <w:szCs w:val="22"/>
      <w:lang w:val="en"/>
      <w14:ligatures w14:val="none"/>
    </w:rPr>
  </w:style>
  <w:style w:type="paragraph" w:styleId="Footer">
    <w:name w:val="footer"/>
    <w:basedOn w:val="Normal"/>
    <w:link w:val="FooterChar"/>
    <w:uiPriority w:val="99"/>
    <w:unhideWhenUsed/>
    <w:rsid w:val="00AA09B2"/>
    <w:pPr>
      <w:tabs>
        <w:tab w:val="center" w:pos="4680"/>
        <w:tab w:val="right" w:pos="9360"/>
      </w:tabs>
    </w:pPr>
    <w:rPr>
      <w:rFonts w:ascii="Arial" w:eastAsia="SimSun" w:hAnsi="Arial" w:cs="Arial"/>
      <w:sz w:val="22"/>
      <w:szCs w:val="22"/>
      <w:lang w:val="en"/>
    </w:rPr>
  </w:style>
  <w:style w:type="character" w:customStyle="1" w:styleId="FooterChar">
    <w:name w:val="Footer Char"/>
    <w:basedOn w:val="DefaultParagraphFont"/>
    <w:link w:val="Footer"/>
    <w:uiPriority w:val="99"/>
    <w:rsid w:val="00AA09B2"/>
    <w:rPr>
      <w:rFonts w:ascii="Arial" w:eastAsia="SimSun" w:hAnsi="Arial" w:cs="Arial"/>
      <w:kern w:val="0"/>
      <w:sz w:val="22"/>
      <w:szCs w:val="22"/>
      <w:lang w:val="en"/>
      <w14:ligatures w14:val="none"/>
    </w:rPr>
  </w:style>
  <w:style w:type="character" w:styleId="PageNumber">
    <w:name w:val="page number"/>
    <w:basedOn w:val="DefaultParagraphFont"/>
    <w:uiPriority w:val="99"/>
    <w:semiHidden/>
    <w:unhideWhenUsed/>
    <w:rsid w:val="00434B77"/>
  </w:style>
  <w:style w:type="character" w:customStyle="1" w:styleId="s1">
    <w:name w:val="s1"/>
    <w:basedOn w:val="DefaultParagraphFont"/>
    <w:rsid w:val="00E90209"/>
  </w:style>
  <w:style w:type="paragraph" w:customStyle="1" w:styleId="p2">
    <w:name w:val="p2"/>
    <w:basedOn w:val="Normal"/>
    <w:rsid w:val="00E90209"/>
    <w:pPr>
      <w:spacing w:before="100" w:beforeAutospacing="1" w:after="100" w:afterAutospacing="1"/>
    </w:pPr>
  </w:style>
  <w:style w:type="paragraph" w:customStyle="1" w:styleId="p3">
    <w:name w:val="p3"/>
    <w:basedOn w:val="Normal"/>
    <w:rsid w:val="00E90209"/>
    <w:pPr>
      <w:spacing w:before="100" w:beforeAutospacing="1" w:after="100" w:afterAutospacing="1"/>
    </w:pPr>
  </w:style>
  <w:style w:type="character" w:customStyle="1" w:styleId="apple-tab-span">
    <w:name w:val="apple-tab-span"/>
    <w:basedOn w:val="DefaultParagraphFont"/>
    <w:rsid w:val="00E90209"/>
  </w:style>
  <w:style w:type="character" w:customStyle="1" w:styleId="s2">
    <w:name w:val="s2"/>
    <w:basedOn w:val="DefaultParagraphFont"/>
    <w:rsid w:val="00DE745D"/>
  </w:style>
  <w:style w:type="paragraph" w:customStyle="1" w:styleId="p4">
    <w:name w:val="p4"/>
    <w:basedOn w:val="Normal"/>
    <w:rsid w:val="00DE745D"/>
    <w:pPr>
      <w:spacing w:before="100" w:beforeAutospacing="1" w:after="100" w:afterAutospacing="1"/>
    </w:pPr>
  </w:style>
  <w:style w:type="paragraph" w:customStyle="1" w:styleId="p5">
    <w:name w:val="p5"/>
    <w:basedOn w:val="Normal"/>
    <w:rsid w:val="00DE74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2137">
      <w:bodyDiv w:val="1"/>
      <w:marLeft w:val="0"/>
      <w:marRight w:val="0"/>
      <w:marTop w:val="0"/>
      <w:marBottom w:val="0"/>
      <w:divBdr>
        <w:top w:val="none" w:sz="0" w:space="0" w:color="auto"/>
        <w:left w:val="none" w:sz="0" w:space="0" w:color="auto"/>
        <w:bottom w:val="none" w:sz="0" w:space="0" w:color="auto"/>
        <w:right w:val="none" w:sz="0" w:space="0" w:color="auto"/>
      </w:divBdr>
    </w:div>
    <w:div w:id="32386323">
      <w:bodyDiv w:val="1"/>
      <w:marLeft w:val="0"/>
      <w:marRight w:val="0"/>
      <w:marTop w:val="0"/>
      <w:marBottom w:val="0"/>
      <w:divBdr>
        <w:top w:val="none" w:sz="0" w:space="0" w:color="auto"/>
        <w:left w:val="none" w:sz="0" w:space="0" w:color="auto"/>
        <w:bottom w:val="none" w:sz="0" w:space="0" w:color="auto"/>
        <w:right w:val="none" w:sz="0" w:space="0" w:color="auto"/>
      </w:divBdr>
    </w:div>
    <w:div w:id="39524048">
      <w:bodyDiv w:val="1"/>
      <w:marLeft w:val="0"/>
      <w:marRight w:val="0"/>
      <w:marTop w:val="0"/>
      <w:marBottom w:val="0"/>
      <w:divBdr>
        <w:top w:val="none" w:sz="0" w:space="0" w:color="auto"/>
        <w:left w:val="none" w:sz="0" w:space="0" w:color="auto"/>
        <w:bottom w:val="none" w:sz="0" w:space="0" w:color="auto"/>
        <w:right w:val="none" w:sz="0" w:space="0" w:color="auto"/>
      </w:divBdr>
    </w:div>
    <w:div w:id="64693140">
      <w:bodyDiv w:val="1"/>
      <w:marLeft w:val="0"/>
      <w:marRight w:val="0"/>
      <w:marTop w:val="0"/>
      <w:marBottom w:val="0"/>
      <w:divBdr>
        <w:top w:val="none" w:sz="0" w:space="0" w:color="auto"/>
        <w:left w:val="none" w:sz="0" w:space="0" w:color="auto"/>
        <w:bottom w:val="none" w:sz="0" w:space="0" w:color="auto"/>
        <w:right w:val="none" w:sz="0" w:space="0" w:color="auto"/>
      </w:divBdr>
    </w:div>
    <w:div w:id="82385218">
      <w:bodyDiv w:val="1"/>
      <w:marLeft w:val="0"/>
      <w:marRight w:val="0"/>
      <w:marTop w:val="0"/>
      <w:marBottom w:val="0"/>
      <w:divBdr>
        <w:top w:val="none" w:sz="0" w:space="0" w:color="auto"/>
        <w:left w:val="none" w:sz="0" w:space="0" w:color="auto"/>
        <w:bottom w:val="none" w:sz="0" w:space="0" w:color="auto"/>
        <w:right w:val="none" w:sz="0" w:space="0" w:color="auto"/>
      </w:divBdr>
    </w:div>
    <w:div w:id="103156836">
      <w:bodyDiv w:val="1"/>
      <w:marLeft w:val="0"/>
      <w:marRight w:val="0"/>
      <w:marTop w:val="0"/>
      <w:marBottom w:val="0"/>
      <w:divBdr>
        <w:top w:val="none" w:sz="0" w:space="0" w:color="auto"/>
        <w:left w:val="none" w:sz="0" w:space="0" w:color="auto"/>
        <w:bottom w:val="none" w:sz="0" w:space="0" w:color="auto"/>
        <w:right w:val="none" w:sz="0" w:space="0" w:color="auto"/>
      </w:divBdr>
    </w:div>
    <w:div w:id="126971018">
      <w:bodyDiv w:val="1"/>
      <w:marLeft w:val="0"/>
      <w:marRight w:val="0"/>
      <w:marTop w:val="0"/>
      <w:marBottom w:val="0"/>
      <w:divBdr>
        <w:top w:val="none" w:sz="0" w:space="0" w:color="auto"/>
        <w:left w:val="none" w:sz="0" w:space="0" w:color="auto"/>
        <w:bottom w:val="none" w:sz="0" w:space="0" w:color="auto"/>
        <w:right w:val="none" w:sz="0" w:space="0" w:color="auto"/>
      </w:divBdr>
    </w:div>
    <w:div w:id="148593191">
      <w:bodyDiv w:val="1"/>
      <w:marLeft w:val="0"/>
      <w:marRight w:val="0"/>
      <w:marTop w:val="0"/>
      <w:marBottom w:val="0"/>
      <w:divBdr>
        <w:top w:val="none" w:sz="0" w:space="0" w:color="auto"/>
        <w:left w:val="none" w:sz="0" w:space="0" w:color="auto"/>
        <w:bottom w:val="none" w:sz="0" w:space="0" w:color="auto"/>
        <w:right w:val="none" w:sz="0" w:space="0" w:color="auto"/>
      </w:divBdr>
    </w:div>
    <w:div w:id="170341961">
      <w:bodyDiv w:val="1"/>
      <w:marLeft w:val="0"/>
      <w:marRight w:val="0"/>
      <w:marTop w:val="0"/>
      <w:marBottom w:val="0"/>
      <w:divBdr>
        <w:top w:val="none" w:sz="0" w:space="0" w:color="auto"/>
        <w:left w:val="none" w:sz="0" w:space="0" w:color="auto"/>
        <w:bottom w:val="none" w:sz="0" w:space="0" w:color="auto"/>
        <w:right w:val="none" w:sz="0" w:space="0" w:color="auto"/>
      </w:divBdr>
    </w:div>
    <w:div w:id="170682109">
      <w:bodyDiv w:val="1"/>
      <w:marLeft w:val="0"/>
      <w:marRight w:val="0"/>
      <w:marTop w:val="0"/>
      <w:marBottom w:val="0"/>
      <w:divBdr>
        <w:top w:val="none" w:sz="0" w:space="0" w:color="auto"/>
        <w:left w:val="none" w:sz="0" w:space="0" w:color="auto"/>
        <w:bottom w:val="none" w:sz="0" w:space="0" w:color="auto"/>
        <w:right w:val="none" w:sz="0" w:space="0" w:color="auto"/>
      </w:divBdr>
    </w:div>
    <w:div w:id="172503126">
      <w:bodyDiv w:val="1"/>
      <w:marLeft w:val="0"/>
      <w:marRight w:val="0"/>
      <w:marTop w:val="0"/>
      <w:marBottom w:val="0"/>
      <w:divBdr>
        <w:top w:val="none" w:sz="0" w:space="0" w:color="auto"/>
        <w:left w:val="none" w:sz="0" w:space="0" w:color="auto"/>
        <w:bottom w:val="none" w:sz="0" w:space="0" w:color="auto"/>
        <w:right w:val="none" w:sz="0" w:space="0" w:color="auto"/>
      </w:divBdr>
    </w:div>
    <w:div w:id="207955047">
      <w:bodyDiv w:val="1"/>
      <w:marLeft w:val="0"/>
      <w:marRight w:val="0"/>
      <w:marTop w:val="0"/>
      <w:marBottom w:val="0"/>
      <w:divBdr>
        <w:top w:val="none" w:sz="0" w:space="0" w:color="auto"/>
        <w:left w:val="none" w:sz="0" w:space="0" w:color="auto"/>
        <w:bottom w:val="none" w:sz="0" w:space="0" w:color="auto"/>
        <w:right w:val="none" w:sz="0" w:space="0" w:color="auto"/>
      </w:divBdr>
      <w:divsChild>
        <w:div w:id="982123721">
          <w:marLeft w:val="0"/>
          <w:marRight w:val="0"/>
          <w:marTop w:val="0"/>
          <w:marBottom w:val="0"/>
          <w:divBdr>
            <w:top w:val="none" w:sz="0" w:space="0" w:color="auto"/>
            <w:left w:val="none" w:sz="0" w:space="0" w:color="auto"/>
            <w:bottom w:val="none" w:sz="0" w:space="0" w:color="auto"/>
            <w:right w:val="none" w:sz="0" w:space="0" w:color="auto"/>
          </w:divBdr>
          <w:divsChild>
            <w:div w:id="15239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660">
      <w:bodyDiv w:val="1"/>
      <w:marLeft w:val="0"/>
      <w:marRight w:val="0"/>
      <w:marTop w:val="0"/>
      <w:marBottom w:val="0"/>
      <w:divBdr>
        <w:top w:val="none" w:sz="0" w:space="0" w:color="auto"/>
        <w:left w:val="none" w:sz="0" w:space="0" w:color="auto"/>
        <w:bottom w:val="none" w:sz="0" w:space="0" w:color="auto"/>
        <w:right w:val="none" w:sz="0" w:space="0" w:color="auto"/>
      </w:divBdr>
    </w:div>
    <w:div w:id="220216616">
      <w:bodyDiv w:val="1"/>
      <w:marLeft w:val="0"/>
      <w:marRight w:val="0"/>
      <w:marTop w:val="0"/>
      <w:marBottom w:val="0"/>
      <w:divBdr>
        <w:top w:val="none" w:sz="0" w:space="0" w:color="auto"/>
        <w:left w:val="none" w:sz="0" w:space="0" w:color="auto"/>
        <w:bottom w:val="none" w:sz="0" w:space="0" w:color="auto"/>
        <w:right w:val="none" w:sz="0" w:space="0" w:color="auto"/>
      </w:divBdr>
    </w:div>
    <w:div w:id="258175872">
      <w:bodyDiv w:val="1"/>
      <w:marLeft w:val="0"/>
      <w:marRight w:val="0"/>
      <w:marTop w:val="0"/>
      <w:marBottom w:val="0"/>
      <w:divBdr>
        <w:top w:val="none" w:sz="0" w:space="0" w:color="auto"/>
        <w:left w:val="none" w:sz="0" w:space="0" w:color="auto"/>
        <w:bottom w:val="none" w:sz="0" w:space="0" w:color="auto"/>
        <w:right w:val="none" w:sz="0" w:space="0" w:color="auto"/>
      </w:divBdr>
    </w:div>
    <w:div w:id="267350072">
      <w:bodyDiv w:val="1"/>
      <w:marLeft w:val="0"/>
      <w:marRight w:val="0"/>
      <w:marTop w:val="0"/>
      <w:marBottom w:val="0"/>
      <w:divBdr>
        <w:top w:val="none" w:sz="0" w:space="0" w:color="auto"/>
        <w:left w:val="none" w:sz="0" w:space="0" w:color="auto"/>
        <w:bottom w:val="none" w:sz="0" w:space="0" w:color="auto"/>
        <w:right w:val="none" w:sz="0" w:space="0" w:color="auto"/>
      </w:divBdr>
    </w:div>
    <w:div w:id="273900788">
      <w:bodyDiv w:val="1"/>
      <w:marLeft w:val="0"/>
      <w:marRight w:val="0"/>
      <w:marTop w:val="0"/>
      <w:marBottom w:val="0"/>
      <w:divBdr>
        <w:top w:val="none" w:sz="0" w:space="0" w:color="auto"/>
        <w:left w:val="none" w:sz="0" w:space="0" w:color="auto"/>
        <w:bottom w:val="none" w:sz="0" w:space="0" w:color="auto"/>
        <w:right w:val="none" w:sz="0" w:space="0" w:color="auto"/>
      </w:divBdr>
    </w:div>
    <w:div w:id="321201925">
      <w:bodyDiv w:val="1"/>
      <w:marLeft w:val="0"/>
      <w:marRight w:val="0"/>
      <w:marTop w:val="0"/>
      <w:marBottom w:val="0"/>
      <w:divBdr>
        <w:top w:val="none" w:sz="0" w:space="0" w:color="auto"/>
        <w:left w:val="none" w:sz="0" w:space="0" w:color="auto"/>
        <w:bottom w:val="none" w:sz="0" w:space="0" w:color="auto"/>
        <w:right w:val="none" w:sz="0" w:space="0" w:color="auto"/>
      </w:divBdr>
    </w:div>
    <w:div w:id="323168252">
      <w:bodyDiv w:val="1"/>
      <w:marLeft w:val="0"/>
      <w:marRight w:val="0"/>
      <w:marTop w:val="0"/>
      <w:marBottom w:val="0"/>
      <w:divBdr>
        <w:top w:val="none" w:sz="0" w:space="0" w:color="auto"/>
        <w:left w:val="none" w:sz="0" w:space="0" w:color="auto"/>
        <w:bottom w:val="none" w:sz="0" w:space="0" w:color="auto"/>
        <w:right w:val="none" w:sz="0" w:space="0" w:color="auto"/>
      </w:divBdr>
      <w:divsChild>
        <w:div w:id="1698503279">
          <w:marLeft w:val="0"/>
          <w:marRight w:val="0"/>
          <w:marTop w:val="0"/>
          <w:marBottom w:val="0"/>
          <w:divBdr>
            <w:top w:val="none" w:sz="0" w:space="0" w:color="auto"/>
            <w:left w:val="none" w:sz="0" w:space="0" w:color="auto"/>
            <w:bottom w:val="none" w:sz="0" w:space="0" w:color="auto"/>
            <w:right w:val="none" w:sz="0" w:space="0" w:color="auto"/>
          </w:divBdr>
          <w:divsChild>
            <w:div w:id="732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050">
      <w:bodyDiv w:val="1"/>
      <w:marLeft w:val="0"/>
      <w:marRight w:val="0"/>
      <w:marTop w:val="0"/>
      <w:marBottom w:val="0"/>
      <w:divBdr>
        <w:top w:val="none" w:sz="0" w:space="0" w:color="auto"/>
        <w:left w:val="none" w:sz="0" w:space="0" w:color="auto"/>
        <w:bottom w:val="none" w:sz="0" w:space="0" w:color="auto"/>
        <w:right w:val="none" w:sz="0" w:space="0" w:color="auto"/>
      </w:divBdr>
    </w:div>
    <w:div w:id="352466190">
      <w:bodyDiv w:val="1"/>
      <w:marLeft w:val="0"/>
      <w:marRight w:val="0"/>
      <w:marTop w:val="0"/>
      <w:marBottom w:val="0"/>
      <w:divBdr>
        <w:top w:val="none" w:sz="0" w:space="0" w:color="auto"/>
        <w:left w:val="none" w:sz="0" w:space="0" w:color="auto"/>
        <w:bottom w:val="none" w:sz="0" w:space="0" w:color="auto"/>
        <w:right w:val="none" w:sz="0" w:space="0" w:color="auto"/>
      </w:divBdr>
    </w:div>
    <w:div w:id="377053224">
      <w:bodyDiv w:val="1"/>
      <w:marLeft w:val="0"/>
      <w:marRight w:val="0"/>
      <w:marTop w:val="0"/>
      <w:marBottom w:val="0"/>
      <w:divBdr>
        <w:top w:val="none" w:sz="0" w:space="0" w:color="auto"/>
        <w:left w:val="none" w:sz="0" w:space="0" w:color="auto"/>
        <w:bottom w:val="none" w:sz="0" w:space="0" w:color="auto"/>
        <w:right w:val="none" w:sz="0" w:space="0" w:color="auto"/>
      </w:divBdr>
    </w:div>
    <w:div w:id="377555085">
      <w:bodyDiv w:val="1"/>
      <w:marLeft w:val="0"/>
      <w:marRight w:val="0"/>
      <w:marTop w:val="0"/>
      <w:marBottom w:val="0"/>
      <w:divBdr>
        <w:top w:val="none" w:sz="0" w:space="0" w:color="auto"/>
        <w:left w:val="none" w:sz="0" w:space="0" w:color="auto"/>
        <w:bottom w:val="none" w:sz="0" w:space="0" w:color="auto"/>
        <w:right w:val="none" w:sz="0" w:space="0" w:color="auto"/>
      </w:divBdr>
    </w:div>
    <w:div w:id="397093013">
      <w:bodyDiv w:val="1"/>
      <w:marLeft w:val="0"/>
      <w:marRight w:val="0"/>
      <w:marTop w:val="0"/>
      <w:marBottom w:val="0"/>
      <w:divBdr>
        <w:top w:val="none" w:sz="0" w:space="0" w:color="auto"/>
        <w:left w:val="none" w:sz="0" w:space="0" w:color="auto"/>
        <w:bottom w:val="none" w:sz="0" w:space="0" w:color="auto"/>
        <w:right w:val="none" w:sz="0" w:space="0" w:color="auto"/>
      </w:divBdr>
    </w:div>
    <w:div w:id="411003235">
      <w:bodyDiv w:val="1"/>
      <w:marLeft w:val="0"/>
      <w:marRight w:val="0"/>
      <w:marTop w:val="0"/>
      <w:marBottom w:val="0"/>
      <w:divBdr>
        <w:top w:val="none" w:sz="0" w:space="0" w:color="auto"/>
        <w:left w:val="none" w:sz="0" w:space="0" w:color="auto"/>
        <w:bottom w:val="none" w:sz="0" w:space="0" w:color="auto"/>
        <w:right w:val="none" w:sz="0" w:space="0" w:color="auto"/>
      </w:divBdr>
    </w:div>
    <w:div w:id="456878262">
      <w:bodyDiv w:val="1"/>
      <w:marLeft w:val="0"/>
      <w:marRight w:val="0"/>
      <w:marTop w:val="0"/>
      <w:marBottom w:val="0"/>
      <w:divBdr>
        <w:top w:val="none" w:sz="0" w:space="0" w:color="auto"/>
        <w:left w:val="none" w:sz="0" w:space="0" w:color="auto"/>
        <w:bottom w:val="none" w:sz="0" w:space="0" w:color="auto"/>
        <w:right w:val="none" w:sz="0" w:space="0" w:color="auto"/>
      </w:divBdr>
    </w:div>
    <w:div w:id="481435753">
      <w:bodyDiv w:val="1"/>
      <w:marLeft w:val="0"/>
      <w:marRight w:val="0"/>
      <w:marTop w:val="0"/>
      <w:marBottom w:val="0"/>
      <w:divBdr>
        <w:top w:val="none" w:sz="0" w:space="0" w:color="auto"/>
        <w:left w:val="none" w:sz="0" w:space="0" w:color="auto"/>
        <w:bottom w:val="none" w:sz="0" w:space="0" w:color="auto"/>
        <w:right w:val="none" w:sz="0" w:space="0" w:color="auto"/>
      </w:divBdr>
    </w:div>
    <w:div w:id="481772139">
      <w:bodyDiv w:val="1"/>
      <w:marLeft w:val="0"/>
      <w:marRight w:val="0"/>
      <w:marTop w:val="0"/>
      <w:marBottom w:val="0"/>
      <w:divBdr>
        <w:top w:val="none" w:sz="0" w:space="0" w:color="auto"/>
        <w:left w:val="none" w:sz="0" w:space="0" w:color="auto"/>
        <w:bottom w:val="none" w:sz="0" w:space="0" w:color="auto"/>
        <w:right w:val="none" w:sz="0" w:space="0" w:color="auto"/>
      </w:divBdr>
    </w:div>
    <w:div w:id="499195391">
      <w:bodyDiv w:val="1"/>
      <w:marLeft w:val="0"/>
      <w:marRight w:val="0"/>
      <w:marTop w:val="0"/>
      <w:marBottom w:val="0"/>
      <w:divBdr>
        <w:top w:val="none" w:sz="0" w:space="0" w:color="auto"/>
        <w:left w:val="none" w:sz="0" w:space="0" w:color="auto"/>
        <w:bottom w:val="none" w:sz="0" w:space="0" w:color="auto"/>
        <w:right w:val="none" w:sz="0" w:space="0" w:color="auto"/>
      </w:divBdr>
    </w:div>
    <w:div w:id="507138490">
      <w:bodyDiv w:val="1"/>
      <w:marLeft w:val="0"/>
      <w:marRight w:val="0"/>
      <w:marTop w:val="0"/>
      <w:marBottom w:val="0"/>
      <w:divBdr>
        <w:top w:val="none" w:sz="0" w:space="0" w:color="auto"/>
        <w:left w:val="none" w:sz="0" w:space="0" w:color="auto"/>
        <w:bottom w:val="none" w:sz="0" w:space="0" w:color="auto"/>
        <w:right w:val="none" w:sz="0" w:space="0" w:color="auto"/>
      </w:divBdr>
    </w:div>
    <w:div w:id="539707132">
      <w:bodyDiv w:val="1"/>
      <w:marLeft w:val="0"/>
      <w:marRight w:val="0"/>
      <w:marTop w:val="0"/>
      <w:marBottom w:val="0"/>
      <w:divBdr>
        <w:top w:val="none" w:sz="0" w:space="0" w:color="auto"/>
        <w:left w:val="none" w:sz="0" w:space="0" w:color="auto"/>
        <w:bottom w:val="none" w:sz="0" w:space="0" w:color="auto"/>
        <w:right w:val="none" w:sz="0" w:space="0" w:color="auto"/>
      </w:divBdr>
      <w:divsChild>
        <w:div w:id="1917282035">
          <w:marLeft w:val="0"/>
          <w:marRight w:val="0"/>
          <w:marTop w:val="0"/>
          <w:marBottom w:val="0"/>
          <w:divBdr>
            <w:top w:val="none" w:sz="0" w:space="0" w:color="auto"/>
            <w:left w:val="none" w:sz="0" w:space="0" w:color="auto"/>
            <w:bottom w:val="none" w:sz="0" w:space="0" w:color="auto"/>
            <w:right w:val="none" w:sz="0" w:space="0" w:color="auto"/>
          </w:divBdr>
          <w:divsChild>
            <w:div w:id="276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555">
      <w:bodyDiv w:val="1"/>
      <w:marLeft w:val="0"/>
      <w:marRight w:val="0"/>
      <w:marTop w:val="0"/>
      <w:marBottom w:val="0"/>
      <w:divBdr>
        <w:top w:val="none" w:sz="0" w:space="0" w:color="auto"/>
        <w:left w:val="none" w:sz="0" w:space="0" w:color="auto"/>
        <w:bottom w:val="none" w:sz="0" w:space="0" w:color="auto"/>
        <w:right w:val="none" w:sz="0" w:space="0" w:color="auto"/>
      </w:divBdr>
    </w:div>
    <w:div w:id="591207248">
      <w:bodyDiv w:val="1"/>
      <w:marLeft w:val="0"/>
      <w:marRight w:val="0"/>
      <w:marTop w:val="0"/>
      <w:marBottom w:val="0"/>
      <w:divBdr>
        <w:top w:val="none" w:sz="0" w:space="0" w:color="auto"/>
        <w:left w:val="none" w:sz="0" w:space="0" w:color="auto"/>
        <w:bottom w:val="none" w:sz="0" w:space="0" w:color="auto"/>
        <w:right w:val="none" w:sz="0" w:space="0" w:color="auto"/>
      </w:divBdr>
    </w:div>
    <w:div w:id="596334193">
      <w:bodyDiv w:val="1"/>
      <w:marLeft w:val="0"/>
      <w:marRight w:val="0"/>
      <w:marTop w:val="0"/>
      <w:marBottom w:val="0"/>
      <w:divBdr>
        <w:top w:val="none" w:sz="0" w:space="0" w:color="auto"/>
        <w:left w:val="none" w:sz="0" w:space="0" w:color="auto"/>
        <w:bottom w:val="none" w:sz="0" w:space="0" w:color="auto"/>
        <w:right w:val="none" w:sz="0" w:space="0" w:color="auto"/>
      </w:divBdr>
    </w:div>
    <w:div w:id="606740998">
      <w:bodyDiv w:val="1"/>
      <w:marLeft w:val="0"/>
      <w:marRight w:val="0"/>
      <w:marTop w:val="0"/>
      <w:marBottom w:val="0"/>
      <w:divBdr>
        <w:top w:val="none" w:sz="0" w:space="0" w:color="auto"/>
        <w:left w:val="none" w:sz="0" w:space="0" w:color="auto"/>
        <w:bottom w:val="none" w:sz="0" w:space="0" w:color="auto"/>
        <w:right w:val="none" w:sz="0" w:space="0" w:color="auto"/>
      </w:divBdr>
    </w:div>
    <w:div w:id="611478138">
      <w:bodyDiv w:val="1"/>
      <w:marLeft w:val="0"/>
      <w:marRight w:val="0"/>
      <w:marTop w:val="0"/>
      <w:marBottom w:val="0"/>
      <w:divBdr>
        <w:top w:val="none" w:sz="0" w:space="0" w:color="auto"/>
        <w:left w:val="none" w:sz="0" w:space="0" w:color="auto"/>
        <w:bottom w:val="none" w:sz="0" w:space="0" w:color="auto"/>
        <w:right w:val="none" w:sz="0" w:space="0" w:color="auto"/>
      </w:divBdr>
    </w:div>
    <w:div w:id="618684982">
      <w:bodyDiv w:val="1"/>
      <w:marLeft w:val="0"/>
      <w:marRight w:val="0"/>
      <w:marTop w:val="0"/>
      <w:marBottom w:val="0"/>
      <w:divBdr>
        <w:top w:val="none" w:sz="0" w:space="0" w:color="auto"/>
        <w:left w:val="none" w:sz="0" w:space="0" w:color="auto"/>
        <w:bottom w:val="none" w:sz="0" w:space="0" w:color="auto"/>
        <w:right w:val="none" w:sz="0" w:space="0" w:color="auto"/>
      </w:divBdr>
    </w:div>
    <w:div w:id="638345915">
      <w:bodyDiv w:val="1"/>
      <w:marLeft w:val="0"/>
      <w:marRight w:val="0"/>
      <w:marTop w:val="0"/>
      <w:marBottom w:val="0"/>
      <w:divBdr>
        <w:top w:val="none" w:sz="0" w:space="0" w:color="auto"/>
        <w:left w:val="none" w:sz="0" w:space="0" w:color="auto"/>
        <w:bottom w:val="none" w:sz="0" w:space="0" w:color="auto"/>
        <w:right w:val="none" w:sz="0" w:space="0" w:color="auto"/>
      </w:divBdr>
    </w:div>
    <w:div w:id="645546030">
      <w:bodyDiv w:val="1"/>
      <w:marLeft w:val="0"/>
      <w:marRight w:val="0"/>
      <w:marTop w:val="0"/>
      <w:marBottom w:val="0"/>
      <w:divBdr>
        <w:top w:val="none" w:sz="0" w:space="0" w:color="auto"/>
        <w:left w:val="none" w:sz="0" w:space="0" w:color="auto"/>
        <w:bottom w:val="none" w:sz="0" w:space="0" w:color="auto"/>
        <w:right w:val="none" w:sz="0" w:space="0" w:color="auto"/>
      </w:divBdr>
    </w:div>
    <w:div w:id="646319469">
      <w:bodyDiv w:val="1"/>
      <w:marLeft w:val="0"/>
      <w:marRight w:val="0"/>
      <w:marTop w:val="0"/>
      <w:marBottom w:val="0"/>
      <w:divBdr>
        <w:top w:val="none" w:sz="0" w:space="0" w:color="auto"/>
        <w:left w:val="none" w:sz="0" w:space="0" w:color="auto"/>
        <w:bottom w:val="none" w:sz="0" w:space="0" w:color="auto"/>
        <w:right w:val="none" w:sz="0" w:space="0" w:color="auto"/>
      </w:divBdr>
    </w:div>
    <w:div w:id="662048482">
      <w:bodyDiv w:val="1"/>
      <w:marLeft w:val="0"/>
      <w:marRight w:val="0"/>
      <w:marTop w:val="0"/>
      <w:marBottom w:val="0"/>
      <w:divBdr>
        <w:top w:val="none" w:sz="0" w:space="0" w:color="auto"/>
        <w:left w:val="none" w:sz="0" w:space="0" w:color="auto"/>
        <w:bottom w:val="none" w:sz="0" w:space="0" w:color="auto"/>
        <w:right w:val="none" w:sz="0" w:space="0" w:color="auto"/>
      </w:divBdr>
    </w:div>
    <w:div w:id="668218348">
      <w:bodyDiv w:val="1"/>
      <w:marLeft w:val="0"/>
      <w:marRight w:val="0"/>
      <w:marTop w:val="0"/>
      <w:marBottom w:val="0"/>
      <w:divBdr>
        <w:top w:val="none" w:sz="0" w:space="0" w:color="auto"/>
        <w:left w:val="none" w:sz="0" w:space="0" w:color="auto"/>
        <w:bottom w:val="none" w:sz="0" w:space="0" w:color="auto"/>
        <w:right w:val="none" w:sz="0" w:space="0" w:color="auto"/>
      </w:divBdr>
    </w:div>
    <w:div w:id="675763195">
      <w:bodyDiv w:val="1"/>
      <w:marLeft w:val="0"/>
      <w:marRight w:val="0"/>
      <w:marTop w:val="0"/>
      <w:marBottom w:val="0"/>
      <w:divBdr>
        <w:top w:val="none" w:sz="0" w:space="0" w:color="auto"/>
        <w:left w:val="none" w:sz="0" w:space="0" w:color="auto"/>
        <w:bottom w:val="none" w:sz="0" w:space="0" w:color="auto"/>
        <w:right w:val="none" w:sz="0" w:space="0" w:color="auto"/>
      </w:divBdr>
    </w:div>
    <w:div w:id="677194179">
      <w:bodyDiv w:val="1"/>
      <w:marLeft w:val="0"/>
      <w:marRight w:val="0"/>
      <w:marTop w:val="0"/>
      <w:marBottom w:val="0"/>
      <w:divBdr>
        <w:top w:val="none" w:sz="0" w:space="0" w:color="auto"/>
        <w:left w:val="none" w:sz="0" w:space="0" w:color="auto"/>
        <w:bottom w:val="none" w:sz="0" w:space="0" w:color="auto"/>
        <w:right w:val="none" w:sz="0" w:space="0" w:color="auto"/>
      </w:divBdr>
    </w:div>
    <w:div w:id="707609724">
      <w:bodyDiv w:val="1"/>
      <w:marLeft w:val="0"/>
      <w:marRight w:val="0"/>
      <w:marTop w:val="0"/>
      <w:marBottom w:val="0"/>
      <w:divBdr>
        <w:top w:val="none" w:sz="0" w:space="0" w:color="auto"/>
        <w:left w:val="none" w:sz="0" w:space="0" w:color="auto"/>
        <w:bottom w:val="none" w:sz="0" w:space="0" w:color="auto"/>
        <w:right w:val="none" w:sz="0" w:space="0" w:color="auto"/>
      </w:divBdr>
    </w:div>
    <w:div w:id="724568756">
      <w:bodyDiv w:val="1"/>
      <w:marLeft w:val="0"/>
      <w:marRight w:val="0"/>
      <w:marTop w:val="0"/>
      <w:marBottom w:val="0"/>
      <w:divBdr>
        <w:top w:val="none" w:sz="0" w:space="0" w:color="auto"/>
        <w:left w:val="none" w:sz="0" w:space="0" w:color="auto"/>
        <w:bottom w:val="none" w:sz="0" w:space="0" w:color="auto"/>
        <w:right w:val="none" w:sz="0" w:space="0" w:color="auto"/>
      </w:divBdr>
    </w:div>
    <w:div w:id="730006739">
      <w:bodyDiv w:val="1"/>
      <w:marLeft w:val="0"/>
      <w:marRight w:val="0"/>
      <w:marTop w:val="0"/>
      <w:marBottom w:val="0"/>
      <w:divBdr>
        <w:top w:val="none" w:sz="0" w:space="0" w:color="auto"/>
        <w:left w:val="none" w:sz="0" w:space="0" w:color="auto"/>
        <w:bottom w:val="none" w:sz="0" w:space="0" w:color="auto"/>
        <w:right w:val="none" w:sz="0" w:space="0" w:color="auto"/>
      </w:divBdr>
    </w:div>
    <w:div w:id="743845292">
      <w:bodyDiv w:val="1"/>
      <w:marLeft w:val="0"/>
      <w:marRight w:val="0"/>
      <w:marTop w:val="0"/>
      <w:marBottom w:val="0"/>
      <w:divBdr>
        <w:top w:val="none" w:sz="0" w:space="0" w:color="auto"/>
        <w:left w:val="none" w:sz="0" w:space="0" w:color="auto"/>
        <w:bottom w:val="none" w:sz="0" w:space="0" w:color="auto"/>
        <w:right w:val="none" w:sz="0" w:space="0" w:color="auto"/>
      </w:divBdr>
    </w:div>
    <w:div w:id="800920995">
      <w:bodyDiv w:val="1"/>
      <w:marLeft w:val="0"/>
      <w:marRight w:val="0"/>
      <w:marTop w:val="0"/>
      <w:marBottom w:val="0"/>
      <w:divBdr>
        <w:top w:val="none" w:sz="0" w:space="0" w:color="auto"/>
        <w:left w:val="none" w:sz="0" w:space="0" w:color="auto"/>
        <w:bottom w:val="none" w:sz="0" w:space="0" w:color="auto"/>
        <w:right w:val="none" w:sz="0" w:space="0" w:color="auto"/>
      </w:divBdr>
    </w:div>
    <w:div w:id="817838930">
      <w:bodyDiv w:val="1"/>
      <w:marLeft w:val="0"/>
      <w:marRight w:val="0"/>
      <w:marTop w:val="0"/>
      <w:marBottom w:val="0"/>
      <w:divBdr>
        <w:top w:val="none" w:sz="0" w:space="0" w:color="auto"/>
        <w:left w:val="none" w:sz="0" w:space="0" w:color="auto"/>
        <w:bottom w:val="none" w:sz="0" w:space="0" w:color="auto"/>
        <w:right w:val="none" w:sz="0" w:space="0" w:color="auto"/>
      </w:divBdr>
      <w:divsChild>
        <w:div w:id="562758811">
          <w:marLeft w:val="480"/>
          <w:marRight w:val="0"/>
          <w:marTop w:val="0"/>
          <w:marBottom w:val="0"/>
          <w:divBdr>
            <w:top w:val="none" w:sz="0" w:space="0" w:color="auto"/>
            <w:left w:val="none" w:sz="0" w:space="0" w:color="auto"/>
            <w:bottom w:val="none" w:sz="0" w:space="0" w:color="auto"/>
            <w:right w:val="none" w:sz="0" w:space="0" w:color="auto"/>
          </w:divBdr>
          <w:divsChild>
            <w:div w:id="3642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4945">
      <w:bodyDiv w:val="1"/>
      <w:marLeft w:val="0"/>
      <w:marRight w:val="0"/>
      <w:marTop w:val="0"/>
      <w:marBottom w:val="0"/>
      <w:divBdr>
        <w:top w:val="none" w:sz="0" w:space="0" w:color="auto"/>
        <w:left w:val="none" w:sz="0" w:space="0" w:color="auto"/>
        <w:bottom w:val="none" w:sz="0" w:space="0" w:color="auto"/>
        <w:right w:val="none" w:sz="0" w:space="0" w:color="auto"/>
      </w:divBdr>
    </w:div>
    <w:div w:id="872353028">
      <w:bodyDiv w:val="1"/>
      <w:marLeft w:val="0"/>
      <w:marRight w:val="0"/>
      <w:marTop w:val="0"/>
      <w:marBottom w:val="0"/>
      <w:divBdr>
        <w:top w:val="none" w:sz="0" w:space="0" w:color="auto"/>
        <w:left w:val="none" w:sz="0" w:space="0" w:color="auto"/>
        <w:bottom w:val="none" w:sz="0" w:space="0" w:color="auto"/>
        <w:right w:val="none" w:sz="0" w:space="0" w:color="auto"/>
      </w:divBdr>
    </w:div>
    <w:div w:id="873739089">
      <w:bodyDiv w:val="1"/>
      <w:marLeft w:val="0"/>
      <w:marRight w:val="0"/>
      <w:marTop w:val="0"/>
      <w:marBottom w:val="0"/>
      <w:divBdr>
        <w:top w:val="none" w:sz="0" w:space="0" w:color="auto"/>
        <w:left w:val="none" w:sz="0" w:space="0" w:color="auto"/>
        <w:bottom w:val="none" w:sz="0" w:space="0" w:color="auto"/>
        <w:right w:val="none" w:sz="0" w:space="0" w:color="auto"/>
      </w:divBdr>
    </w:div>
    <w:div w:id="889730809">
      <w:bodyDiv w:val="1"/>
      <w:marLeft w:val="0"/>
      <w:marRight w:val="0"/>
      <w:marTop w:val="0"/>
      <w:marBottom w:val="0"/>
      <w:divBdr>
        <w:top w:val="none" w:sz="0" w:space="0" w:color="auto"/>
        <w:left w:val="none" w:sz="0" w:space="0" w:color="auto"/>
        <w:bottom w:val="none" w:sz="0" w:space="0" w:color="auto"/>
        <w:right w:val="none" w:sz="0" w:space="0" w:color="auto"/>
      </w:divBdr>
    </w:div>
    <w:div w:id="921109186">
      <w:bodyDiv w:val="1"/>
      <w:marLeft w:val="0"/>
      <w:marRight w:val="0"/>
      <w:marTop w:val="0"/>
      <w:marBottom w:val="0"/>
      <w:divBdr>
        <w:top w:val="none" w:sz="0" w:space="0" w:color="auto"/>
        <w:left w:val="none" w:sz="0" w:space="0" w:color="auto"/>
        <w:bottom w:val="none" w:sz="0" w:space="0" w:color="auto"/>
        <w:right w:val="none" w:sz="0" w:space="0" w:color="auto"/>
      </w:divBdr>
    </w:div>
    <w:div w:id="922563701">
      <w:bodyDiv w:val="1"/>
      <w:marLeft w:val="0"/>
      <w:marRight w:val="0"/>
      <w:marTop w:val="0"/>
      <w:marBottom w:val="0"/>
      <w:divBdr>
        <w:top w:val="none" w:sz="0" w:space="0" w:color="auto"/>
        <w:left w:val="none" w:sz="0" w:space="0" w:color="auto"/>
        <w:bottom w:val="none" w:sz="0" w:space="0" w:color="auto"/>
        <w:right w:val="none" w:sz="0" w:space="0" w:color="auto"/>
      </w:divBdr>
      <w:divsChild>
        <w:div w:id="1946882644">
          <w:marLeft w:val="480"/>
          <w:marRight w:val="0"/>
          <w:marTop w:val="0"/>
          <w:marBottom w:val="0"/>
          <w:divBdr>
            <w:top w:val="none" w:sz="0" w:space="0" w:color="auto"/>
            <w:left w:val="none" w:sz="0" w:space="0" w:color="auto"/>
            <w:bottom w:val="none" w:sz="0" w:space="0" w:color="auto"/>
            <w:right w:val="none" w:sz="0" w:space="0" w:color="auto"/>
          </w:divBdr>
          <w:divsChild>
            <w:div w:id="14399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806">
      <w:bodyDiv w:val="1"/>
      <w:marLeft w:val="0"/>
      <w:marRight w:val="0"/>
      <w:marTop w:val="0"/>
      <w:marBottom w:val="0"/>
      <w:divBdr>
        <w:top w:val="none" w:sz="0" w:space="0" w:color="auto"/>
        <w:left w:val="none" w:sz="0" w:space="0" w:color="auto"/>
        <w:bottom w:val="none" w:sz="0" w:space="0" w:color="auto"/>
        <w:right w:val="none" w:sz="0" w:space="0" w:color="auto"/>
      </w:divBdr>
    </w:div>
    <w:div w:id="936597814">
      <w:bodyDiv w:val="1"/>
      <w:marLeft w:val="0"/>
      <w:marRight w:val="0"/>
      <w:marTop w:val="0"/>
      <w:marBottom w:val="0"/>
      <w:divBdr>
        <w:top w:val="none" w:sz="0" w:space="0" w:color="auto"/>
        <w:left w:val="none" w:sz="0" w:space="0" w:color="auto"/>
        <w:bottom w:val="none" w:sz="0" w:space="0" w:color="auto"/>
        <w:right w:val="none" w:sz="0" w:space="0" w:color="auto"/>
      </w:divBdr>
    </w:div>
    <w:div w:id="948901253">
      <w:bodyDiv w:val="1"/>
      <w:marLeft w:val="0"/>
      <w:marRight w:val="0"/>
      <w:marTop w:val="0"/>
      <w:marBottom w:val="0"/>
      <w:divBdr>
        <w:top w:val="none" w:sz="0" w:space="0" w:color="auto"/>
        <w:left w:val="none" w:sz="0" w:space="0" w:color="auto"/>
        <w:bottom w:val="none" w:sz="0" w:space="0" w:color="auto"/>
        <w:right w:val="none" w:sz="0" w:space="0" w:color="auto"/>
      </w:divBdr>
      <w:divsChild>
        <w:div w:id="1606111940">
          <w:marLeft w:val="480"/>
          <w:marRight w:val="0"/>
          <w:marTop w:val="0"/>
          <w:marBottom w:val="0"/>
          <w:divBdr>
            <w:top w:val="none" w:sz="0" w:space="0" w:color="auto"/>
            <w:left w:val="none" w:sz="0" w:space="0" w:color="auto"/>
            <w:bottom w:val="none" w:sz="0" w:space="0" w:color="auto"/>
            <w:right w:val="none" w:sz="0" w:space="0" w:color="auto"/>
          </w:divBdr>
          <w:divsChild>
            <w:div w:id="8513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6428">
      <w:bodyDiv w:val="1"/>
      <w:marLeft w:val="0"/>
      <w:marRight w:val="0"/>
      <w:marTop w:val="0"/>
      <w:marBottom w:val="0"/>
      <w:divBdr>
        <w:top w:val="none" w:sz="0" w:space="0" w:color="auto"/>
        <w:left w:val="none" w:sz="0" w:space="0" w:color="auto"/>
        <w:bottom w:val="none" w:sz="0" w:space="0" w:color="auto"/>
        <w:right w:val="none" w:sz="0" w:space="0" w:color="auto"/>
      </w:divBdr>
    </w:div>
    <w:div w:id="984510372">
      <w:bodyDiv w:val="1"/>
      <w:marLeft w:val="0"/>
      <w:marRight w:val="0"/>
      <w:marTop w:val="0"/>
      <w:marBottom w:val="0"/>
      <w:divBdr>
        <w:top w:val="none" w:sz="0" w:space="0" w:color="auto"/>
        <w:left w:val="none" w:sz="0" w:space="0" w:color="auto"/>
        <w:bottom w:val="none" w:sz="0" w:space="0" w:color="auto"/>
        <w:right w:val="none" w:sz="0" w:space="0" w:color="auto"/>
      </w:divBdr>
    </w:div>
    <w:div w:id="990863872">
      <w:bodyDiv w:val="1"/>
      <w:marLeft w:val="0"/>
      <w:marRight w:val="0"/>
      <w:marTop w:val="0"/>
      <w:marBottom w:val="0"/>
      <w:divBdr>
        <w:top w:val="none" w:sz="0" w:space="0" w:color="auto"/>
        <w:left w:val="none" w:sz="0" w:space="0" w:color="auto"/>
        <w:bottom w:val="none" w:sz="0" w:space="0" w:color="auto"/>
        <w:right w:val="none" w:sz="0" w:space="0" w:color="auto"/>
      </w:divBdr>
    </w:div>
    <w:div w:id="1004625683">
      <w:bodyDiv w:val="1"/>
      <w:marLeft w:val="0"/>
      <w:marRight w:val="0"/>
      <w:marTop w:val="0"/>
      <w:marBottom w:val="0"/>
      <w:divBdr>
        <w:top w:val="none" w:sz="0" w:space="0" w:color="auto"/>
        <w:left w:val="none" w:sz="0" w:space="0" w:color="auto"/>
        <w:bottom w:val="none" w:sz="0" w:space="0" w:color="auto"/>
        <w:right w:val="none" w:sz="0" w:space="0" w:color="auto"/>
      </w:divBdr>
    </w:div>
    <w:div w:id="1009138535">
      <w:bodyDiv w:val="1"/>
      <w:marLeft w:val="0"/>
      <w:marRight w:val="0"/>
      <w:marTop w:val="0"/>
      <w:marBottom w:val="0"/>
      <w:divBdr>
        <w:top w:val="none" w:sz="0" w:space="0" w:color="auto"/>
        <w:left w:val="none" w:sz="0" w:space="0" w:color="auto"/>
        <w:bottom w:val="none" w:sz="0" w:space="0" w:color="auto"/>
        <w:right w:val="none" w:sz="0" w:space="0" w:color="auto"/>
      </w:divBdr>
    </w:div>
    <w:div w:id="1056393416">
      <w:bodyDiv w:val="1"/>
      <w:marLeft w:val="0"/>
      <w:marRight w:val="0"/>
      <w:marTop w:val="0"/>
      <w:marBottom w:val="0"/>
      <w:divBdr>
        <w:top w:val="none" w:sz="0" w:space="0" w:color="auto"/>
        <w:left w:val="none" w:sz="0" w:space="0" w:color="auto"/>
        <w:bottom w:val="none" w:sz="0" w:space="0" w:color="auto"/>
        <w:right w:val="none" w:sz="0" w:space="0" w:color="auto"/>
      </w:divBdr>
    </w:div>
    <w:div w:id="1066998232">
      <w:bodyDiv w:val="1"/>
      <w:marLeft w:val="0"/>
      <w:marRight w:val="0"/>
      <w:marTop w:val="0"/>
      <w:marBottom w:val="0"/>
      <w:divBdr>
        <w:top w:val="none" w:sz="0" w:space="0" w:color="auto"/>
        <w:left w:val="none" w:sz="0" w:space="0" w:color="auto"/>
        <w:bottom w:val="none" w:sz="0" w:space="0" w:color="auto"/>
        <w:right w:val="none" w:sz="0" w:space="0" w:color="auto"/>
      </w:divBdr>
    </w:div>
    <w:div w:id="1101491671">
      <w:bodyDiv w:val="1"/>
      <w:marLeft w:val="0"/>
      <w:marRight w:val="0"/>
      <w:marTop w:val="0"/>
      <w:marBottom w:val="0"/>
      <w:divBdr>
        <w:top w:val="none" w:sz="0" w:space="0" w:color="auto"/>
        <w:left w:val="none" w:sz="0" w:space="0" w:color="auto"/>
        <w:bottom w:val="none" w:sz="0" w:space="0" w:color="auto"/>
        <w:right w:val="none" w:sz="0" w:space="0" w:color="auto"/>
      </w:divBdr>
    </w:div>
    <w:div w:id="1114516479">
      <w:bodyDiv w:val="1"/>
      <w:marLeft w:val="0"/>
      <w:marRight w:val="0"/>
      <w:marTop w:val="0"/>
      <w:marBottom w:val="0"/>
      <w:divBdr>
        <w:top w:val="none" w:sz="0" w:space="0" w:color="auto"/>
        <w:left w:val="none" w:sz="0" w:space="0" w:color="auto"/>
        <w:bottom w:val="none" w:sz="0" w:space="0" w:color="auto"/>
        <w:right w:val="none" w:sz="0" w:space="0" w:color="auto"/>
      </w:divBdr>
    </w:div>
    <w:div w:id="1125612806">
      <w:bodyDiv w:val="1"/>
      <w:marLeft w:val="0"/>
      <w:marRight w:val="0"/>
      <w:marTop w:val="0"/>
      <w:marBottom w:val="0"/>
      <w:divBdr>
        <w:top w:val="none" w:sz="0" w:space="0" w:color="auto"/>
        <w:left w:val="none" w:sz="0" w:space="0" w:color="auto"/>
        <w:bottom w:val="none" w:sz="0" w:space="0" w:color="auto"/>
        <w:right w:val="none" w:sz="0" w:space="0" w:color="auto"/>
      </w:divBdr>
    </w:div>
    <w:div w:id="1138843732">
      <w:bodyDiv w:val="1"/>
      <w:marLeft w:val="0"/>
      <w:marRight w:val="0"/>
      <w:marTop w:val="0"/>
      <w:marBottom w:val="0"/>
      <w:divBdr>
        <w:top w:val="none" w:sz="0" w:space="0" w:color="auto"/>
        <w:left w:val="none" w:sz="0" w:space="0" w:color="auto"/>
        <w:bottom w:val="none" w:sz="0" w:space="0" w:color="auto"/>
        <w:right w:val="none" w:sz="0" w:space="0" w:color="auto"/>
      </w:divBdr>
    </w:div>
    <w:div w:id="1138887226">
      <w:bodyDiv w:val="1"/>
      <w:marLeft w:val="0"/>
      <w:marRight w:val="0"/>
      <w:marTop w:val="0"/>
      <w:marBottom w:val="0"/>
      <w:divBdr>
        <w:top w:val="none" w:sz="0" w:space="0" w:color="auto"/>
        <w:left w:val="none" w:sz="0" w:space="0" w:color="auto"/>
        <w:bottom w:val="none" w:sz="0" w:space="0" w:color="auto"/>
        <w:right w:val="none" w:sz="0" w:space="0" w:color="auto"/>
      </w:divBdr>
    </w:div>
    <w:div w:id="1145393477">
      <w:bodyDiv w:val="1"/>
      <w:marLeft w:val="0"/>
      <w:marRight w:val="0"/>
      <w:marTop w:val="0"/>
      <w:marBottom w:val="0"/>
      <w:divBdr>
        <w:top w:val="none" w:sz="0" w:space="0" w:color="auto"/>
        <w:left w:val="none" w:sz="0" w:space="0" w:color="auto"/>
        <w:bottom w:val="none" w:sz="0" w:space="0" w:color="auto"/>
        <w:right w:val="none" w:sz="0" w:space="0" w:color="auto"/>
      </w:divBdr>
    </w:div>
    <w:div w:id="1147279159">
      <w:bodyDiv w:val="1"/>
      <w:marLeft w:val="0"/>
      <w:marRight w:val="0"/>
      <w:marTop w:val="0"/>
      <w:marBottom w:val="0"/>
      <w:divBdr>
        <w:top w:val="none" w:sz="0" w:space="0" w:color="auto"/>
        <w:left w:val="none" w:sz="0" w:space="0" w:color="auto"/>
        <w:bottom w:val="none" w:sz="0" w:space="0" w:color="auto"/>
        <w:right w:val="none" w:sz="0" w:space="0" w:color="auto"/>
      </w:divBdr>
    </w:div>
    <w:div w:id="1157454143">
      <w:bodyDiv w:val="1"/>
      <w:marLeft w:val="0"/>
      <w:marRight w:val="0"/>
      <w:marTop w:val="0"/>
      <w:marBottom w:val="0"/>
      <w:divBdr>
        <w:top w:val="none" w:sz="0" w:space="0" w:color="auto"/>
        <w:left w:val="none" w:sz="0" w:space="0" w:color="auto"/>
        <w:bottom w:val="none" w:sz="0" w:space="0" w:color="auto"/>
        <w:right w:val="none" w:sz="0" w:space="0" w:color="auto"/>
      </w:divBdr>
    </w:div>
    <w:div w:id="1167748651">
      <w:bodyDiv w:val="1"/>
      <w:marLeft w:val="0"/>
      <w:marRight w:val="0"/>
      <w:marTop w:val="0"/>
      <w:marBottom w:val="0"/>
      <w:divBdr>
        <w:top w:val="none" w:sz="0" w:space="0" w:color="auto"/>
        <w:left w:val="none" w:sz="0" w:space="0" w:color="auto"/>
        <w:bottom w:val="none" w:sz="0" w:space="0" w:color="auto"/>
        <w:right w:val="none" w:sz="0" w:space="0" w:color="auto"/>
      </w:divBdr>
    </w:div>
    <w:div w:id="1173688653">
      <w:bodyDiv w:val="1"/>
      <w:marLeft w:val="0"/>
      <w:marRight w:val="0"/>
      <w:marTop w:val="0"/>
      <w:marBottom w:val="0"/>
      <w:divBdr>
        <w:top w:val="none" w:sz="0" w:space="0" w:color="auto"/>
        <w:left w:val="none" w:sz="0" w:space="0" w:color="auto"/>
        <w:bottom w:val="none" w:sz="0" w:space="0" w:color="auto"/>
        <w:right w:val="none" w:sz="0" w:space="0" w:color="auto"/>
      </w:divBdr>
    </w:div>
    <w:div w:id="1181822915">
      <w:bodyDiv w:val="1"/>
      <w:marLeft w:val="0"/>
      <w:marRight w:val="0"/>
      <w:marTop w:val="0"/>
      <w:marBottom w:val="0"/>
      <w:divBdr>
        <w:top w:val="none" w:sz="0" w:space="0" w:color="auto"/>
        <w:left w:val="none" w:sz="0" w:space="0" w:color="auto"/>
        <w:bottom w:val="none" w:sz="0" w:space="0" w:color="auto"/>
        <w:right w:val="none" w:sz="0" w:space="0" w:color="auto"/>
      </w:divBdr>
      <w:divsChild>
        <w:div w:id="1540700059">
          <w:marLeft w:val="480"/>
          <w:marRight w:val="0"/>
          <w:marTop w:val="0"/>
          <w:marBottom w:val="0"/>
          <w:divBdr>
            <w:top w:val="none" w:sz="0" w:space="0" w:color="auto"/>
            <w:left w:val="none" w:sz="0" w:space="0" w:color="auto"/>
            <w:bottom w:val="none" w:sz="0" w:space="0" w:color="auto"/>
            <w:right w:val="none" w:sz="0" w:space="0" w:color="auto"/>
          </w:divBdr>
          <w:divsChild>
            <w:div w:id="18268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868">
      <w:bodyDiv w:val="1"/>
      <w:marLeft w:val="0"/>
      <w:marRight w:val="0"/>
      <w:marTop w:val="0"/>
      <w:marBottom w:val="0"/>
      <w:divBdr>
        <w:top w:val="none" w:sz="0" w:space="0" w:color="auto"/>
        <w:left w:val="none" w:sz="0" w:space="0" w:color="auto"/>
        <w:bottom w:val="none" w:sz="0" w:space="0" w:color="auto"/>
        <w:right w:val="none" w:sz="0" w:space="0" w:color="auto"/>
      </w:divBdr>
    </w:div>
    <w:div w:id="1197349392">
      <w:bodyDiv w:val="1"/>
      <w:marLeft w:val="0"/>
      <w:marRight w:val="0"/>
      <w:marTop w:val="0"/>
      <w:marBottom w:val="0"/>
      <w:divBdr>
        <w:top w:val="none" w:sz="0" w:space="0" w:color="auto"/>
        <w:left w:val="none" w:sz="0" w:space="0" w:color="auto"/>
        <w:bottom w:val="none" w:sz="0" w:space="0" w:color="auto"/>
        <w:right w:val="none" w:sz="0" w:space="0" w:color="auto"/>
      </w:divBdr>
    </w:div>
    <w:div w:id="1207835319">
      <w:bodyDiv w:val="1"/>
      <w:marLeft w:val="0"/>
      <w:marRight w:val="0"/>
      <w:marTop w:val="0"/>
      <w:marBottom w:val="0"/>
      <w:divBdr>
        <w:top w:val="none" w:sz="0" w:space="0" w:color="auto"/>
        <w:left w:val="none" w:sz="0" w:space="0" w:color="auto"/>
        <w:bottom w:val="none" w:sz="0" w:space="0" w:color="auto"/>
        <w:right w:val="none" w:sz="0" w:space="0" w:color="auto"/>
      </w:divBdr>
    </w:div>
    <w:div w:id="1225527922">
      <w:bodyDiv w:val="1"/>
      <w:marLeft w:val="0"/>
      <w:marRight w:val="0"/>
      <w:marTop w:val="0"/>
      <w:marBottom w:val="0"/>
      <w:divBdr>
        <w:top w:val="none" w:sz="0" w:space="0" w:color="auto"/>
        <w:left w:val="none" w:sz="0" w:space="0" w:color="auto"/>
        <w:bottom w:val="none" w:sz="0" w:space="0" w:color="auto"/>
        <w:right w:val="none" w:sz="0" w:space="0" w:color="auto"/>
      </w:divBdr>
      <w:divsChild>
        <w:div w:id="231238392">
          <w:marLeft w:val="480"/>
          <w:marRight w:val="0"/>
          <w:marTop w:val="0"/>
          <w:marBottom w:val="0"/>
          <w:divBdr>
            <w:top w:val="none" w:sz="0" w:space="0" w:color="auto"/>
            <w:left w:val="none" w:sz="0" w:space="0" w:color="auto"/>
            <w:bottom w:val="none" w:sz="0" w:space="0" w:color="auto"/>
            <w:right w:val="none" w:sz="0" w:space="0" w:color="auto"/>
          </w:divBdr>
          <w:divsChild>
            <w:div w:id="243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8522">
      <w:bodyDiv w:val="1"/>
      <w:marLeft w:val="0"/>
      <w:marRight w:val="0"/>
      <w:marTop w:val="0"/>
      <w:marBottom w:val="0"/>
      <w:divBdr>
        <w:top w:val="none" w:sz="0" w:space="0" w:color="auto"/>
        <w:left w:val="none" w:sz="0" w:space="0" w:color="auto"/>
        <w:bottom w:val="none" w:sz="0" w:space="0" w:color="auto"/>
        <w:right w:val="none" w:sz="0" w:space="0" w:color="auto"/>
      </w:divBdr>
      <w:divsChild>
        <w:div w:id="1259752789">
          <w:marLeft w:val="480"/>
          <w:marRight w:val="0"/>
          <w:marTop w:val="0"/>
          <w:marBottom w:val="0"/>
          <w:divBdr>
            <w:top w:val="none" w:sz="0" w:space="0" w:color="auto"/>
            <w:left w:val="none" w:sz="0" w:space="0" w:color="auto"/>
            <w:bottom w:val="none" w:sz="0" w:space="0" w:color="auto"/>
            <w:right w:val="none" w:sz="0" w:space="0" w:color="auto"/>
          </w:divBdr>
          <w:divsChild>
            <w:div w:id="19890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897">
      <w:bodyDiv w:val="1"/>
      <w:marLeft w:val="0"/>
      <w:marRight w:val="0"/>
      <w:marTop w:val="0"/>
      <w:marBottom w:val="0"/>
      <w:divBdr>
        <w:top w:val="none" w:sz="0" w:space="0" w:color="auto"/>
        <w:left w:val="none" w:sz="0" w:space="0" w:color="auto"/>
        <w:bottom w:val="none" w:sz="0" w:space="0" w:color="auto"/>
        <w:right w:val="none" w:sz="0" w:space="0" w:color="auto"/>
      </w:divBdr>
    </w:div>
    <w:div w:id="1270236295">
      <w:bodyDiv w:val="1"/>
      <w:marLeft w:val="0"/>
      <w:marRight w:val="0"/>
      <w:marTop w:val="0"/>
      <w:marBottom w:val="0"/>
      <w:divBdr>
        <w:top w:val="none" w:sz="0" w:space="0" w:color="auto"/>
        <w:left w:val="none" w:sz="0" w:space="0" w:color="auto"/>
        <w:bottom w:val="none" w:sz="0" w:space="0" w:color="auto"/>
        <w:right w:val="none" w:sz="0" w:space="0" w:color="auto"/>
      </w:divBdr>
    </w:div>
    <w:div w:id="1275334029">
      <w:bodyDiv w:val="1"/>
      <w:marLeft w:val="0"/>
      <w:marRight w:val="0"/>
      <w:marTop w:val="0"/>
      <w:marBottom w:val="0"/>
      <w:divBdr>
        <w:top w:val="none" w:sz="0" w:space="0" w:color="auto"/>
        <w:left w:val="none" w:sz="0" w:space="0" w:color="auto"/>
        <w:bottom w:val="none" w:sz="0" w:space="0" w:color="auto"/>
        <w:right w:val="none" w:sz="0" w:space="0" w:color="auto"/>
      </w:divBdr>
    </w:div>
    <w:div w:id="1301839579">
      <w:bodyDiv w:val="1"/>
      <w:marLeft w:val="0"/>
      <w:marRight w:val="0"/>
      <w:marTop w:val="0"/>
      <w:marBottom w:val="0"/>
      <w:divBdr>
        <w:top w:val="none" w:sz="0" w:space="0" w:color="auto"/>
        <w:left w:val="none" w:sz="0" w:space="0" w:color="auto"/>
        <w:bottom w:val="none" w:sz="0" w:space="0" w:color="auto"/>
        <w:right w:val="none" w:sz="0" w:space="0" w:color="auto"/>
      </w:divBdr>
      <w:divsChild>
        <w:div w:id="1859343084">
          <w:marLeft w:val="480"/>
          <w:marRight w:val="0"/>
          <w:marTop w:val="0"/>
          <w:marBottom w:val="0"/>
          <w:divBdr>
            <w:top w:val="none" w:sz="0" w:space="0" w:color="auto"/>
            <w:left w:val="none" w:sz="0" w:space="0" w:color="auto"/>
            <w:bottom w:val="none" w:sz="0" w:space="0" w:color="auto"/>
            <w:right w:val="none" w:sz="0" w:space="0" w:color="auto"/>
          </w:divBdr>
          <w:divsChild>
            <w:div w:id="1730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366">
      <w:bodyDiv w:val="1"/>
      <w:marLeft w:val="0"/>
      <w:marRight w:val="0"/>
      <w:marTop w:val="0"/>
      <w:marBottom w:val="0"/>
      <w:divBdr>
        <w:top w:val="none" w:sz="0" w:space="0" w:color="auto"/>
        <w:left w:val="none" w:sz="0" w:space="0" w:color="auto"/>
        <w:bottom w:val="none" w:sz="0" w:space="0" w:color="auto"/>
        <w:right w:val="none" w:sz="0" w:space="0" w:color="auto"/>
      </w:divBdr>
    </w:div>
    <w:div w:id="1321156644">
      <w:bodyDiv w:val="1"/>
      <w:marLeft w:val="0"/>
      <w:marRight w:val="0"/>
      <w:marTop w:val="0"/>
      <w:marBottom w:val="0"/>
      <w:divBdr>
        <w:top w:val="none" w:sz="0" w:space="0" w:color="auto"/>
        <w:left w:val="none" w:sz="0" w:space="0" w:color="auto"/>
        <w:bottom w:val="none" w:sz="0" w:space="0" w:color="auto"/>
        <w:right w:val="none" w:sz="0" w:space="0" w:color="auto"/>
      </w:divBdr>
    </w:div>
    <w:div w:id="1357462207">
      <w:bodyDiv w:val="1"/>
      <w:marLeft w:val="0"/>
      <w:marRight w:val="0"/>
      <w:marTop w:val="0"/>
      <w:marBottom w:val="0"/>
      <w:divBdr>
        <w:top w:val="none" w:sz="0" w:space="0" w:color="auto"/>
        <w:left w:val="none" w:sz="0" w:space="0" w:color="auto"/>
        <w:bottom w:val="none" w:sz="0" w:space="0" w:color="auto"/>
        <w:right w:val="none" w:sz="0" w:space="0" w:color="auto"/>
      </w:divBdr>
      <w:divsChild>
        <w:div w:id="1701928785">
          <w:marLeft w:val="480"/>
          <w:marRight w:val="0"/>
          <w:marTop w:val="0"/>
          <w:marBottom w:val="0"/>
          <w:divBdr>
            <w:top w:val="none" w:sz="0" w:space="0" w:color="auto"/>
            <w:left w:val="none" w:sz="0" w:space="0" w:color="auto"/>
            <w:bottom w:val="none" w:sz="0" w:space="0" w:color="auto"/>
            <w:right w:val="none" w:sz="0" w:space="0" w:color="auto"/>
          </w:divBdr>
          <w:divsChild>
            <w:div w:id="17908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354">
      <w:bodyDiv w:val="1"/>
      <w:marLeft w:val="0"/>
      <w:marRight w:val="0"/>
      <w:marTop w:val="0"/>
      <w:marBottom w:val="0"/>
      <w:divBdr>
        <w:top w:val="none" w:sz="0" w:space="0" w:color="auto"/>
        <w:left w:val="none" w:sz="0" w:space="0" w:color="auto"/>
        <w:bottom w:val="none" w:sz="0" w:space="0" w:color="auto"/>
        <w:right w:val="none" w:sz="0" w:space="0" w:color="auto"/>
      </w:divBdr>
    </w:div>
    <w:div w:id="1395353753">
      <w:bodyDiv w:val="1"/>
      <w:marLeft w:val="0"/>
      <w:marRight w:val="0"/>
      <w:marTop w:val="0"/>
      <w:marBottom w:val="0"/>
      <w:divBdr>
        <w:top w:val="none" w:sz="0" w:space="0" w:color="auto"/>
        <w:left w:val="none" w:sz="0" w:space="0" w:color="auto"/>
        <w:bottom w:val="none" w:sz="0" w:space="0" w:color="auto"/>
        <w:right w:val="none" w:sz="0" w:space="0" w:color="auto"/>
      </w:divBdr>
    </w:div>
    <w:div w:id="1397438707">
      <w:bodyDiv w:val="1"/>
      <w:marLeft w:val="0"/>
      <w:marRight w:val="0"/>
      <w:marTop w:val="0"/>
      <w:marBottom w:val="0"/>
      <w:divBdr>
        <w:top w:val="none" w:sz="0" w:space="0" w:color="auto"/>
        <w:left w:val="none" w:sz="0" w:space="0" w:color="auto"/>
        <w:bottom w:val="none" w:sz="0" w:space="0" w:color="auto"/>
        <w:right w:val="none" w:sz="0" w:space="0" w:color="auto"/>
      </w:divBdr>
    </w:div>
    <w:div w:id="1407266995">
      <w:bodyDiv w:val="1"/>
      <w:marLeft w:val="0"/>
      <w:marRight w:val="0"/>
      <w:marTop w:val="0"/>
      <w:marBottom w:val="0"/>
      <w:divBdr>
        <w:top w:val="none" w:sz="0" w:space="0" w:color="auto"/>
        <w:left w:val="none" w:sz="0" w:space="0" w:color="auto"/>
        <w:bottom w:val="none" w:sz="0" w:space="0" w:color="auto"/>
        <w:right w:val="none" w:sz="0" w:space="0" w:color="auto"/>
      </w:divBdr>
    </w:div>
    <w:div w:id="1417358222">
      <w:bodyDiv w:val="1"/>
      <w:marLeft w:val="0"/>
      <w:marRight w:val="0"/>
      <w:marTop w:val="0"/>
      <w:marBottom w:val="0"/>
      <w:divBdr>
        <w:top w:val="none" w:sz="0" w:space="0" w:color="auto"/>
        <w:left w:val="none" w:sz="0" w:space="0" w:color="auto"/>
        <w:bottom w:val="none" w:sz="0" w:space="0" w:color="auto"/>
        <w:right w:val="none" w:sz="0" w:space="0" w:color="auto"/>
      </w:divBdr>
    </w:div>
    <w:div w:id="1428843662">
      <w:bodyDiv w:val="1"/>
      <w:marLeft w:val="0"/>
      <w:marRight w:val="0"/>
      <w:marTop w:val="0"/>
      <w:marBottom w:val="0"/>
      <w:divBdr>
        <w:top w:val="none" w:sz="0" w:space="0" w:color="auto"/>
        <w:left w:val="none" w:sz="0" w:space="0" w:color="auto"/>
        <w:bottom w:val="none" w:sz="0" w:space="0" w:color="auto"/>
        <w:right w:val="none" w:sz="0" w:space="0" w:color="auto"/>
      </w:divBdr>
    </w:div>
    <w:div w:id="1497919556">
      <w:bodyDiv w:val="1"/>
      <w:marLeft w:val="0"/>
      <w:marRight w:val="0"/>
      <w:marTop w:val="0"/>
      <w:marBottom w:val="0"/>
      <w:divBdr>
        <w:top w:val="none" w:sz="0" w:space="0" w:color="auto"/>
        <w:left w:val="none" w:sz="0" w:space="0" w:color="auto"/>
        <w:bottom w:val="none" w:sz="0" w:space="0" w:color="auto"/>
        <w:right w:val="none" w:sz="0" w:space="0" w:color="auto"/>
      </w:divBdr>
    </w:div>
    <w:div w:id="1512261491">
      <w:bodyDiv w:val="1"/>
      <w:marLeft w:val="0"/>
      <w:marRight w:val="0"/>
      <w:marTop w:val="0"/>
      <w:marBottom w:val="0"/>
      <w:divBdr>
        <w:top w:val="none" w:sz="0" w:space="0" w:color="auto"/>
        <w:left w:val="none" w:sz="0" w:space="0" w:color="auto"/>
        <w:bottom w:val="none" w:sz="0" w:space="0" w:color="auto"/>
        <w:right w:val="none" w:sz="0" w:space="0" w:color="auto"/>
      </w:divBdr>
    </w:div>
    <w:div w:id="1560822983">
      <w:bodyDiv w:val="1"/>
      <w:marLeft w:val="0"/>
      <w:marRight w:val="0"/>
      <w:marTop w:val="0"/>
      <w:marBottom w:val="0"/>
      <w:divBdr>
        <w:top w:val="none" w:sz="0" w:space="0" w:color="auto"/>
        <w:left w:val="none" w:sz="0" w:space="0" w:color="auto"/>
        <w:bottom w:val="none" w:sz="0" w:space="0" w:color="auto"/>
        <w:right w:val="none" w:sz="0" w:space="0" w:color="auto"/>
      </w:divBdr>
    </w:div>
    <w:div w:id="1589776296">
      <w:bodyDiv w:val="1"/>
      <w:marLeft w:val="0"/>
      <w:marRight w:val="0"/>
      <w:marTop w:val="0"/>
      <w:marBottom w:val="0"/>
      <w:divBdr>
        <w:top w:val="none" w:sz="0" w:space="0" w:color="auto"/>
        <w:left w:val="none" w:sz="0" w:space="0" w:color="auto"/>
        <w:bottom w:val="none" w:sz="0" w:space="0" w:color="auto"/>
        <w:right w:val="none" w:sz="0" w:space="0" w:color="auto"/>
      </w:divBdr>
    </w:div>
    <w:div w:id="1643923918">
      <w:bodyDiv w:val="1"/>
      <w:marLeft w:val="0"/>
      <w:marRight w:val="0"/>
      <w:marTop w:val="0"/>
      <w:marBottom w:val="0"/>
      <w:divBdr>
        <w:top w:val="none" w:sz="0" w:space="0" w:color="auto"/>
        <w:left w:val="none" w:sz="0" w:space="0" w:color="auto"/>
        <w:bottom w:val="none" w:sz="0" w:space="0" w:color="auto"/>
        <w:right w:val="none" w:sz="0" w:space="0" w:color="auto"/>
      </w:divBdr>
    </w:div>
    <w:div w:id="1644772930">
      <w:bodyDiv w:val="1"/>
      <w:marLeft w:val="0"/>
      <w:marRight w:val="0"/>
      <w:marTop w:val="0"/>
      <w:marBottom w:val="0"/>
      <w:divBdr>
        <w:top w:val="none" w:sz="0" w:space="0" w:color="auto"/>
        <w:left w:val="none" w:sz="0" w:space="0" w:color="auto"/>
        <w:bottom w:val="none" w:sz="0" w:space="0" w:color="auto"/>
        <w:right w:val="none" w:sz="0" w:space="0" w:color="auto"/>
      </w:divBdr>
    </w:div>
    <w:div w:id="1647509515">
      <w:bodyDiv w:val="1"/>
      <w:marLeft w:val="0"/>
      <w:marRight w:val="0"/>
      <w:marTop w:val="0"/>
      <w:marBottom w:val="0"/>
      <w:divBdr>
        <w:top w:val="none" w:sz="0" w:space="0" w:color="auto"/>
        <w:left w:val="none" w:sz="0" w:space="0" w:color="auto"/>
        <w:bottom w:val="none" w:sz="0" w:space="0" w:color="auto"/>
        <w:right w:val="none" w:sz="0" w:space="0" w:color="auto"/>
      </w:divBdr>
      <w:divsChild>
        <w:div w:id="1757745539">
          <w:marLeft w:val="480"/>
          <w:marRight w:val="0"/>
          <w:marTop w:val="0"/>
          <w:marBottom w:val="0"/>
          <w:divBdr>
            <w:top w:val="none" w:sz="0" w:space="0" w:color="auto"/>
            <w:left w:val="none" w:sz="0" w:space="0" w:color="auto"/>
            <w:bottom w:val="none" w:sz="0" w:space="0" w:color="auto"/>
            <w:right w:val="none" w:sz="0" w:space="0" w:color="auto"/>
          </w:divBdr>
          <w:divsChild>
            <w:div w:id="1641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391">
      <w:bodyDiv w:val="1"/>
      <w:marLeft w:val="0"/>
      <w:marRight w:val="0"/>
      <w:marTop w:val="0"/>
      <w:marBottom w:val="0"/>
      <w:divBdr>
        <w:top w:val="none" w:sz="0" w:space="0" w:color="auto"/>
        <w:left w:val="none" w:sz="0" w:space="0" w:color="auto"/>
        <w:bottom w:val="none" w:sz="0" w:space="0" w:color="auto"/>
        <w:right w:val="none" w:sz="0" w:space="0" w:color="auto"/>
      </w:divBdr>
    </w:div>
    <w:div w:id="1705136713">
      <w:bodyDiv w:val="1"/>
      <w:marLeft w:val="0"/>
      <w:marRight w:val="0"/>
      <w:marTop w:val="0"/>
      <w:marBottom w:val="0"/>
      <w:divBdr>
        <w:top w:val="none" w:sz="0" w:space="0" w:color="auto"/>
        <w:left w:val="none" w:sz="0" w:space="0" w:color="auto"/>
        <w:bottom w:val="none" w:sz="0" w:space="0" w:color="auto"/>
        <w:right w:val="none" w:sz="0" w:space="0" w:color="auto"/>
      </w:divBdr>
    </w:div>
    <w:div w:id="1708530973">
      <w:bodyDiv w:val="1"/>
      <w:marLeft w:val="0"/>
      <w:marRight w:val="0"/>
      <w:marTop w:val="0"/>
      <w:marBottom w:val="0"/>
      <w:divBdr>
        <w:top w:val="none" w:sz="0" w:space="0" w:color="auto"/>
        <w:left w:val="none" w:sz="0" w:space="0" w:color="auto"/>
        <w:bottom w:val="none" w:sz="0" w:space="0" w:color="auto"/>
        <w:right w:val="none" w:sz="0" w:space="0" w:color="auto"/>
      </w:divBdr>
      <w:divsChild>
        <w:div w:id="1794902833">
          <w:marLeft w:val="480"/>
          <w:marRight w:val="0"/>
          <w:marTop w:val="0"/>
          <w:marBottom w:val="0"/>
          <w:divBdr>
            <w:top w:val="none" w:sz="0" w:space="0" w:color="auto"/>
            <w:left w:val="none" w:sz="0" w:space="0" w:color="auto"/>
            <w:bottom w:val="none" w:sz="0" w:space="0" w:color="auto"/>
            <w:right w:val="none" w:sz="0" w:space="0" w:color="auto"/>
          </w:divBdr>
          <w:divsChild>
            <w:div w:id="9593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2065">
      <w:bodyDiv w:val="1"/>
      <w:marLeft w:val="0"/>
      <w:marRight w:val="0"/>
      <w:marTop w:val="0"/>
      <w:marBottom w:val="0"/>
      <w:divBdr>
        <w:top w:val="none" w:sz="0" w:space="0" w:color="auto"/>
        <w:left w:val="none" w:sz="0" w:space="0" w:color="auto"/>
        <w:bottom w:val="none" w:sz="0" w:space="0" w:color="auto"/>
        <w:right w:val="none" w:sz="0" w:space="0" w:color="auto"/>
      </w:divBdr>
    </w:div>
    <w:div w:id="1752772579">
      <w:bodyDiv w:val="1"/>
      <w:marLeft w:val="0"/>
      <w:marRight w:val="0"/>
      <w:marTop w:val="0"/>
      <w:marBottom w:val="0"/>
      <w:divBdr>
        <w:top w:val="none" w:sz="0" w:space="0" w:color="auto"/>
        <w:left w:val="none" w:sz="0" w:space="0" w:color="auto"/>
        <w:bottom w:val="none" w:sz="0" w:space="0" w:color="auto"/>
        <w:right w:val="none" w:sz="0" w:space="0" w:color="auto"/>
      </w:divBdr>
    </w:div>
    <w:div w:id="1761485463">
      <w:bodyDiv w:val="1"/>
      <w:marLeft w:val="0"/>
      <w:marRight w:val="0"/>
      <w:marTop w:val="0"/>
      <w:marBottom w:val="0"/>
      <w:divBdr>
        <w:top w:val="none" w:sz="0" w:space="0" w:color="auto"/>
        <w:left w:val="none" w:sz="0" w:space="0" w:color="auto"/>
        <w:bottom w:val="none" w:sz="0" w:space="0" w:color="auto"/>
        <w:right w:val="none" w:sz="0" w:space="0" w:color="auto"/>
      </w:divBdr>
    </w:div>
    <w:div w:id="1769348940">
      <w:bodyDiv w:val="1"/>
      <w:marLeft w:val="0"/>
      <w:marRight w:val="0"/>
      <w:marTop w:val="0"/>
      <w:marBottom w:val="0"/>
      <w:divBdr>
        <w:top w:val="none" w:sz="0" w:space="0" w:color="auto"/>
        <w:left w:val="none" w:sz="0" w:space="0" w:color="auto"/>
        <w:bottom w:val="none" w:sz="0" w:space="0" w:color="auto"/>
        <w:right w:val="none" w:sz="0" w:space="0" w:color="auto"/>
      </w:divBdr>
    </w:div>
    <w:div w:id="1775787080">
      <w:bodyDiv w:val="1"/>
      <w:marLeft w:val="0"/>
      <w:marRight w:val="0"/>
      <w:marTop w:val="0"/>
      <w:marBottom w:val="0"/>
      <w:divBdr>
        <w:top w:val="none" w:sz="0" w:space="0" w:color="auto"/>
        <w:left w:val="none" w:sz="0" w:space="0" w:color="auto"/>
        <w:bottom w:val="none" w:sz="0" w:space="0" w:color="auto"/>
        <w:right w:val="none" w:sz="0" w:space="0" w:color="auto"/>
      </w:divBdr>
    </w:div>
    <w:div w:id="1782844179">
      <w:bodyDiv w:val="1"/>
      <w:marLeft w:val="0"/>
      <w:marRight w:val="0"/>
      <w:marTop w:val="0"/>
      <w:marBottom w:val="0"/>
      <w:divBdr>
        <w:top w:val="none" w:sz="0" w:space="0" w:color="auto"/>
        <w:left w:val="none" w:sz="0" w:space="0" w:color="auto"/>
        <w:bottom w:val="none" w:sz="0" w:space="0" w:color="auto"/>
        <w:right w:val="none" w:sz="0" w:space="0" w:color="auto"/>
      </w:divBdr>
    </w:div>
    <w:div w:id="1783452453">
      <w:bodyDiv w:val="1"/>
      <w:marLeft w:val="0"/>
      <w:marRight w:val="0"/>
      <w:marTop w:val="0"/>
      <w:marBottom w:val="0"/>
      <w:divBdr>
        <w:top w:val="none" w:sz="0" w:space="0" w:color="auto"/>
        <w:left w:val="none" w:sz="0" w:space="0" w:color="auto"/>
        <w:bottom w:val="none" w:sz="0" w:space="0" w:color="auto"/>
        <w:right w:val="none" w:sz="0" w:space="0" w:color="auto"/>
      </w:divBdr>
    </w:div>
    <w:div w:id="1789810158">
      <w:bodyDiv w:val="1"/>
      <w:marLeft w:val="0"/>
      <w:marRight w:val="0"/>
      <w:marTop w:val="0"/>
      <w:marBottom w:val="0"/>
      <w:divBdr>
        <w:top w:val="none" w:sz="0" w:space="0" w:color="auto"/>
        <w:left w:val="none" w:sz="0" w:space="0" w:color="auto"/>
        <w:bottom w:val="none" w:sz="0" w:space="0" w:color="auto"/>
        <w:right w:val="none" w:sz="0" w:space="0" w:color="auto"/>
      </w:divBdr>
    </w:div>
    <w:div w:id="1820420772">
      <w:bodyDiv w:val="1"/>
      <w:marLeft w:val="0"/>
      <w:marRight w:val="0"/>
      <w:marTop w:val="0"/>
      <w:marBottom w:val="0"/>
      <w:divBdr>
        <w:top w:val="none" w:sz="0" w:space="0" w:color="auto"/>
        <w:left w:val="none" w:sz="0" w:space="0" w:color="auto"/>
        <w:bottom w:val="none" w:sz="0" w:space="0" w:color="auto"/>
        <w:right w:val="none" w:sz="0" w:space="0" w:color="auto"/>
      </w:divBdr>
    </w:div>
    <w:div w:id="1873490009">
      <w:bodyDiv w:val="1"/>
      <w:marLeft w:val="0"/>
      <w:marRight w:val="0"/>
      <w:marTop w:val="0"/>
      <w:marBottom w:val="0"/>
      <w:divBdr>
        <w:top w:val="none" w:sz="0" w:space="0" w:color="auto"/>
        <w:left w:val="none" w:sz="0" w:space="0" w:color="auto"/>
        <w:bottom w:val="none" w:sz="0" w:space="0" w:color="auto"/>
        <w:right w:val="none" w:sz="0" w:space="0" w:color="auto"/>
      </w:divBdr>
    </w:div>
    <w:div w:id="1998224587">
      <w:bodyDiv w:val="1"/>
      <w:marLeft w:val="0"/>
      <w:marRight w:val="0"/>
      <w:marTop w:val="0"/>
      <w:marBottom w:val="0"/>
      <w:divBdr>
        <w:top w:val="none" w:sz="0" w:space="0" w:color="auto"/>
        <w:left w:val="none" w:sz="0" w:space="0" w:color="auto"/>
        <w:bottom w:val="none" w:sz="0" w:space="0" w:color="auto"/>
        <w:right w:val="none" w:sz="0" w:space="0" w:color="auto"/>
      </w:divBdr>
    </w:div>
    <w:div w:id="2003002784">
      <w:bodyDiv w:val="1"/>
      <w:marLeft w:val="0"/>
      <w:marRight w:val="0"/>
      <w:marTop w:val="0"/>
      <w:marBottom w:val="0"/>
      <w:divBdr>
        <w:top w:val="none" w:sz="0" w:space="0" w:color="auto"/>
        <w:left w:val="none" w:sz="0" w:space="0" w:color="auto"/>
        <w:bottom w:val="none" w:sz="0" w:space="0" w:color="auto"/>
        <w:right w:val="none" w:sz="0" w:space="0" w:color="auto"/>
      </w:divBdr>
    </w:div>
    <w:div w:id="2014142889">
      <w:bodyDiv w:val="1"/>
      <w:marLeft w:val="0"/>
      <w:marRight w:val="0"/>
      <w:marTop w:val="0"/>
      <w:marBottom w:val="0"/>
      <w:divBdr>
        <w:top w:val="none" w:sz="0" w:space="0" w:color="auto"/>
        <w:left w:val="none" w:sz="0" w:space="0" w:color="auto"/>
        <w:bottom w:val="none" w:sz="0" w:space="0" w:color="auto"/>
        <w:right w:val="none" w:sz="0" w:space="0" w:color="auto"/>
      </w:divBdr>
    </w:div>
    <w:div w:id="2014212885">
      <w:bodyDiv w:val="1"/>
      <w:marLeft w:val="0"/>
      <w:marRight w:val="0"/>
      <w:marTop w:val="0"/>
      <w:marBottom w:val="0"/>
      <w:divBdr>
        <w:top w:val="none" w:sz="0" w:space="0" w:color="auto"/>
        <w:left w:val="none" w:sz="0" w:space="0" w:color="auto"/>
        <w:bottom w:val="none" w:sz="0" w:space="0" w:color="auto"/>
        <w:right w:val="none" w:sz="0" w:space="0" w:color="auto"/>
      </w:divBdr>
    </w:div>
    <w:div w:id="2088070048">
      <w:bodyDiv w:val="1"/>
      <w:marLeft w:val="0"/>
      <w:marRight w:val="0"/>
      <w:marTop w:val="0"/>
      <w:marBottom w:val="0"/>
      <w:divBdr>
        <w:top w:val="none" w:sz="0" w:space="0" w:color="auto"/>
        <w:left w:val="none" w:sz="0" w:space="0" w:color="auto"/>
        <w:bottom w:val="none" w:sz="0" w:space="0" w:color="auto"/>
        <w:right w:val="none" w:sz="0" w:space="0" w:color="auto"/>
      </w:divBdr>
    </w:div>
    <w:div w:id="2092700834">
      <w:bodyDiv w:val="1"/>
      <w:marLeft w:val="0"/>
      <w:marRight w:val="0"/>
      <w:marTop w:val="0"/>
      <w:marBottom w:val="0"/>
      <w:divBdr>
        <w:top w:val="none" w:sz="0" w:space="0" w:color="auto"/>
        <w:left w:val="none" w:sz="0" w:space="0" w:color="auto"/>
        <w:bottom w:val="none" w:sz="0" w:space="0" w:color="auto"/>
        <w:right w:val="none" w:sz="0" w:space="0" w:color="auto"/>
      </w:divBdr>
    </w:div>
    <w:div w:id="2104914604">
      <w:bodyDiv w:val="1"/>
      <w:marLeft w:val="0"/>
      <w:marRight w:val="0"/>
      <w:marTop w:val="0"/>
      <w:marBottom w:val="0"/>
      <w:divBdr>
        <w:top w:val="none" w:sz="0" w:space="0" w:color="auto"/>
        <w:left w:val="none" w:sz="0" w:space="0" w:color="auto"/>
        <w:bottom w:val="none" w:sz="0" w:space="0" w:color="auto"/>
        <w:right w:val="none" w:sz="0" w:space="0" w:color="auto"/>
      </w:divBdr>
    </w:div>
    <w:div w:id="2124419206">
      <w:bodyDiv w:val="1"/>
      <w:marLeft w:val="0"/>
      <w:marRight w:val="0"/>
      <w:marTop w:val="0"/>
      <w:marBottom w:val="0"/>
      <w:divBdr>
        <w:top w:val="none" w:sz="0" w:space="0" w:color="auto"/>
        <w:left w:val="none" w:sz="0" w:space="0" w:color="auto"/>
        <w:bottom w:val="none" w:sz="0" w:space="0" w:color="auto"/>
        <w:right w:val="none" w:sz="0" w:space="0" w:color="auto"/>
      </w:divBdr>
    </w:div>
    <w:div w:id="213787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oi.org/10.1525/as.2004.44.4.484" TargetMode="External"/><Relationship Id="rId3" Type="http://schemas.openxmlformats.org/officeDocument/2006/relationships/hyperlink" Target="https://doi.org/10.1525/as.2004.44.4.484" TargetMode="External"/><Relationship Id="rId7" Type="http://schemas.openxmlformats.org/officeDocument/2006/relationships/hyperlink" Target="https://doi.org/10.1007/s11135-006-9067-x" TargetMode="External"/><Relationship Id="rId2" Type="http://schemas.openxmlformats.org/officeDocument/2006/relationships/hyperlink" Target="https://doi.org/10.1525/as.2004.44.4.555" TargetMode="External"/><Relationship Id="rId1" Type="http://schemas.openxmlformats.org/officeDocument/2006/relationships/hyperlink" Target="https://doi.org/10.1525/as.2004.44.4.484" TargetMode="External"/><Relationship Id="rId6" Type="http://schemas.openxmlformats.org/officeDocument/2006/relationships/hyperlink" Target="https://doi.org/10.1093/poq/nfae063" TargetMode="External"/><Relationship Id="rId5" Type="http://schemas.openxmlformats.org/officeDocument/2006/relationships/hyperlink" Target="https://doi.org/10.1093/poq/nfq045" TargetMode="External"/><Relationship Id="rId4" Type="http://schemas.openxmlformats.org/officeDocument/2006/relationships/hyperlink" Target="https://doi.org/10.1093/cjip/pom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CB08-5827-1647-BEAE-ACC7B571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4917</Words>
  <Characters>28031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Guanzheng Sun</dc:creator>
  <cp:keywords/>
  <dc:description/>
  <cp:lastModifiedBy>Guanzheng Sun</cp:lastModifiedBy>
  <cp:revision>2</cp:revision>
  <dcterms:created xsi:type="dcterms:W3CDTF">2025-03-17T10:00:00Z</dcterms:created>
  <dcterms:modified xsi:type="dcterms:W3CDTF">2025-03-17T10:00:00Z</dcterms:modified>
</cp:coreProperties>
</file>