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29" w:rsidRPr="00A97406" w:rsidRDefault="00946234" w:rsidP="00A97406">
      <w:pPr>
        <w:jc w:val="center"/>
        <w:rPr>
          <w:b/>
          <w:sz w:val="30"/>
          <w:szCs w:val="30"/>
        </w:rPr>
      </w:pPr>
      <w:r w:rsidRPr="00A97406">
        <w:rPr>
          <w:rFonts w:hint="eastAsia"/>
          <w:b/>
          <w:sz w:val="30"/>
          <w:szCs w:val="30"/>
        </w:rPr>
        <w:t>多数据源配置</w:t>
      </w:r>
    </w:p>
    <w:p w:rsidR="00714E29" w:rsidRDefault="00714E29"/>
    <w:p w:rsidR="00714E29" w:rsidRPr="00D20093" w:rsidRDefault="00B44D68" w:rsidP="00D2009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946234" w:rsidRPr="00D20093">
        <w:rPr>
          <w:rFonts w:hint="eastAsia"/>
          <w:sz w:val="28"/>
          <w:szCs w:val="28"/>
        </w:rPr>
        <w:t>多数据源自动切换原理</w:t>
      </w:r>
    </w:p>
    <w:p w:rsidR="00714E29" w:rsidRDefault="00946234" w:rsidP="00D20093">
      <w:pPr>
        <w:ind w:firstLineChars="200" w:firstLine="3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通过配置一个</w:t>
      </w:r>
      <w:r>
        <w:rPr>
          <w:rFonts w:ascii="宋体" w:hAnsi="宋体" w:cs="宋体" w:hint="eastAsia"/>
          <w:sz w:val="18"/>
          <w:szCs w:val="18"/>
        </w:rPr>
        <w:t>DynamicDataSource</w:t>
      </w:r>
      <w:r>
        <w:rPr>
          <w:rFonts w:ascii="宋体" w:hAnsi="宋体" w:cs="宋体" w:hint="eastAsia"/>
          <w:sz w:val="18"/>
          <w:szCs w:val="18"/>
        </w:rPr>
        <w:t>进行多数据源的动态切换</w:t>
      </w:r>
    </w:p>
    <w:p w:rsidR="00714E29" w:rsidRDefault="00946234" w:rsidP="00D20093">
      <w:pPr>
        <w:ind w:firstLineChars="200" w:firstLine="3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noProof/>
          <w:sz w:val="18"/>
          <w:szCs w:val="18"/>
        </w:rPr>
        <w:drawing>
          <wp:inline distT="0" distB="0" distL="114300" distR="114300">
            <wp:extent cx="5342890" cy="1295400"/>
            <wp:effectExtent l="0" t="0" r="1016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4E29" w:rsidRDefault="00714E29" w:rsidP="00D20093">
      <w:pPr>
        <w:ind w:firstLineChars="200" w:firstLine="360"/>
        <w:rPr>
          <w:rFonts w:ascii="宋体" w:hAnsi="宋体" w:cs="宋体"/>
          <w:sz w:val="18"/>
          <w:szCs w:val="18"/>
        </w:rPr>
      </w:pPr>
    </w:p>
    <w:p w:rsidR="00714E29" w:rsidRDefault="00714E29" w:rsidP="00D20093">
      <w:pPr>
        <w:ind w:firstLineChars="200" w:firstLine="360"/>
        <w:rPr>
          <w:rFonts w:ascii="宋体" w:hAnsi="宋体" w:cs="宋体"/>
          <w:sz w:val="18"/>
          <w:szCs w:val="18"/>
        </w:rPr>
      </w:pPr>
    </w:p>
    <w:p w:rsidR="00714E29" w:rsidRDefault="00714E29" w:rsidP="00D20093">
      <w:pPr>
        <w:ind w:firstLineChars="200" w:firstLine="360"/>
        <w:rPr>
          <w:rFonts w:ascii="宋体" w:hAnsi="宋体" w:cs="宋体"/>
          <w:sz w:val="18"/>
          <w:szCs w:val="18"/>
        </w:rPr>
      </w:pPr>
    </w:p>
    <w:p w:rsidR="00714E29" w:rsidRPr="00D20093" w:rsidRDefault="00B44D68" w:rsidP="00D2009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46234" w:rsidRPr="00D20093">
        <w:rPr>
          <w:rFonts w:hint="eastAsia"/>
          <w:sz w:val="28"/>
          <w:szCs w:val="28"/>
        </w:rPr>
        <w:t>Spring+Mybatis</w:t>
      </w:r>
      <w:r w:rsidR="00946234" w:rsidRPr="00D20093">
        <w:rPr>
          <w:rFonts w:hint="eastAsia"/>
          <w:sz w:val="28"/>
          <w:szCs w:val="28"/>
        </w:rPr>
        <w:t>配置多数据源</w:t>
      </w:r>
    </w:p>
    <w:p w:rsidR="00714E29" w:rsidRPr="00B44D68" w:rsidRDefault="00B44D68" w:rsidP="00B44D68">
      <w:pPr>
        <w:pStyle w:val="3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2.1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扩展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Spring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AbstractRoutingDataSource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抽象类（该类充当了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DataSource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的路由中介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能在运行时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根据某种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key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值来动态切换到真正的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DataSource</w:t>
      </w:r>
      <w:r w:rsidR="00946234" w:rsidRPr="00B44D68">
        <w:rPr>
          <w:rFonts w:asciiTheme="minorEastAsia" w:eastAsiaTheme="minorEastAsia" w:hAnsiTheme="minorEastAsia" w:hint="eastAsia"/>
          <w:sz w:val="21"/>
          <w:szCs w:val="21"/>
        </w:rPr>
        <w:t>上。）</w:t>
      </w:r>
    </w:p>
    <w:p w:rsidR="00714E29" w:rsidRDefault="00946234">
      <w:pPr>
        <w:rPr>
          <w:rFonts w:ascii="新宋体" w:eastAsia="新宋体" w:hAnsi="新宋体" w:cs="新宋体"/>
          <w:sz w:val="13"/>
          <w:szCs w:val="13"/>
        </w:rPr>
      </w:pPr>
      <w:r>
        <w:rPr>
          <w:rFonts w:ascii="新宋体" w:eastAsia="新宋体" w:hAnsi="新宋体" w:cs="新宋体" w:hint="eastAsia"/>
          <w:sz w:val="15"/>
          <w:szCs w:val="15"/>
        </w:rPr>
        <w:t>ThreadLocalRountingDataSource</w:t>
      </w:r>
      <w:r>
        <w:rPr>
          <w:rFonts w:ascii="新宋体" w:eastAsia="新宋体" w:hAnsi="新宋体" w:cs="新宋体" w:hint="eastAsia"/>
          <w:sz w:val="15"/>
          <w:szCs w:val="15"/>
        </w:rPr>
        <w:t>类充当上述所说的</w:t>
      </w:r>
      <w:r>
        <w:rPr>
          <w:rFonts w:ascii="宋体" w:hAnsi="宋体" w:cs="宋体" w:hint="eastAsia"/>
          <w:sz w:val="18"/>
          <w:szCs w:val="18"/>
        </w:rPr>
        <w:t>DynamicDataSource</w:t>
      </w:r>
      <w:r>
        <w:rPr>
          <w:rFonts w:ascii="宋体" w:hAnsi="宋体" w:cs="宋体" w:hint="eastAsia"/>
          <w:sz w:val="18"/>
          <w:szCs w:val="18"/>
        </w:rPr>
        <w:t>，进行具体数据源的动态切换</w:t>
      </w:r>
    </w:p>
    <w:p w:rsidR="00714E29" w:rsidRDefault="00946234">
      <w:pPr>
        <w:rPr>
          <w:rFonts w:ascii="新宋体" w:eastAsia="新宋体" w:hAnsi="新宋体" w:cs="新宋体"/>
          <w:sz w:val="15"/>
          <w:szCs w:val="15"/>
        </w:rPr>
      </w:pPr>
      <w:r>
        <w:rPr>
          <w:noProof/>
        </w:rPr>
        <w:drawing>
          <wp:inline distT="0" distB="0" distL="114300" distR="114300">
            <wp:extent cx="4309745" cy="2519045"/>
            <wp:effectExtent l="0" t="0" r="1460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4E29" w:rsidRDefault="00714E29">
      <w:pPr>
        <w:rPr>
          <w:rFonts w:ascii="新宋体" w:eastAsia="新宋体" w:hAnsi="新宋体" w:cs="新宋体"/>
          <w:sz w:val="15"/>
          <w:szCs w:val="15"/>
        </w:rPr>
      </w:pPr>
    </w:p>
    <w:p w:rsidR="00714E29" w:rsidRPr="00B44D68" w:rsidRDefault="00B44D68" w:rsidP="00B44D68">
      <w:pPr>
        <w:pStyle w:val="3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2.2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配置切换数据源的注解标签，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master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为主库（可进行增删改操作），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slave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为从库（只读操作）</w:t>
      </w:r>
    </w:p>
    <w:p w:rsidR="00714E29" w:rsidRDefault="00946234">
      <w:r>
        <w:rPr>
          <w:noProof/>
        </w:rPr>
        <w:drawing>
          <wp:inline distT="0" distB="0" distL="114300" distR="114300">
            <wp:extent cx="3462020" cy="2098040"/>
            <wp:effectExtent l="0" t="0" r="508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4E29" w:rsidRDefault="00714E29">
      <w:pPr>
        <w:rPr>
          <w:rFonts w:ascii="新宋体" w:eastAsia="新宋体" w:hAnsi="新宋体" w:cs="新宋体"/>
          <w:sz w:val="15"/>
          <w:szCs w:val="15"/>
        </w:rPr>
      </w:pPr>
    </w:p>
    <w:p w:rsidR="00714E29" w:rsidRDefault="00714E29">
      <w:pPr>
        <w:rPr>
          <w:rFonts w:ascii="新宋体" w:eastAsia="新宋体" w:hAnsi="新宋体" w:cs="新宋体"/>
          <w:sz w:val="15"/>
          <w:szCs w:val="15"/>
        </w:rPr>
      </w:pPr>
    </w:p>
    <w:p w:rsidR="00714E29" w:rsidRDefault="00714E29">
      <w:pPr>
        <w:rPr>
          <w:rFonts w:ascii="新宋体" w:eastAsia="新宋体" w:hAnsi="新宋体" w:cs="新宋体"/>
          <w:sz w:val="15"/>
          <w:szCs w:val="15"/>
        </w:rPr>
      </w:pPr>
      <w:bookmarkStart w:id="0" w:name="_GoBack"/>
      <w:bookmarkEnd w:id="0"/>
    </w:p>
    <w:p w:rsidR="00714E29" w:rsidRPr="00B44D68" w:rsidRDefault="00B44D68" w:rsidP="00B44D68">
      <w:pPr>
        <w:pStyle w:val="3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2.3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切面实现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DataSourceAopAspect</w:t>
      </w:r>
    </w:p>
    <w:p w:rsidR="00714E29" w:rsidRDefault="00946234">
      <w:pPr>
        <w:rPr>
          <w:rFonts w:ascii="新宋体" w:hAnsi="新宋体" w:cs="新宋体"/>
          <w:sz w:val="15"/>
          <w:szCs w:val="15"/>
        </w:rPr>
      </w:pPr>
      <w:r>
        <w:rPr>
          <w:rFonts w:ascii="新宋体" w:eastAsia="新宋体" w:hAnsi="新宋体" w:cs="新宋体" w:hint="eastAsia"/>
          <w:sz w:val="15"/>
          <w:szCs w:val="15"/>
        </w:rPr>
        <w:t>默认数据源为</w:t>
      </w:r>
      <w:r>
        <w:rPr>
          <w:rFonts w:ascii="新宋体" w:eastAsia="新宋体" w:hAnsi="新宋体" w:cs="新宋体" w:hint="eastAsia"/>
          <w:sz w:val="15"/>
          <w:szCs w:val="15"/>
        </w:rPr>
        <w:t>master</w:t>
      </w:r>
      <w:r>
        <w:rPr>
          <w:rFonts w:ascii="新宋体" w:eastAsia="新宋体" w:hAnsi="新宋体" w:cs="新宋体" w:hint="eastAsia"/>
          <w:sz w:val="15"/>
          <w:szCs w:val="15"/>
        </w:rPr>
        <w:t>，根据具体类和方法上的注解标签</w:t>
      </w:r>
      <w:r>
        <w:rPr>
          <w:rFonts w:ascii="新宋体" w:eastAsia="新宋体" w:hAnsi="新宋体" w:cs="新宋体" w:hint="eastAsia"/>
          <w:sz w:val="15"/>
          <w:szCs w:val="15"/>
        </w:rPr>
        <w:t>@DataSource</w:t>
      </w:r>
      <w:r>
        <w:rPr>
          <w:rFonts w:ascii="新宋体" w:eastAsia="新宋体" w:hAnsi="新宋体" w:cs="新宋体" w:hint="eastAsia"/>
          <w:sz w:val="15"/>
          <w:szCs w:val="15"/>
        </w:rPr>
        <w:t>来动态切换对应的数据源</w:t>
      </w:r>
    </w:p>
    <w:p w:rsidR="00714E29" w:rsidRDefault="00946234">
      <w:r>
        <w:rPr>
          <w:noProof/>
        </w:rPr>
        <w:drawing>
          <wp:inline distT="0" distB="0" distL="114300" distR="114300">
            <wp:extent cx="4157980" cy="3031490"/>
            <wp:effectExtent l="0" t="0" r="13970" b="165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4E29" w:rsidRDefault="00714E29"/>
    <w:p w:rsidR="00714E29" w:rsidRPr="00B44D68" w:rsidRDefault="00B44D68" w:rsidP="00B44D68">
      <w:pPr>
        <w:pStyle w:val="3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2.4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配置文件</w:t>
      </w:r>
    </w:p>
    <w:p w:rsidR="00714E29" w:rsidRDefault="00946234">
      <w:pPr>
        <w:numPr>
          <w:ilvl w:val="0"/>
          <w:numId w:val="3"/>
        </w:num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Dbconfig.properties</w:t>
      </w:r>
      <w:r>
        <w:rPr>
          <w:rFonts w:ascii="宋体" w:hAnsi="宋体" w:cs="宋体" w:hint="eastAsia"/>
          <w:sz w:val="15"/>
          <w:szCs w:val="15"/>
        </w:rPr>
        <w:t>配置</w:t>
      </w:r>
    </w:p>
    <w:p w:rsidR="00714E29" w:rsidRDefault="00946234">
      <w:r>
        <w:rPr>
          <w:noProof/>
        </w:rPr>
        <w:drawing>
          <wp:inline distT="0" distB="0" distL="114300" distR="114300">
            <wp:extent cx="5432425" cy="807720"/>
            <wp:effectExtent l="0" t="0" r="1587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4E29" w:rsidRDefault="00946234">
      <w:r>
        <w:rPr>
          <w:noProof/>
        </w:rPr>
        <w:lastRenderedPageBreak/>
        <w:drawing>
          <wp:inline distT="0" distB="0" distL="114300" distR="114300">
            <wp:extent cx="5463540" cy="896620"/>
            <wp:effectExtent l="0" t="0" r="3810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4E29" w:rsidRDefault="00714E29">
      <w:pPr>
        <w:rPr>
          <w:rFonts w:ascii="宋体" w:hAnsi="宋体" w:cs="宋体"/>
          <w:sz w:val="15"/>
          <w:szCs w:val="15"/>
        </w:rPr>
      </w:pPr>
    </w:p>
    <w:p w:rsidR="00714E29" w:rsidRPr="00B44D68" w:rsidRDefault="00B44D68" w:rsidP="00B44D68">
      <w:pPr>
        <w:pStyle w:val="3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2.5 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applicationContext.xml</w:t>
      </w:r>
      <w:r w:rsidR="00946234" w:rsidRPr="00B44D68">
        <w:rPr>
          <w:rFonts w:asciiTheme="majorEastAsia" w:eastAsiaTheme="majorEastAsia" w:hAnsiTheme="majorEastAsia" w:hint="eastAsia"/>
          <w:sz w:val="21"/>
          <w:szCs w:val="21"/>
        </w:rPr>
        <w:t>配置，注意标红</w:t>
      </w:r>
    </w:p>
    <w:tbl>
      <w:tblPr>
        <w:tblStyle w:val="a8"/>
        <w:tblW w:w="0" w:type="auto"/>
        <w:tblLook w:val="04A0"/>
      </w:tblPr>
      <w:tblGrid>
        <w:gridCol w:w="10784"/>
      </w:tblGrid>
      <w:tr w:rsidR="00A97406" w:rsidTr="00A97406">
        <w:tc>
          <w:tcPr>
            <w:tcW w:w="10784" w:type="dxa"/>
          </w:tcPr>
          <w:p w:rsidR="00A97406" w:rsidRDefault="00A97406" w:rsidP="00A97406">
            <w:pPr>
              <w:jc w:val="left"/>
              <w:rPr>
                <w:rFonts w:ascii="新宋体" w:eastAsia="新宋体" w:hAnsi="新宋体" w:cs="新宋体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hAnsi="Consolas" w:hint="eastAsia"/>
                <w:color w:val="3F5FBF"/>
                <w:sz w:val="15"/>
                <w:szCs w:val="15"/>
              </w:rPr>
              <w:t>主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库数据源--&gt;</w:t>
            </w:r>
          </w:p>
          <w:p w:rsidR="00A97406" w:rsidRDefault="00A97406" w:rsidP="00A97406">
            <w:pPr>
              <w:spacing w:line="120" w:lineRule="auto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Î¢ÈíÑÅºÚ" w:eastAsia="Î¢ÈíÑÅºÚ" w:hAnsi="Î¢ÈíÑÅºÚ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"com.mchange.v2.c3p0.ComboPooledDataSource"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spacing w:line="120" w:lineRule="auto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"driverClass"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"${jdbc.driverClassName}"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spacing w:line="120" w:lineRule="auto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"jdbcUrl"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spacing w:line="120" w:lineRule="auto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spacing w:line="120" w:lineRule="auto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97406" w:rsidRDefault="00A97406" w:rsidP="00A97406">
            <w:pPr>
              <w:spacing w:line="120" w:lineRule="auto"/>
              <w:jc w:val="left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color w:val="3F5FBF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从库数据源--&gt;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"slaveDataSource"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"com.mchange.v2.c3p0.ComboPooledDataSource"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"driverClass"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"${slave.jdbc.driverClassName}"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"jdbcUrl"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"${slave.jdbc.url}"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"${slave.jdbc.username}"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"${slave.jdbc.password}"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97406" w:rsidRDefault="00A97406" w:rsidP="00A97406">
            <w:pPr>
              <w:rPr>
                <w:rFonts w:ascii="宋体" w:hAnsi="宋体" w:cs="宋体"/>
                <w:color w:val="00808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rPr>
                <w:rFonts w:ascii="宋体" w:hAnsi="宋体" w:cs="宋体"/>
                <w:color w:val="008080"/>
                <w:sz w:val="15"/>
                <w:szCs w:val="15"/>
              </w:rPr>
            </w:pP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hAnsi="Consolas" w:hint="eastAsia"/>
                <w:color w:val="3F5FBF"/>
                <w:sz w:val="15"/>
                <w:szCs w:val="15"/>
              </w:rPr>
              <w:t>多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数据源配置 --&gt;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5"/>
                <w:szCs w:val="15"/>
              </w:rPr>
              <w:t>dataSourceOption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"qx.datasource.ThreadLocalRountingDataSource"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"defaultTargetDataSource"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"targetDataSources"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key-type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"java.lang.String"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entry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"MASTER"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value-ref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entry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"SLAVE"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value-ref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"slaveDataSource"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这里还可以加多个dataSource --&gt;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宋体" w:hAnsi="宋体" w:cs="宋体"/>
                <w:b/>
                <w:bCs/>
                <w:color w:val="C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宋体" w:hAnsi="宋体" w:cs="宋体"/>
                <w:sz w:val="15"/>
                <w:szCs w:val="15"/>
              </w:rPr>
            </w:pP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"classpath:/conf/configuration.xml"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5"/>
                <w:szCs w:val="15"/>
              </w:rPr>
              <w:t>dataSourceOption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"typeAliasesPackage"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"qx.dao"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5"/>
                <w:szCs w:val="15"/>
              </w:rPr>
              <w:t>dataSourceOption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"qx.dao"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"sqlSessionFactoryBeanName"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"jdbcTemplate"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"org.springframework.jdbc.core.JdbcTemplate"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5"/>
                <w:szCs w:val="15"/>
              </w:rPr>
              <w:t>dataSourceOption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"sqlSessionTemplate"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"org.mybatis.spring.SqlSessionTemplate"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"prototype"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"0"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rPr>
                <w:rFonts w:ascii="宋体" w:hAnsi="宋体" w:cs="宋体"/>
                <w:color w:val="00808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97406" w:rsidRDefault="00A97406" w:rsidP="00A97406">
            <w:pPr>
              <w:rPr>
                <w:rFonts w:ascii="新宋体" w:eastAsia="新宋体" w:hAnsi="新宋体" w:cs="新宋体"/>
                <w:sz w:val="15"/>
                <w:szCs w:val="15"/>
              </w:rPr>
            </w:pPr>
          </w:p>
          <w:p w:rsidR="00A97406" w:rsidRDefault="00A97406" w:rsidP="00A97406">
            <w:pPr>
              <w:rPr>
                <w:rFonts w:ascii="新宋体" w:eastAsia="新宋体" w:hAnsi="新宋体" w:cs="新宋体"/>
                <w:sz w:val="15"/>
                <w:szCs w:val="15"/>
              </w:rPr>
            </w:pP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color w:val="3F5FBF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多数据源切面配置 --&gt;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aop:aspect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"0"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"dataSourceAopAspect"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aop:pointcut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expression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"(execution(* qx.service..*.*(..)) or execution(* qx.dao..*.*(..))) or execution(* com.kiso.ec..*.*(..))"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"dataSourceAopPointcut"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aop:before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pointcut-ref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"dataSourceAopPointcut"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method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"before"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A97406" w:rsidRDefault="00A97406" w:rsidP="00A97406">
            <w:pPr>
              <w:rPr>
                <w:rFonts w:ascii="Consolas" w:eastAsia="Consolas" w:hAnsi="Consolas"/>
                <w:color w:val="000000"/>
                <w:sz w:val="20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aop:aspect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97406" w:rsidRDefault="00A97406">
            <w:pPr>
              <w:jc w:val="left"/>
              <w:rPr>
                <w:rFonts w:ascii="Consolas" w:eastAsiaTheme="minorEastAsia" w:hAnsi="Consolas" w:hint="eastAsia"/>
                <w:color w:val="3F5FBF"/>
                <w:sz w:val="15"/>
                <w:szCs w:val="15"/>
              </w:rPr>
            </w:pPr>
          </w:p>
        </w:tc>
      </w:tr>
    </w:tbl>
    <w:p w:rsidR="00714E29" w:rsidRPr="00A97406" w:rsidRDefault="00714E29">
      <w:pPr>
        <w:rPr>
          <w:rFonts w:eastAsiaTheme="minorEastAsia" w:hint="eastAsia"/>
        </w:rPr>
      </w:pPr>
    </w:p>
    <w:p w:rsidR="00714E29" w:rsidRDefault="00B44D68" w:rsidP="00B44D6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使用教程</w:t>
      </w:r>
    </w:p>
    <w:p w:rsidR="00714E29" w:rsidRPr="00B44D68" w:rsidRDefault="00B44D68" w:rsidP="00B44D68">
      <w:pPr>
        <w:pStyle w:val="3"/>
        <w:rPr>
          <w:rFonts w:asciiTheme="majorEastAsia" w:eastAsiaTheme="majorEastAsia" w:hAnsiTheme="majorEastAsia" w:hint="eastAsia"/>
          <w:sz w:val="24"/>
          <w:szCs w:val="24"/>
        </w:rPr>
      </w:pPr>
      <w:r w:rsidRPr="00B44D68">
        <w:rPr>
          <w:rFonts w:asciiTheme="majorEastAsia" w:eastAsiaTheme="majorEastAsia" w:hAnsiTheme="majorEastAsia" w:hint="eastAsia"/>
          <w:sz w:val="24"/>
          <w:szCs w:val="24"/>
        </w:rPr>
        <w:t>3.1类使用指定实例</w:t>
      </w:r>
    </w:p>
    <w:p w:rsidR="00B44D68" w:rsidRDefault="00B44D68">
      <w:pPr>
        <w:rPr>
          <w:rFonts w:hint="eastAsia"/>
        </w:rPr>
      </w:pPr>
      <w:r w:rsidRPr="00B44D68">
        <w:drawing>
          <wp:inline distT="0" distB="0" distL="114300" distR="114300">
            <wp:extent cx="3965575" cy="1974850"/>
            <wp:effectExtent l="0" t="0" r="15875" b="6350"/>
            <wp:docPr id="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4D68" w:rsidRPr="00B44D68" w:rsidRDefault="00B44D68" w:rsidP="00B44D68">
      <w:pPr>
        <w:pStyle w:val="3"/>
        <w:rPr>
          <w:rFonts w:asciiTheme="majorEastAsia" w:eastAsiaTheme="majorEastAsia" w:hAnsiTheme="majorEastAsia" w:hint="eastAsia"/>
          <w:sz w:val="24"/>
          <w:szCs w:val="24"/>
        </w:rPr>
      </w:pPr>
      <w:r w:rsidRPr="00B44D68">
        <w:rPr>
          <w:rFonts w:asciiTheme="majorEastAsia" w:eastAsiaTheme="majorEastAsia" w:hAnsiTheme="majorEastAsia" w:hint="eastAsia"/>
          <w:sz w:val="24"/>
          <w:szCs w:val="24"/>
        </w:rPr>
        <w:lastRenderedPageBreak/>
        <w:t>3.2方法使用指定实例</w:t>
      </w:r>
    </w:p>
    <w:p w:rsidR="00B44D68" w:rsidRDefault="00B44D68">
      <w:r w:rsidRPr="00B44D68">
        <w:drawing>
          <wp:inline distT="0" distB="0" distL="114300" distR="114300">
            <wp:extent cx="4070985" cy="1078865"/>
            <wp:effectExtent l="0" t="0" r="5715" b="6985"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4E29" w:rsidRDefault="00714E29"/>
    <w:p w:rsidR="00714E29" w:rsidRDefault="00714E29"/>
    <w:p w:rsidR="00714E29" w:rsidRDefault="00714E29"/>
    <w:p w:rsidR="00714E29" w:rsidRDefault="00714E29"/>
    <w:p w:rsidR="00714E29" w:rsidRDefault="00714E29"/>
    <w:p w:rsidR="00714E29" w:rsidRDefault="00714E29"/>
    <w:p w:rsidR="00714E29" w:rsidRDefault="00714E29"/>
    <w:p w:rsidR="00714E29" w:rsidRDefault="00714E29"/>
    <w:p w:rsidR="00714E29" w:rsidRDefault="00714E29"/>
    <w:p w:rsidR="00714E29" w:rsidRDefault="00714E29">
      <w:pPr>
        <w:rPr>
          <w:rFonts w:eastAsiaTheme="minorEastAsia" w:hint="eastAsia"/>
        </w:rPr>
      </w:pPr>
    </w:p>
    <w:p w:rsidR="00D20093" w:rsidRDefault="00D20093">
      <w:pPr>
        <w:rPr>
          <w:rFonts w:eastAsiaTheme="minorEastAsia"/>
        </w:rPr>
      </w:pPr>
    </w:p>
    <w:sectPr w:rsidR="00D20093" w:rsidSect="00714E29">
      <w:pgSz w:w="11906" w:h="16838"/>
      <w:pgMar w:top="873" w:right="669" w:bottom="873" w:left="669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234" w:rsidRDefault="00946234" w:rsidP="00D20093">
      <w:r>
        <w:separator/>
      </w:r>
    </w:p>
  </w:endnote>
  <w:endnote w:type="continuationSeparator" w:id="1">
    <w:p w:rsidR="00946234" w:rsidRDefault="00946234" w:rsidP="00D20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Î¢ÈíÑÅºÚ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234" w:rsidRDefault="00946234" w:rsidP="00D20093">
      <w:r>
        <w:separator/>
      </w:r>
    </w:p>
  </w:footnote>
  <w:footnote w:type="continuationSeparator" w:id="1">
    <w:p w:rsidR="00946234" w:rsidRDefault="00946234" w:rsidP="00D200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D2455"/>
    <w:multiLevelType w:val="singleLevel"/>
    <w:tmpl w:val="56CD245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CD4629"/>
    <w:multiLevelType w:val="singleLevel"/>
    <w:tmpl w:val="56CD4629"/>
    <w:lvl w:ilvl="0">
      <w:start w:val="1"/>
      <w:numFmt w:val="decimal"/>
      <w:suff w:val="nothing"/>
      <w:lvlText w:val="%1、"/>
      <w:lvlJc w:val="left"/>
    </w:lvl>
  </w:abstractNum>
  <w:abstractNum w:abstractNumId="2">
    <w:nsid w:val="56CD48C5"/>
    <w:multiLevelType w:val="singleLevel"/>
    <w:tmpl w:val="56CD48C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404579"/>
    <w:rsid w:val="00714E29"/>
    <w:rsid w:val="00780083"/>
    <w:rsid w:val="00946234"/>
    <w:rsid w:val="00A97406"/>
    <w:rsid w:val="00B44D68"/>
    <w:rsid w:val="00D20093"/>
    <w:rsid w:val="1B9F0F2E"/>
    <w:rsid w:val="232B2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4E29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20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20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20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14E29"/>
    <w:rPr>
      <w:color w:val="0000FF"/>
      <w:u w:val="single"/>
    </w:rPr>
  </w:style>
  <w:style w:type="paragraph" w:styleId="a4">
    <w:name w:val="Balloon Text"/>
    <w:basedOn w:val="a"/>
    <w:link w:val="Char"/>
    <w:rsid w:val="00D20093"/>
    <w:rPr>
      <w:sz w:val="18"/>
      <w:szCs w:val="18"/>
    </w:rPr>
  </w:style>
  <w:style w:type="character" w:customStyle="1" w:styleId="Char">
    <w:name w:val="批注框文本 Char"/>
    <w:basedOn w:val="a0"/>
    <w:link w:val="a4"/>
    <w:rsid w:val="00D20093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header"/>
    <w:basedOn w:val="a"/>
    <w:link w:val="Char0"/>
    <w:rsid w:val="00D20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20093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1"/>
    <w:rsid w:val="00D20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20093"/>
    <w:rPr>
      <w:rFonts w:ascii="Calibri" w:eastAsia="宋体" w:hAnsi="Calibri" w:cs="Times New Roman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200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Document Map"/>
    <w:basedOn w:val="a"/>
    <w:link w:val="Char2"/>
    <w:rsid w:val="00D2009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rsid w:val="00D20093"/>
    <w:rPr>
      <w:rFonts w:ascii="宋体" w:eastAsia="宋体" w:hAnsi="Calibri" w:cs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D2009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D20093"/>
    <w:rPr>
      <w:rFonts w:ascii="Calibri" w:eastAsia="宋体" w:hAnsi="Calibri" w:cs="Times New Roman"/>
      <w:b/>
      <w:bCs/>
      <w:kern w:val="2"/>
      <w:sz w:val="32"/>
      <w:szCs w:val="32"/>
    </w:rPr>
  </w:style>
  <w:style w:type="table" w:styleId="a8">
    <w:name w:val="Table Grid"/>
    <w:basedOn w:val="a1"/>
    <w:rsid w:val="00A974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409</Words>
  <Characters>2333</Characters>
  <Application>Microsoft Office Word</Application>
  <DocSecurity>0</DocSecurity>
  <Lines>19</Lines>
  <Paragraphs>5</Paragraphs>
  <ScaleCrop>false</ScaleCrop>
  <Company>Microsoft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Gary</cp:lastModifiedBy>
  <cp:revision>4</cp:revision>
  <dcterms:created xsi:type="dcterms:W3CDTF">2017-05-10T03:19:00Z</dcterms:created>
  <dcterms:modified xsi:type="dcterms:W3CDTF">2017-05-10T03:52:00Z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