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000" w:rsidRPr="00445000" w:rsidRDefault="00445000" w:rsidP="00445000">
      <w:r w:rsidRPr="00445000">
        <w:t>The </w:t>
      </w:r>
      <w:r w:rsidRPr="00445000">
        <w:rPr>
          <w:b/>
          <w:bCs/>
        </w:rPr>
        <w:t>Code of Wand Use</w:t>
      </w:r>
      <w:r w:rsidRPr="00445000">
        <w:t> was a decree on </w:t>
      </w:r>
      <w:hyperlink r:id="rId4" w:tooltip="Wand" w:history="1">
        <w:r w:rsidRPr="00445000">
          <w:rPr>
            <w:rStyle w:val="Hyperlink"/>
          </w:rPr>
          <w:t>wand</w:t>
        </w:r>
      </w:hyperlink>
      <w:r w:rsidRPr="00445000">
        <w:t> usage, passed by the </w:t>
      </w:r>
      <w:hyperlink r:id="rId5" w:tooltip="Wizards' Council" w:history="1">
        <w:r w:rsidRPr="00445000">
          <w:rPr>
            <w:rStyle w:val="Hyperlink"/>
          </w:rPr>
          <w:t>Wizards' Council</w:t>
        </w:r>
      </w:hyperlink>
      <w:hyperlink r:id="rId6" w:anchor="cite_note-PMministers-1" w:history="1">
        <w:r w:rsidRPr="00445000">
          <w:rPr>
            <w:rStyle w:val="Hyperlink"/>
            <w:vertAlign w:val="superscript"/>
          </w:rPr>
          <w:t>[1]</w:t>
        </w:r>
      </w:hyperlink>
      <w:r w:rsidRPr="00445000">
        <w:t> in </w:t>
      </w:r>
      <w:hyperlink r:id="rId7" w:tooltip="1631" w:history="1">
        <w:r w:rsidRPr="00445000">
          <w:rPr>
            <w:rStyle w:val="Hyperlink"/>
          </w:rPr>
          <w:t>1631</w:t>
        </w:r>
      </w:hyperlink>
      <w:r w:rsidRPr="00445000">
        <w:t>.</w:t>
      </w:r>
      <w:hyperlink r:id="rId8" w:anchor="cite_note-WOMBAT-2" w:history="1">
        <w:r w:rsidRPr="00445000">
          <w:rPr>
            <w:rStyle w:val="Hyperlink"/>
            <w:vertAlign w:val="superscript"/>
          </w:rPr>
          <w:t>[2]</w:t>
        </w:r>
      </w:hyperlink>
      <w:r w:rsidRPr="00445000">
        <w:t> Clause Three of the Code (known as the </w:t>
      </w:r>
      <w:hyperlink r:id="rId9" w:tooltip="Wand Ban" w:history="1">
        <w:r w:rsidRPr="00445000">
          <w:rPr>
            <w:rStyle w:val="Hyperlink"/>
          </w:rPr>
          <w:t>Wand Ban</w:t>
        </w:r>
      </w:hyperlink>
      <w:r w:rsidRPr="00445000">
        <w:t>)</w:t>
      </w:r>
      <w:hyperlink r:id="rId10" w:anchor="cite_note-WOMBAT-2" w:history="1">
        <w:r w:rsidRPr="00445000">
          <w:rPr>
            <w:rStyle w:val="Hyperlink"/>
            <w:vertAlign w:val="superscript"/>
          </w:rPr>
          <w:t>[2]</w:t>
        </w:r>
      </w:hyperlink>
      <w:r w:rsidRPr="00445000">
        <w:t> stated that "</w:t>
      </w:r>
      <w:r w:rsidRPr="00445000">
        <w:rPr>
          <w:i/>
          <w:iCs/>
        </w:rPr>
        <w:t>No non-human creature is permitted to carry or use a wand</w:t>
      </w:r>
      <w:r w:rsidRPr="00445000">
        <w:t>".</w:t>
      </w:r>
      <w:hyperlink r:id="rId11" w:anchor="cite_note-GF9-3" w:history="1">
        <w:r w:rsidRPr="00445000">
          <w:rPr>
            <w:rStyle w:val="Hyperlink"/>
            <w:vertAlign w:val="superscript"/>
          </w:rPr>
          <w:t>[3]</w:t>
        </w:r>
      </w:hyperlink>
      <w:r w:rsidRPr="00445000">
        <w:t> There were a total of eight clauses within this code that regulated wand use.</w:t>
      </w:r>
      <w:hyperlink r:id="rId12" w:anchor="cite_note-HMOWL-4" w:history="1">
        <w:r w:rsidRPr="00445000">
          <w:rPr>
            <w:rStyle w:val="Hyperlink"/>
            <w:vertAlign w:val="superscript"/>
          </w:rPr>
          <w:t>[4]</w:t>
        </w:r>
      </w:hyperlink>
    </w:p>
    <w:p w:rsidR="0022274D" w:rsidRDefault="00445000">
      <w:r w:rsidRPr="00445000">
        <w:t>The </w:t>
      </w:r>
      <w:hyperlink r:id="rId13" w:tooltip="Brotherhood of Goblins" w:history="1">
        <w:r w:rsidRPr="00445000">
          <w:rPr>
            <w:rStyle w:val="Hyperlink"/>
          </w:rPr>
          <w:t>Brotherhood of Goblins</w:t>
        </w:r>
      </w:hyperlink>
      <w:r w:rsidRPr="00445000">
        <w:t> were a group pressing for </w:t>
      </w:r>
      <w:hyperlink r:id="rId14" w:tooltip="Goblin" w:history="1">
        <w:r w:rsidRPr="00445000">
          <w:rPr>
            <w:rStyle w:val="Hyperlink"/>
          </w:rPr>
          <w:t>goblin</w:t>
        </w:r>
      </w:hyperlink>
      <w:r w:rsidRPr="00445000">
        <w:t> rights, which included the right to carry and use a wand.</w:t>
      </w:r>
    </w:p>
    <w:sectPr w:rsidR="0022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0"/>
    <w:rsid w:val="0022274D"/>
    <w:rsid w:val="00445000"/>
    <w:rsid w:val="00B84531"/>
    <w:rsid w:val="00E8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608DD"/>
  <w15:chartTrackingRefBased/>
  <w15:docId w15:val="{68DFDFBB-A55D-F64E-83DD-CFCF43E3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potter.fandom.com/wiki/Code_of_Wand_Use" TargetMode="External"/><Relationship Id="rId13" Type="http://schemas.openxmlformats.org/officeDocument/2006/relationships/hyperlink" Target="https://harrypotter.fandom.com/wiki/Brotherhood_of_Gobli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rrypotter.fandom.com/wiki/1631" TargetMode="External"/><Relationship Id="rId12" Type="http://schemas.openxmlformats.org/officeDocument/2006/relationships/hyperlink" Target="https://harrypotter.fandom.com/wiki/Code_of_Wand_U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arrypotter.fandom.com/wiki/Code_of_Wand_Use" TargetMode="External"/><Relationship Id="rId11" Type="http://schemas.openxmlformats.org/officeDocument/2006/relationships/hyperlink" Target="https://harrypotter.fandom.com/wiki/Code_of_Wand_Use" TargetMode="External"/><Relationship Id="rId5" Type="http://schemas.openxmlformats.org/officeDocument/2006/relationships/hyperlink" Target="https://harrypotter.fandom.com/wiki/Wizards%27_Counci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rrypotter.fandom.com/wiki/Code_of_Wand_Use" TargetMode="External"/><Relationship Id="rId4" Type="http://schemas.openxmlformats.org/officeDocument/2006/relationships/hyperlink" Target="https://harrypotter.fandom.com/wiki/Wand" TargetMode="External"/><Relationship Id="rId9" Type="http://schemas.openxmlformats.org/officeDocument/2006/relationships/hyperlink" Target="https://harrypotter.fandom.com/wiki/Wand_Ban" TargetMode="External"/><Relationship Id="rId14" Type="http://schemas.openxmlformats.org/officeDocument/2006/relationships/hyperlink" Target="https://harrypotter.fandom.com/wiki/Gob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Tunks, Bradley (US)</dc:creator>
  <cp:keywords/>
  <dc:description/>
  <cp:lastModifiedBy>Tunks, Bradley (US)</cp:lastModifiedBy>
  <cp:revision>1</cp:revision>
  <dcterms:created xsi:type="dcterms:W3CDTF">2024-10-11T15:39:00Z</dcterms:created>
  <dcterms:modified xsi:type="dcterms:W3CDTF">2024-10-11T15:40:00Z</dcterms:modified>
</cp:coreProperties>
</file>