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32FB" w14:textId="0E459BA2" w:rsidR="00047E57" w:rsidRPr="00047E57" w:rsidRDefault="00047E57" w:rsidP="00047E57">
      <w:pPr>
        <w:rPr>
          <w:rFonts w:ascii="Times New Roman" w:hAnsi="Times New Roman" w:cs="Times New Roman"/>
          <w:sz w:val="44"/>
          <w:szCs w:val="44"/>
        </w:rPr>
      </w:pPr>
      <w:r w:rsidRPr="00047E57">
        <w:rPr>
          <w:rFonts w:ascii="Times New Roman" w:hAnsi="Times New Roman" w:cs="Times New Roman"/>
          <w:sz w:val="44"/>
          <w:szCs w:val="44"/>
        </w:rPr>
        <w:t>Results</w:t>
      </w:r>
    </w:p>
    <w:p w14:paraId="1E1E7292" w14:textId="77777777" w:rsidR="00047E57" w:rsidRDefault="00047E57" w:rsidP="00047E57">
      <w:pPr>
        <w:rPr>
          <w:rFonts w:ascii="Times New Roman" w:hAnsi="Times New Roman" w:cs="Times New Roman"/>
          <w:sz w:val="24"/>
          <w:szCs w:val="24"/>
        </w:rPr>
      </w:pPr>
      <w:r>
        <w:rPr>
          <w:rFonts w:ascii="Times New Roman" w:hAnsi="Times New Roman" w:cs="Times New Roman"/>
          <w:sz w:val="24"/>
          <w:szCs w:val="24"/>
        </w:rPr>
        <w:t>We were successful in solving the linear ordinary differential equation using Shooting method with the help of Euler’s Method which was found to be more efficient than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method in the three </w:t>
      </w:r>
      <w:proofErr w:type="gramStart"/>
      <w:r>
        <w:rPr>
          <w:rFonts w:ascii="Times New Roman" w:hAnsi="Times New Roman" w:cs="Times New Roman"/>
          <w:sz w:val="24"/>
          <w:szCs w:val="24"/>
        </w:rPr>
        <w:t>iteration</w:t>
      </w:r>
      <w:proofErr w:type="gramEnd"/>
      <w:r>
        <w:rPr>
          <w:rFonts w:ascii="Times New Roman" w:hAnsi="Times New Roman" w:cs="Times New Roman"/>
          <w:sz w:val="24"/>
          <w:szCs w:val="24"/>
        </w:rPr>
        <w:t>.</w:t>
      </w:r>
    </w:p>
    <w:p w14:paraId="111E0509" w14:textId="77777777" w:rsidR="00047E57" w:rsidRDefault="00047E57" w:rsidP="00047E57">
      <w:pPr>
        <w:rPr>
          <w:rFonts w:ascii="Times New Roman" w:hAnsi="Times New Roman" w:cs="Times New Roman"/>
          <w:sz w:val="24"/>
          <w:szCs w:val="24"/>
        </w:rPr>
      </w:pPr>
      <w:r>
        <w:rPr>
          <w:rFonts w:ascii="Times New Roman" w:hAnsi="Times New Roman" w:cs="Times New Roman"/>
          <w:sz w:val="24"/>
          <w:szCs w:val="24"/>
        </w:rPr>
        <w:t>For non-linear ODE we had put make a while loop for when the condition was satisfied rather than using just 3 iteration and the result came out be that 7 iterations were needed to get to the target value.</w:t>
      </w:r>
    </w:p>
    <w:tbl>
      <w:tblPr>
        <w:tblStyle w:val="TableGrid"/>
        <w:tblW w:w="9469" w:type="dxa"/>
        <w:tblLook w:val="04A0" w:firstRow="1" w:lastRow="0" w:firstColumn="1" w:lastColumn="0" w:noHBand="0" w:noVBand="1"/>
      </w:tblPr>
      <w:tblGrid>
        <w:gridCol w:w="3155"/>
        <w:gridCol w:w="3157"/>
        <w:gridCol w:w="3157"/>
      </w:tblGrid>
      <w:tr w:rsidR="00047E57" w:rsidRPr="00836945" w14:paraId="5E616591" w14:textId="77777777" w:rsidTr="005E04EE">
        <w:trPr>
          <w:trHeight w:val="353"/>
        </w:trPr>
        <w:tc>
          <w:tcPr>
            <w:tcW w:w="3155" w:type="dxa"/>
          </w:tcPr>
          <w:p w14:paraId="47B3F460" w14:textId="77777777" w:rsidR="00047E57" w:rsidRPr="00836945" w:rsidRDefault="00047E57" w:rsidP="005E04EE">
            <w:pPr>
              <w:pStyle w:val="NormalWeb"/>
              <w:spacing w:before="0" w:beforeAutospacing="0"/>
              <w:jc w:val="center"/>
              <w:rPr>
                <w:i/>
                <w:iCs/>
                <w:color w:val="333333"/>
              </w:rPr>
            </w:pPr>
            <w:proofErr w:type="spellStart"/>
            <w:r w:rsidRPr="00836945">
              <w:rPr>
                <w:i/>
                <w:iCs/>
                <w:color w:val="333333"/>
              </w:rPr>
              <w:t>i</w:t>
            </w:r>
            <w:proofErr w:type="spellEnd"/>
          </w:p>
        </w:tc>
        <w:tc>
          <w:tcPr>
            <w:tcW w:w="3157" w:type="dxa"/>
          </w:tcPr>
          <w:p w14:paraId="5DB2D300" w14:textId="77777777" w:rsidR="00047E57" w:rsidRPr="00836945" w:rsidRDefault="00047E57" w:rsidP="005E04EE">
            <w:pPr>
              <w:pStyle w:val="HTMLPreformatted"/>
              <w:shd w:val="clear" w:color="auto" w:fill="FCFCFC"/>
              <w:jc w:val="center"/>
              <w:rPr>
                <w:rFonts w:ascii="Times New Roman" w:hAnsi="Times New Roman" w:cs="Times New Roman"/>
                <w:i/>
                <w:iCs/>
                <w:color w:val="333333"/>
                <w:sz w:val="24"/>
                <w:szCs w:val="24"/>
              </w:rPr>
            </w:pPr>
            <w:r w:rsidRPr="00836945">
              <w:rPr>
                <w:rFonts w:ascii="Times New Roman" w:hAnsi="Times New Roman" w:cs="Times New Roman"/>
                <w:color w:val="333333"/>
                <w:sz w:val="24"/>
                <w:szCs w:val="24"/>
              </w:rPr>
              <w:t>y</w:t>
            </w:r>
            <w:r>
              <w:rPr>
                <w:rFonts w:ascii="Times New Roman" w:hAnsi="Times New Roman" w:cs="Times New Roman"/>
                <w:color w:val="333333"/>
                <w:sz w:val="24"/>
                <w:szCs w:val="24"/>
              </w:rPr>
              <w:t>(</w:t>
            </w:r>
            <w:r w:rsidRPr="00836945">
              <w:rPr>
                <w:rFonts w:ascii="Times New Roman" w:hAnsi="Times New Roman" w:cs="Times New Roman"/>
                <w:color w:val="333333"/>
                <w:sz w:val="24"/>
                <w:szCs w:val="24"/>
              </w:rPr>
              <w:t>x</w:t>
            </w:r>
            <w:r w:rsidRPr="00836945">
              <w:rPr>
                <w:rFonts w:ascii="Times New Roman" w:hAnsi="Times New Roman" w:cs="Times New Roman"/>
                <w:color w:val="333333"/>
                <w:sz w:val="24"/>
                <w:szCs w:val="24"/>
                <w:vertAlign w:val="subscript"/>
              </w:rPr>
              <w:t>i</w:t>
            </w:r>
            <w:r w:rsidRPr="00836945">
              <w:rPr>
                <w:rFonts w:ascii="Times New Roman" w:hAnsi="Times New Roman" w:cs="Times New Roman"/>
                <w:color w:val="333333"/>
                <w:sz w:val="24"/>
                <w:szCs w:val="24"/>
              </w:rPr>
              <w:t>)</w:t>
            </w:r>
          </w:p>
        </w:tc>
        <w:tc>
          <w:tcPr>
            <w:tcW w:w="3157" w:type="dxa"/>
          </w:tcPr>
          <w:p w14:paraId="305595D2" w14:textId="77777777" w:rsidR="00047E57" w:rsidRPr="00836945" w:rsidRDefault="00047E57" w:rsidP="005E04EE">
            <w:pPr>
              <w:pStyle w:val="NormalWeb"/>
              <w:spacing w:before="0" w:beforeAutospacing="0"/>
              <w:jc w:val="center"/>
              <w:rPr>
                <w:i/>
                <w:iCs/>
                <w:color w:val="333333"/>
              </w:rPr>
            </w:pPr>
            <w:r w:rsidRPr="00836945">
              <w:rPr>
                <w:i/>
                <w:iCs/>
                <w:color w:val="333333"/>
              </w:rPr>
              <w:t>y’</w:t>
            </w:r>
            <w:r w:rsidRPr="00836945">
              <w:rPr>
                <w:color w:val="333333"/>
              </w:rPr>
              <w:t>(</w:t>
            </w:r>
            <w:r w:rsidRPr="00836945">
              <w:rPr>
                <w:i/>
                <w:iCs/>
                <w:color w:val="333333"/>
              </w:rPr>
              <w:t>x</w:t>
            </w:r>
            <w:r w:rsidRPr="00836945">
              <w:rPr>
                <w:i/>
                <w:iCs/>
                <w:color w:val="333333"/>
                <w:vertAlign w:val="subscript"/>
              </w:rPr>
              <w:t>i</w:t>
            </w:r>
            <w:r w:rsidRPr="00836945">
              <w:rPr>
                <w:color w:val="333333"/>
              </w:rPr>
              <w:t>)</w:t>
            </w:r>
          </w:p>
        </w:tc>
      </w:tr>
      <w:tr w:rsidR="00047E57" w:rsidRPr="00836945" w14:paraId="401D4DED" w14:textId="77777777" w:rsidTr="005E04EE">
        <w:trPr>
          <w:trHeight w:val="340"/>
        </w:trPr>
        <w:tc>
          <w:tcPr>
            <w:tcW w:w="3155" w:type="dxa"/>
          </w:tcPr>
          <w:p w14:paraId="59824211" w14:textId="77777777" w:rsidR="00047E57" w:rsidRPr="00836945" w:rsidRDefault="00047E57" w:rsidP="005E04EE">
            <w:pPr>
              <w:pStyle w:val="NormalWeb"/>
              <w:spacing w:before="0" w:beforeAutospacing="0"/>
              <w:jc w:val="center"/>
              <w:rPr>
                <w:color w:val="333333"/>
              </w:rPr>
            </w:pPr>
            <w:r w:rsidRPr="00836945">
              <w:rPr>
                <w:color w:val="333333"/>
              </w:rPr>
              <w:t>1</w:t>
            </w:r>
          </w:p>
        </w:tc>
        <w:tc>
          <w:tcPr>
            <w:tcW w:w="3157" w:type="dxa"/>
          </w:tcPr>
          <w:p w14:paraId="752D7092" w14:textId="77777777" w:rsidR="00047E57" w:rsidRPr="00836945" w:rsidRDefault="00047E57" w:rsidP="005E04EE">
            <w:pPr>
              <w:pStyle w:val="NormalWeb"/>
              <w:spacing w:before="0" w:beforeAutospacing="0"/>
              <w:jc w:val="center"/>
              <w:rPr>
                <w:color w:val="333333"/>
              </w:rPr>
            </w:pPr>
            <w:r w:rsidRPr="00836945">
              <w:rPr>
                <w:color w:val="333333"/>
              </w:rPr>
              <w:t>1</w:t>
            </w:r>
          </w:p>
        </w:tc>
        <w:tc>
          <w:tcPr>
            <w:tcW w:w="3157" w:type="dxa"/>
          </w:tcPr>
          <w:p w14:paraId="6B448E8B" w14:textId="77777777" w:rsidR="00047E57" w:rsidRPr="00836945" w:rsidRDefault="00047E57" w:rsidP="005E04EE">
            <w:pPr>
              <w:pStyle w:val="NormalWeb"/>
              <w:spacing w:before="0" w:beforeAutospacing="0"/>
              <w:jc w:val="center"/>
              <w:rPr>
                <w:color w:val="333333"/>
              </w:rPr>
            </w:pPr>
            <w:r w:rsidRPr="00836945">
              <w:rPr>
                <w:color w:val="333333"/>
              </w:rPr>
              <w:t>1.6553</w:t>
            </w:r>
          </w:p>
        </w:tc>
      </w:tr>
      <w:tr w:rsidR="00047E57" w:rsidRPr="00836945" w14:paraId="582FB258" w14:textId="77777777" w:rsidTr="005E04EE">
        <w:trPr>
          <w:trHeight w:val="353"/>
        </w:trPr>
        <w:tc>
          <w:tcPr>
            <w:tcW w:w="3155" w:type="dxa"/>
          </w:tcPr>
          <w:p w14:paraId="3F435870" w14:textId="77777777" w:rsidR="00047E57" w:rsidRPr="00836945" w:rsidRDefault="00047E57" w:rsidP="005E04EE">
            <w:pPr>
              <w:pStyle w:val="NormalWeb"/>
              <w:spacing w:before="0" w:beforeAutospacing="0"/>
              <w:jc w:val="center"/>
              <w:rPr>
                <w:color w:val="333333"/>
              </w:rPr>
            </w:pPr>
            <w:r w:rsidRPr="00836945">
              <w:rPr>
                <w:color w:val="333333"/>
              </w:rPr>
              <w:t>2</w:t>
            </w:r>
          </w:p>
        </w:tc>
        <w:tc>
          <w:tcPr>
            <w:tcW w:w="3157" w:type="dxa"/>
          </w:tcPr>
          <w:p w14:paraId="15A48447" w14:textId="77777777" w:rsidR="00047E57" w:rsidRPr="00836945" w:rsidRDefault="00047E57" w:rsidP="005E04EE">
            <w:pPr>
              <w:pStyle w:val="NormalWeb"/>
              <w:spacing w:before="0" w:beforeAutospacing="0"/>
              <w:jc w:val="center"/>
              <w:rPr>
                <w:color w:val="333333"/>
              </w:rPr>
            </w:pPr>
            <w:r w:rsidRPr="00836945">
              <w:rPr>
                <w:color w:val="333333"/>
              </w:rPr>
              <w:t>0.1</w:t>
            </w:r>
          </w:p>
        </w:tc>
        <w:tc>
          <w:tcPr>
            <w:tcW w:w="3157" w:type="dxa"/>
          </w:tcPr>
          <w:p w14:paraId="6373451F" w14:textId="77777777" w:rsidR="00047E57" w:rsidRPr="00836945" w:rsidRDefault="00047E57" w:rsidP="005E04EE">
            <w:pPr>
              <w:pStyle w:val="NormalWeb"/>
              <w:spacing w:before="0" w:beforeAutospacing="0"/>
              <w:jc w:val="center"/>
              <w:rPr>
                <w:color w:val="333333"/>
              </w:rPr>
            </w:pPr>
            <w:r w:rsidRPr="00836945">
              <w:rPr>
                <w:color w:val="333333"/>
              </w:rPr>
              <w:t>0.3566</w:t>
            </w:r>
          </w:p>
        </w:tc>
      </w:tr>
      <w:tr w:rsidR="00047E57" w:rsidRPr="00836945" w14:paraId="1783E18F" w14:textId="77777777" w:rsidTr="005E04EE">
        <w:trPr>
          <w:trHeight w:val="340"/>
        </w:trPr>
        <w:tc>
          <w:tcPr>
            <w:tcW w:w="3155" w:type="dxa"/>
          </w:tcPr>
          <w:p w14:paraId="38D9AC04" w14:textId="77777777" w:rsidR="00047E57" w:rsidRPr="00836945" w:rsidRDefault="00047E57" w:rsidP="005E04EE">
            <w:pPr>
              <w:pStyle w:val="NormalWeb"/>
              <w:spacing w:before="0" w:beforeAutospacing="0"/>
              <w:jc w:val="center"/>
              <w:rPr>
                <w:color w:val="333333"/>
              </w:rPr>
            </w:pPr>
            <w:r w:rsidRPr="00836945">
              <w:rPr>
                <w:color w:val="333333"/>
              </w:rPr>
              <w:t>3</w:t>
            </w:r>
          </w:p>
        </w:tc>
        <w:tc>
          <w:tcPr>
            <w:tcW w:w="3157" w:type="dxa"/>
          </w:tcPr>
          <w:p w14:paraId="11A8EB53" w14:textId="77777777" w:rsidR="00047E57" w:rsidRPr="00836945" w:rsidRDefault="00047E57" w:rsidP="005E04EE">
            <w:pPr>
              <w:pStyle w:val="NormalWeb"/>
              <w:spacing w:before="0" w:beforeAutospacing="0"/>
              <w:jc w:val="center"/>
              <w:rPr>
                <w:color w:val="333333"/>
              </w:rPr>
            </w:pPr>
            <w:r w:rsidRPr="00836945">
              <w:rPr>
                <w:color w:val="333333"/>
              </w:rPr>
              <w:t>0.54587</w:t>
            </w:r>
          </w:p>
        </w:tc>
        <w:tc>
          <w:tcPr>
            <w:tcW w:w="3157" w:type="dxa"/>
          </w:tcPr>
          <w:p w14:paraId="185888C6" w14:textId="77777777" w:rsidR="00047E57" w:rsidRPr="00836945" w:rsidRDefault="00047E57" w:rsidP="005E04EE">
            <w:pPr>
              <w:pStyle w:val="NormalWeb"/>
              <w:spacing w:before="0" w:beforeAutospacing="0"/>
              <w:jc w:val="center"/>
              <w:rPr>
                <w:color w:val="333333"/>
              </w:rPr>
            </w:pPr>
            <w:r w:rsidRPr="00836945">
              <w:rPr>
                <w:color w:val="333333"/>
              </w:rPr>
              <w:t>1</w:t>
            </w:r>
            <w:r>
              <w:rPr>
                <w:color w:val="333333"/>
              </w:rPr>
              <w:t>.</w:t>
            </w:r>
            <w:r w:rsidRPr="00836945">
              <w:rPr>
                <w:color w:val="333333"/>
              </w:rPr>
              <w:t>1056</w:t>
            </w:r>
          </w:p>
        </w:tc>
      </w:tr>
      <w:tr w:rsidR="00047E57" w:rsidRPr="00836945" w14:paraId="426A8E62" w14:textId="77777777" w:rsidTr="005E04EE">
        <w:trPr>
          <w:trHeight w:val="340"/>
        </w:trPr>
        <w:tc>
          <w:tcPr>
            <w:tcW w:w="3155" w:type="dxa"/>
          </w:tcPr>
          <w:p w14:paraId="3970E552" w14:textId="77777777" w:rsidR="00047E57" w:rsidRPr="00836945" w:rsidRDefault="00047E57" w:rsidP="005E04EE">
            <w:pPr>
              <w:pStyle w:val="NormalWeb"/>
              <w:spacing w:before="0" w:beforeAutospacing="0"/>
              <w:jc w:val="center"/>
              <w:rPr>
                <w:color w:val="333333"/>
              </w:rPr>
            </w:pPr>
            <w:r>
              <w:rPr>
                <w:color w:val="333333"/>
              </w:rPr>
              <w:t>4</w:t>
            </w:r>
          </w:p>
        </w:tc>
        <w:tc>
          <w:tcPr>
            <w:tcW w:w="3157" w:type="dxa"/>
          </w:tcPr>
          <w:p w14:paraId="3B1A415F" w14:textId="77777777" w:rsidR="00047E57" w:rsidRPr="00836945" w:rsidRDefault="00047E57" w:rsidP="005E04EE">
            <w:pPr>
              <w:pStyle w:val="NormalWeb"/>
              <w:spacing w:before="0" w:beforeAutospacing="0"/>
              <w:jc w:val="center"/>
              <w:rPr>
                <w:color w:val="333333"/>
              </w:rPr>
            </w:pPr>
            <w:r>
              <w:rPr>
                <w:rFonts w:ascii="var(--jp-code-font-family)" w:hAnsi="var(--jp-code-font-family)"/>
                <w:color w:val="333333"/>
              </w:rPr>
              <w:t xml:space="preserve">0.48301       </w:t>
            </w:r>
          </w:p>
        </w:tc>
        <w:tc>
          <w:tcPr>
            <w:tcW w:w="3157" w:type="dxa"/>
          </w:tcPr>
          <w:p w14:paraId="794AB765" w14:textId="77777777" w:rsidR="00047E57" w:rsidRPr="00836945" w:rsidRDefault="00047E57" w:rsidP="005E04EE">
            <w:pPr>
              <w:pStyle w:val="NormalWeb"/>
              <w:spacing w:before="0" w:beforeAutospacing="0"/>
              <w:jc w:val="center"/>
              <w:rPr>
                <w:color w:val="333333"/>
              </w:rPr>
            </w:pPr>
            <w:r>
              <w:rPr>
                <w:color w:val="333333"/>
              </w:rPr>
              <w:t>1.019</w:t>
            </w:r>
          </w:p>
        </w:tc>
      </w:tr>
      <w:tr w:rsidR="00047E57" w:rsidRPr="00836945" w14:paraId="09F83447" w14:textId="77777777" w:rsidTr="005E04EE">
        <w:trPr>
          <w:trHeight w:val="340"/>
        </w:trPr>
        <w:tc>
          <w:tcPr>
            <w:tcW w:w="3155" w:type="dxa"/>
          </w:tcPr>
          <w:p w14:paraId="0CE526A3" w14:textId="77777777" w:rsidR="00047E57" w:rsidRPr="00836945" w:rsidRDefault="00047E57" w:rsidP="005E04EE">
            <w:pPr>
              <w:pStyle w:val="NormalWeb"/>
              <w:spacing w:before="0" w:beforeAutospacing="0"/>
              <w:jc w:val="center"/>
              <w:rPr>
                <w:color w:val="333333"/>
              </w:rPr>
            </w:pPr>
            <w:r>
              <w:rPr>
                <w:color w:val="333333"/>
              </w:rPr>
              <w:t>5</w:t>
            </w:r>
          </w:p>
        </w:tc>
        <w:tc>
          <w:tcPr>
            <w:tcW w:w="3157" w:type="dxa"/>
          </w:tcPr>
          <w:p w14:paraId="4E07F74F" w14:textId="77777777" w:rsidR="00047E57" w:rsidRPr="00836945" w:rsidRDefault="00047E57" w:rsidP="005E04EE">
            <w:pPr>
              <w:pStyle w:val="NormalWeb"/>
              <w:spacing w:before="0" w:beforeAutospacing="0"/>
              <w:jc w:val="center"/>
              <w:rPr>
                <w:color w:val="333333"/>
              </w:rPr>
            </w:pPr>
            <w:r>
              <w:rPr>
                <w:rFonts w:ascii="var(--jp-code-font-family)" w:hAnsi="var(--jp-code-font-family)"/>
                <w:color w:val="333333"/>
              </w:rPr>
              <w:t xml:space="preserve">0.46922     </w:t>
            </w:r>
          </w:p>
        </w:tc>
        <w:tc>
          <w:tcPr>
            <w:tcW w:w="3157" w:type="dxa"/>
          </w:tcPr>
          <w:p w14:paraId="22A75F1A" w14:textId="77777777" w:rsidR="00047E57" w:rsidRPr="00836945" w:rsidRDefault="00047E57" w:rsidP="005E04EE">
            <w:pPr>
              <w:pStyle w:val="NormalWeb"/>
              <w:spacing w:before="0" w:beforeAutospacing="0"/>
              <w:jc w:val="center"/>
              <w:rPr>
                <w:color w:val="333333"/>
              </w:rPr>
            </w:pPr>
            <w:r>
              <w:rPr>
                <w:rFonts w:ascii="var(--jp-code-font-family)" w:hAnsi="var(--jp-code-font-family)"/>
                <w:color w:val="333333"/>
              </w:rPr>
              <w:t>0.99951</w:t>
            </w:r>
          </w:p>
        </w:tc>
      </w:tr>
      <w:tr w:rsidR="00047E57" w:rsidRPr="00836945" w14:paraId="14D0794C" w14:textId="77777777" w:rsidTr="005E04EE">
        <w:trPr>
          <w:trHeight w:val="340"/>
        </w:trPr>
        <w:tc>
          <w:tcPr>
            <w:tcW w:w="3155" w:type="dxa"/>
          </w:tcPr>
          <w:p w14:paraId="11FA3461" w14:textId="77777777" w:rsidR="00047E57" w:rsidRPr="00836945" w:rsidRDefault="00047E57" w:rsidP="005E04EE">
            <w:pPr>
              <w:pStyle w:val="NormalWeb"/>
              <w:spacing w:before="0" w:beforeAutospacing="0"/>
              <w:jc w:val="center"/>
              <w:rPr>
                <w:color w:val="333333"/>
              </w:rPr>
            </w:pPr>
            <w:r>
              <w:rPr>
                <w:color w:val="333333"/>
              </w:rPr>
              <w:t>6</w:t>
            </w:r>
          </w:p>
        </w:tc>
        <w:tc>
          <w:tcPr>
            <w:tcW w:w="3157" w:type="dxa"/>
          </w:tcPr>
          <w:p w14:paraId="46B823A3" w14:textId="77777777" w:rsidR="00047E57" w:rsidRPr="00836945" w:rsidRDefault="00047E57" w:rsidP="005E04EE">
            <w:pPr>
              <w:pStyle w:val="NormalWeb"/>
              <w:spacing w:before="0" w:beforeAutospacing="0"/>
              <w:jc w:val="center"/>
              <w:rPr>
                <w:color w:val="333333"/>
              </w:rPr>
            </w:pPr>
            <w:r>
              <w:rPr>
                <w:rFonts w:ascii="var(--jp-code-font-family)" w:hAnsi="var(--jp-code-font-family)"/>
                <w:color w:val="333333"/>
              </w:rPr>
              <w:t xml:space="preserve">0.46957           </w:t>
            </w:r>
          </w:p>
        </w:tc>
        <w:tc>
          <w:tcPr>
            <w:tcW w:w="3157" w:type="dxa"/>
          </w:tcPr>
          <w:p w14:paraId="213BF91C" w14:textId="77777777" w:rsidR="00047E57" w:rsidRPr="00836945" w:rsidRDefault="00047E57" w:rsidP="005E04EE">
            <w:pPr>
              <w:pStyle w:val="NormalWeb"/>
              <w:spacing w:before="0" w:beforeAutospacing="0"/>
              <w:jc w:val="center"/>
              <w:rPr>
                <w:color w:val="333333"/>
              </w:rPr>
            </w:pPr>
            <w:r>
              <w:rPr>
                <w:color w:val="333333"/>
              </w:rPr>
              <w:t>1</w:t>
            </w:r>
          </w:p>
        </w:tc>
      </w:tr>
      <w:tr w:rsidR="00047E57" w:rsidRPr="00836945" w14:paraId="419F3024" w14:textId="77777777" w:rsidTr="005E04EE">
        <w:trPr>
          <w:trHeight w:val="340"/>
        </w:trPr>
        <w:tc>
          <w:tcPr>
            <w:tcW w:w="3155" w:type="dxa"/>
          </w:tcPr>
          <w:p w14:paraId="1CCA0F16" w14:textId="77777777" w:rsidR="00047E57" w:rsidRPr="00836945" w:rsidRDefault="00047E57" w:rsidP="005E04EE">
            <w:pPr>
              <w:pStyle w:val="NormalWeb"/>
              <w:spacing w:before="0" w:beforeAutospacing="0"/>
              <w:jc w:val="center"/>
              <w:rPr>
                <w:color w:val="333333"/>
              </w:rPr>
            </w:pPr>
            <w:r>
              <w:rPr>
                <w:color w:val="333333"/>
              </w:rPr>
              <w:t>7</w:t>
            </w:r>
          </w:p>
        </w:tc>
        <w:tc>
          <w:tcPr>
            <w:tcW w:w="3157" w:type="dxa"/>
          </w:tcPr>
          <w:p w14:paraId="0EB1747F" w14:textId="77777777" w:rsidR="00047E57" w:rsidRPr="00836945" w:rsidRDefault="00047E57" w:rsidP="005E04EE">
            <w:pPr>
              <w:pStyle w:val="NormalWeb"/>
              <w:spacing w:before="0" w:beforeAutospacing="0"/>
              <w:jc w:val="center"/>
              <w:rPr>
                <w:color w:val="333333"/>
              </w:rPr>
            </w:pPr>
            <w:r>
              <w:rPr>
                <w:rFonts w:ascii="var(--jp-code-font-family)" w:hAnsi="var(--jp-code-font-family)"/>
                <w:color w:val="333333"/>
              </w:rPr>
              <w:t xml:space="preserve">0.46957           </w:t>
            </w:r>
          </w:p>
        </w:tc>
        <w:tc>
          <w:tcPr>
            <w:tcW w:w="3157" w:type="dxa"/>
          </w:tcPr>
          <w:p w14:paraId="48CED3C6" w14:textId="77777777" w:rsidR="00047E57" w:rsidRPr="00836945" w:rsidRDefault="00047E57" w:rsidP="005E04EE">
            <w:pPr>
              <w:pStyle w:val="NormalWeb"/>
              <w:spacing w:before="0" w:beforeAutospacing="0"/>
              <w:jc w:val="center"/>
              <w:rPr>
                <w:color w:val="333333"/>
              </w:rPr>
            </w:pPr>
            <w:r>
              <w:rPr>
                <w:color w:val="333333"/>
              </w:rPr>
              <w:t>1</w:t>
            </w:r>
          </w:p>
        </w:tc>
      </w:tr>
    </w:tbl>
    <w:p w14:paraId="1306AD6C" w14:textId="77777777" w:rsidR="00047E57" w:rsidRPr="004F060F" w:rsidRDefault="00047E57" w:rsidP="00047E57">
      <w:pPr>
        <w:ind w:left="1440" w:firstLine="720"/>
        <w:rPr>
          <w:rFonts w:ascii="Times New Roman" w:hAnsi="Times New Roman" w:cs="Times New Roman"/>
          <w:sz w:val="24"/>
          <w:szCs w:val="24"/>
        </w:rPr>
      </w:pPr>
      <w:r w:rsidRPr="00F1034A">
        <w:rPr>
          <w:rFonts w:ascii="Times New Roman" w:eastAsiaTheme="minorEastAsia" w:hAnsi="Times New Roman" w:cs="Times New Roman"/>
        </w:rPr>
        <w:t>Table 1.</w:t>
      </w:r>
      <w:r>
        <w:rPr>
          <w:rFonts w:ascii="Times New Roman" w:eastAsiaTheme="minorEastAsia" w:hAnsi="Times New Roman" w:cs="Times New Roman"/>
        </w:rPr>
        <w:t>3</w:t>
      </w:r>
      <w:r w:rsidRPr="00F1034A">
        <w:rPr>
          <w:rFonts w:ascii="Times New Roman" w:eastAsiaTheme="minorEastAsia" w:hAnsi="Times New Roman" w:cs="Times New Roman"/>
        </w:rPr>
        <w:t xml:space="preserve"> Solution</w:t>
      </w:r>
      <w:r>
        <w:rPr>
          <w:rFonts w:ascii="Times New Roman" w:eastAsiaTheme="minorEastAsia" w:hAnsi="Times New Roman" w:cs="Times New Roman"/>
        </w:rPr>
        <w:t xml:space="preserve"> for Non-Linear PDE using while loop</w:t>
      </w:r>
    </w:p>
    <w:p w14:paraId="0237C1A2" w14:textId="77777777" w:rsidR="00047E57" w:rsidRDefault="00047E57" w:rsidP="00047E57">
      <w:pPr>
        <w:rPr>
          <w:rFonts w:ascii="Times New Roman" w:hAnsi="Times New Roman" w:cs="Times New Roman"/>
          <w:sz w:val="24"/>
          <w:szCs w:val="24"/>
        </w:rPr>
      </w:pPr>
    </w:p>
    <w:p w14:paraId="300C1C93" w14:textId="77777777" w:rsidR="00047E57" w:rsidRDefault="00047E57" w:rsidP="00047E57">
      <w:pPr>
        <w:rPr>
          <w:rFonts w:ascii="Times New Roman" w:hAnsi="Times New Roman" w:cs="Times New Roman"/>
          <w:sz w:val="24"/>
          <w:szCs w:val="24"/>
        </w:rPr>
      </w:pPr>
    </w:p>
    <w:p w14:paraId="5BB0FA23" w14:textId="77777777" w:rsidR="00047E57" w:rsidRDefault="00047E57" w:rsidP="00047E57">
      <w:pPr>
        <w:rPr>
          <w:rFonts w:ascii="Times New Roman" w:hAnsi="Times New Roman" w:cs="Times New Roman"/>
          <w:sz w:val="24"/>
          <w:szCs w:val="24"/>
        </w:rPr>
      </w:pPr>
    </w:p>
    <w:p w14:paraId="2F78ED2D" w14:textId="77777777" w:rsidR="00047E57" w:rsidRDefault="00047E57" w:rsidP="00047E57">
      <w:pPr>
        <w:rPr>
          <w:rFonts w:ascii="Times New Roman" w:hAnsi="Times New Roman" w:cs="Times New Roman"/>
          <w:sz w:val="24"/>
          <w:szCs w:val="24"/>
        </w:rPr>
      </w:pPr>
    </w:p>
    <w:p w14:paraId="4D2FB6BB" w14:textId="77777777" w:rsidR="00047E57" w:rsidRDefault="00047E57" w:rsidP="00047E57">
      <w:pPr>
        <w:rPr>
          <w:rFonts w:ascii="Times New Roman" w:hAnsi="Times New Roman" w:cs="Times New Roman"/>
          <w:sz w:val="24"/>
          <w:szCs w:val="24"/>
        </w:rPr>
      </w:pPr>
    </w:p>
    <w:p w14:paraId="3A82068A" w14:textId="77777777" w:rsidR="00047E57" w:rsidRDefault="00047E57" w:rsidP="00047E57">
      <w:pPr>
        <w:rPr>
          <w:rFonts w:ascii="Times New Roman" w:hAnsi="Times New Roman" w:cs="Times New Roman"/>
          <w:sz w:val="24"/>
          <w:szCs w:val="24"/>
        </w:rPr>
      </w:pPr>
    </w:p>
    <w:p w14:paraId="2941B779" w14:textId="77777777" w:rsidR="00047E57" w:rsidRDefault="00047E57" w:rsidP="00047E57">
      <w:pPr>
        <w:rPr>
          <w:rFonts w:ascii="Times New Roman" w:hAnsi="Times New Roman" w:cs="Times New Roman"/>
          <w:sz w:val="24"/>
          <w:szCs w:val="24"/>
        </w:rPr>
      </w:pPr>
    </w:p>
    <w:p w14:paraId="5928608B" w14:textId="77777777" w:rsidR="00047E57" w:rsidRDefault="00047E57" w:rsidP="00047E57">
      <w:pPr>
        <w:rPr>
          <w:rFonts w:ascii="Times New Roman" w:hAnsi="Times New Roman" w:cs="Times New Roman"/>
          <w:sz w:val="24"/>
          <w:szCs w:val="24"/>
        </w:rPr>
      </w:pPr>
    </w:p>
    <w:p w14:paraId="7D0C8830" w14:textId="77777777" w:rsidR="00047E57" w:rsidRDefault="00047E57" w:rsidP="00047E57">
      <w:pPr>
        <w:rPr>
          <w:rFonts w:ascii="Times New Roman" w:hAnsi="Times New Roman" w:cs="Times New Roman"/>
          <w:sz w:val="24"/>
          <w:szCs w:val="24"/>
        </w:rPr>
      </w:pPr>
    </w:p>
    <w:p w14:paraId="64D19584" w14:textId="77777777" w:rsidR="00047E57" w:rsidRDefault="00047E57" w:rsidP="00047E57">
      <w:pPr>
        <w:rPr>
          <w:rFonts w:ascii="Times New Roman" w:hAnsi="Times New Roman" w:cs="Times New Roman"/>
          <w:sz w:val="24"/>
          <w:szCs w:val="24"/>
        </w:rPr>
      </w:pPr>
    </w:p>
    <w:p w14:paraId="5761E15D" w14:textId="77777777" w:rsidR="00047E57" w:rsidRDefault="00047E57" w:rsidP="00047E57">
      <w:pPr>
        <w:rPr>
          <w:rFonts w:ascii="Times New Roman" w:hAnsi="Times New Roman" w:cs="Times New Roman"/>
          <w:sz w:val="24"/>
          <w:szCs w:val="24"/>
        </w:rPr>
      </w:pPr>
    </w:p>
    <w:p w14:paraId="610F82A7" w14:textId="77777777" w:rsidR="00047E57" w:rsidRDefault="00047E57" w:rsidP="00047E57">
      <w:pPr>
        <w:rPr>
          <w:rFonts w:ascii="Times New Roman" w:hAnsi="Times New Roman" w:cs="Times New Roman"/>
          <w:sz w:val="24"/>
          <w:szCs w:val="24"/>
        </w:rPr>
      </w:pPr>
    </w:p>
    <w:p w14:paraId="2B1420A7" w14:textId="77777777" w:rsidR="00047E57" w:rsidRDefault="00047E57" w:rsidP="00047E57">
      <w:pPr>
        <w:jc w:val="center"/>
        <w:rPr>
          <w:rFonts w:ascii="Times New Roman" w:hAnsi="Times New Roman" w:cs="Times New Roman"/>
          <w:sz w:val="40"/>
          <w:szCs w:val="40"/>
        </w:rPr>
      </w:pPr>
    </w:p>
    <w:p w14:paraId="3E35744B" w14:textId="77777777" w:rsidR="00047E57" w:rsidRDefault="00047E57" w:rsidP="00047E57">
      <w:pPr>
        <w:jc w:val="center"/>
        <w:rPr>
          <w:rFonts w:ascii="Times New Roman" w:hAnsi="Times New Roman" w:cs="Times New Roman"/>
          <w:sz w:val="40"/>
          <w:szCs w:val="40"/>
        </w:rPr>
      </w:pPr>
    </w:p>
    <w:p w14:paraId="398D65AF" w14:textId="1F7048F4" w:rsidR="00047E57" w:rsidRDefault="00047E57" w:rsidP="00047E57">
      <w:pPr>
        <w:rPr>
          <w:rFonts w:ascii="Times New Roman" w:hAnsi="Times New Roman" w:cs="Times New Roman"/>
          <w:sz w:val="40"/>
          <w:szCs w:val="40"/>
        </w:rPr>
      </w:pPr>
      <w:r w:rsidRPr="004F060F">
        <w:rPr>
          <w:rFonts w:ascii="Times New Roman" w:hAnsi="Times New Roman" w:cs="Times New Roman"/>
          <w:sz w:val="40"/>
          <w:szCs w:val="40"/>
        </w:rPr>
        <w:lastRenderedPageBreak/>
        <w:t>Conclusion</w:t>
      </w:r>
    </w:p>
    <w:p w14:paraId="0082CB9C" w14:textId="77777777" w:rsidR="00047E57" w:rsidRPr="004F060F" w:rsidRDefault="00047E57" w:rsidP="00047E57">
      <w:pPr>
        <w:jc w:val="both"/>
        <w:rPr>
          <w:rFonts w:ascii="Times New Roman" w:hAnsi="Times New Roman" w:cs="Times New Roman"/>
          <w:sz w:val="24"/>
          <w:szCs w:val="24"/>
        </w:rPr>
      </w:pPr>
      <w:r>
        <w:rPr>
          <w:rFonts w:ascii="Times New Roman" w:hAnsi="Times New Roman" w:cs="Times New Roman"/>
          <w:sz w:val="24"/>
          <w:szCs w:val="24"/>
        </w:rPr>
        <w:t>Shooting method can be useful in solving second order ODEs where only boundary conditions are given. It is easy and uses Euler’s method or Runge-</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method to find the initial value problem with accuracy. Like how a cannon shooting out an object and adjusting its trajectory after every shot to land the object on a given mark, shooting method shoot the initial condition towards what can actually be the condition which satisfies the boundary conditions. The guess is adjusted with the help of interpolation which makes the next guess more accurate and hence, closer to the target.</w:t>
      </w:r>
    </w:p>
    <w:p w14:paraId="1D69BAE8" w14:textId="77777777" w:rsidR="005A4F5B" w:rsidRDefault="005A4F5B" w:rsidP="005A4F5B">
      <w:pPr>
        <w:rPr>
          <w:rFonts w:ascii="Times New Roman" w:hAnsi="Times New Roman" w:cs="Times New Roman"/>
          <w:sz w:val="24"/>
          <w:szCs w:val="24"/>
        </w:rPr>
      </w:pPr>
    </w:p>
    <w:p w14:paraId="7C342687" w14:textId="77777777" w:rsidR="005A4F5B" w:rsidRDefault="005A4F5B" w:rsidP="005A4F5B">
      <w:pPr>
        <w:rPr>
          <w:rFonts w:ascii="Times New Roman" w:hAnsi="Times New Roman" w:cs="Times New Roman"/>
          <w:sz w:val="24"/>
          <w:szCs w:val="24"/>
        </w:rPr>
      </w:pPr>
    </w:p>
    <w:p w14:paraId="77B6F77C" w14:textId="77777777" w:rsidR="005A4F5B" w:rsidRDefault="005A4F5B" w:rsidP="005A4F5B">
      <w:pPr>
        <w:rPr>
          <w:rFonts w:ascii="Times New Roman" w:hAnsi="Times New Roman" w:cs="Times New Roman"/>
          <w:sz w:val="24"/>
          <w:szCs w:val="24"/>
        </w:rPr>
      </w:pPr>
    </w:p>
    <w:p w14:paraId="4141465C" w14:textId="77777777" w:rsidR="005A4F5B" w:rsidRDefault="005A4F5B" w:rsidP="005A4F5B">
      <w:pPr>
        <w:rPr>
          <w:rFonts w:ascii="Times New Roman" w:hAnsi="Times New Roman" w:cs="Times New Roman"/>
          <w:sz w:val="24"/>
          <w:szCs w:val="24"/>
        </w:rPr>
      </w:pPr>
    </w:p>
    <w:p w14:paraId="00350A12" w14:textId="77777777" w:rsidR="005A4F5B" w:rsidRDefault="005A4F5B" w:rsidP="005A4F5B">
      <w:pPr>
        <w:rPr>
          <w:rFonts w:ascii="Times New Roman" w:hAnsi="Times New Roman" w:cs="Times New Roman"/>
          <w:sz w:val="24"/>
          <w:szCs w:val="24"/>
        </w:rPr>
      </w:pPr>
    </w:p>
    <w:p w14:paraId="0DD0156E" w14:textId="77777777" w:rsidR="005A4F5B" w:rsidRDefault="005A4F5B" w:rsidP="005A4F5B">
      <w:pPr>
        <w:rPr>
          <w:rFonts w:ascii="Times New Roman" w:hAnsi="Times New Roman" w:cs="Times New Roman"/>
          <w:sz w:val="24"/>
          <w:szCs w:val="24"/>
        </w:rPr>
      </w:pPr>
    </w:p>
    <w:p w14:paraId="02D2DBFB" w14:textId="77777777" w:rsidR="005A4F5B" w:rsidRDefault="005A4F5B" w:rsidP="005A4F5B">
      <w:pPr>
        <w:rPr>
          <w:rFonts w:ascii="Times New Roman" w:hAnsi="Times New Roman" w:cs="Times New Roman"/>
          <w:sz w:val="24"/>
          <w:szCs w:val="24"/>
        </w:rPr>
      </w:pPr>
    </w:p>
    <w:p w14:paraId="1EC963DA" w14:textId="77777777" w:rsidR="00D24603" w:rsidRDefault="00D24603"/>
    <w:sectPr w:rsidR="00D24603" w:rsidSect="00047E5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5B"/>
    <w:rsid w:val="00047E57"/>
    <w:rsid w:val="005A4F5B"/>
    <w:rsid w:val="00D2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254B"/>
  <w15:chartTrackingRefBased/>
  <w15:docId w15:val="{A0204D26-D866-4437-814D-31240E03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4F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A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2</cp:revision>
  <dcterms:created xsi:type="dcterms:W3CDTF">2023-01-26T17:27:00Z</dcterms:created>
  <dcterms:modified xsi:type="dcterms:W3CDTF">2023-01-26T17:27:00Z</dcterms:modified>
</cp:coreProperties>
</file>