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25933">
      <w:pPr>
        <w:rPr>
          <w:rFonts w:hint="default" w:ascii="Times New Roman Regular" w:hAnsi="Times New Roman Regular" w:cs="Times New Roman Regular"/>
          <w:sz w:val="21"/>
          <w:szCs w:val="21"/>
          <w:vertAlign w:val="baseline"/>
          <w:lang w:val="en-US" w:eastAsia="zh-CN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38"/>
        <w:gridCol w:w="922"/>
        <w:gridCol w:w="922"/>
        <w:gridCol w:w="922"/>
        <w:gridCol w:w="923"/>
        <w:gridCol w:w="923"/>
        <w:gridCol w:w="924"/>
        <w:gridCol w:w="924"/>
        <w:gridCol w:w="924"/>
      </w:tblGrid>
      <w:tr w14:paraId="72E8C32A">
        <w:tc>
          <w:tcPr>
            <w:tcW w:w="946" w:type="dxa"/>
            <w:vMerge w:val="restart"/>
            <w:tcBorders>
              <w:left w:val="nil"/>
              <w:right w:val="nil"/>
            </w:tcBorders>
            <w:vAlign w:val="top"/>
          </w:tcPr>
          <w:p w14:paraId="70548F5B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</w:p>
        </w:tc>
        <w:tc>
          <w:tcPr>
            <w:tcW w:w="3785" w:type="dxa"/>
            <w:gridSpan w:val="4"/>
            <w:tcBorders>
              <w:left w:val="nil"/>
              <w:right w:val="nil"/>
            </w:tcBorders>
            <w:vAlign w:val="top"/>
          </w:tcPr>
          <w:p w14:paraId="3DEDE6BA">
            <w:pPr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 xml:space="preserve">ll 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Item</w:t>
            </w:r>
            <w:r>
              <w:rPr>
                <w:rFonts w:hint="eastAsia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s</w:t>
            </w:r>
          </w:p>
        </w:tc>
        <w:tc>
          <w:tcPr>
            <w:tcW w:w="3788" w:type="dxa"/>
            <w:gridSpan w:val="4"/>
            <w:tcBorders>
              <w:left w:val="nil"/>
              <w:right w:val="nil"/>
            </w:tcBorders>
            <w:vAlign w:val="top"/>
          </w:tcPr>
          <w:p w14:paraId="4E961481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Kept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tem</w:t>
            </w:r>
            <w:r>
              <w:rPr>
                <w:rFonts w:hint="eastAsia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s</w:t>
            </w:r>
          </w:p>
        </w:tc>
      </w:tr>
      <w:tr w14:paraId="09279717">
        <w:tc>
          <w:tcPr>
            <w:tcW w:w="946" w:type="dxa"/>
            <w:vMerge w:val="continue"/>
            <w:tcBorders>
              <w:left w:val="nil"/>
              <w:right w:val="nil"/>
            </w:tcBorders>
            <w:vAlign w:val="top"/>
          </w:tcPr>
          <w:p w14:paraId="192A11F0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2E5EC241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SGPS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1C71F1DB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GAD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54446DA1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PHQ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61CC4AB1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SWB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51A78984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SGPS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4209356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GAD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EFBFE97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PHQ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1E989BC7">
            <w:pP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SWB</w:t>
            </w:r>
          </w:p>
        </w:tc>
      </w:tr>
      <w:tr w14:paraId="2CC33A92"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1866EAA8">
            <w:pPr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/>
              </w:rPr>
              <w:t>MAE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51F71CBC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-0.868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55CD987D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-0.858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1A5E9C41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-0.837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39F49E6A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-0.903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77BA626B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-0.881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72F2709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-0.883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05AC6BA6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-0.826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419DC0C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-0.951</w:t>
            </w:r>
          </w:p>
        </w:tc>
      </w:tr>
      <w:tr w14:paraId="62733138"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11C39E17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r方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75445053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-0.025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58B93346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-0.040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3317B2FB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-0.047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38CB00F8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0.032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C6E8956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-0.080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1771E281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-0.085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4DC24F5D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-0.025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2B3B5E4D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-0.113</w:t>
            </w:r>
          </w:p>
        </w:tc>
      </w:tr>
      <w:tr w14:paraId="7CB7F0E5"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17A3ADB9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5417762E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-0.000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736A19A3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0.114</w:t>
            </w:r>
          </w:p>
        </w:tc>
        <w:tc>
          <w:tcPr>
            <w:tcW w:w="946" w:type="dxa"/>
            <w:tcBorders>
              <w:left w:val="nil"/>
              <w:right w:val="nil"/>
            </w:tcBorders>
            <w:vAlign w:val="top"/>
          </w:tcPr>
          <w:p w14:paraId="41B518C7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-0.013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1080DC8B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0.213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5D3BB943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0.021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09C3B696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0.102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447184EE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0.152</w:t>
            </w:r>
          </w:p>
        </w:tc>
        <w:tc>
          <w:tcPr>
            <w:tcW w:w="947" w:type="dxa"/>
            <w:tcBorders>
              <w:left w:val="nil"/>
              <w:right w:val="nil"/>
            </w:tcBorders>
            <w:vAlign w:val="top"/>
          </w:tcPr>
          <w:p w14:paraId="58896F70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-0.028</w:t>
            </w:r>
          </w:p>
        </w:tc>
      </w:tr>
      <w:tr w14:paraId="3142E737">
        <w:tc>
          <w:tcPr>
            <w:tcW w:w="946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71A53807">
            <w:pPr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</w:rPr>
              <w:t>MedianAE</w:t>
            </w:r>
          </w:p>
        </w:tc>
        <w:tc>
          <w:tcPr>
            <w:tcW w:w="946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1230CC72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-0.842</w:t>
            </w:r>
          </w:p>
        </w:tc>
        <w:tc>
          <w:tcPr>
            <w:tcW w:w="946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6FA710F4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-0.764</w:t>
            </w:r>
          </w:p>
        </w:tc>
        <w:tc>
          <w:tcPr>
            <w:tcW w:w="946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77510BC5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-0.662</w:t>
            </w:r>
          </w:p>
        </w:tc>
        <w:tc>
          <w:tcPr>
            <w:tcW w:w="947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2C5AD2CA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-0.814</w:t>
            </w:r>
          </w:p>
        </w:tc>
        <w:tc>
          <w:tcPr>
            <w:tcW w:w="947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149BAC1E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-0.793</w:t>
            </w:r>
          </w:p>
        </w:tc>
        <w:tc>
          <w:tcPr>
            <w:tcW w:w="947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08768435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-0.721</w:t>
            </w:r>
          </w:p>
        </w:tc>
        <w:tc>
          <w:tcPr>
            <w:tcW w:w="947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5584140F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-0.679</w:t>
            </w:r>
          </w:p>
        </w:tc>
        <w:tc>
          <w:tcPr>
            <w:tcW w:w="947" w:type="dxa"/>
            <w:tcBorders>
              <w:left w:val="nil"/>
              <w:bottom w:val="single" w:color="auto" w:sz="8" w:space="0"/>
              <w:right w:val="nil"/>
            </w:tcBorders>
            <w:vAlign w:val="top"/>
          </w:tcPr>
          <w:p w14:paraId="2D8A15C6">
            <w:pPr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  <w:vertAlign w:val="baseline"/>
                <w:lang w:val="en-US" w:eastAsia="zh-CN"/>
              </w:rPr>
              <w:t>-0.934</w:t>
            </w:r>
          </w:p>
        </w:tc>
      </w:tr>
    </w:tbl>
    <w:p w14:paraId="17C885B1"/>
    <w:p w14:paraId="4DEC4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其中，MedianAE和</w:t>
      </w:r>
      <w:r>
        <w:rPr>
          <w:rFonts w:hint="default"/>
          <w:lang w:val="en-US" w:eastAsia="zh-CN"/>
        </w:rPr>
        <w:t>MAE</w:t>
      </w:r>
      <w:r>
        <w:rPr>
          <w:rFonts w:hint="eastAsia"/>
          <w:lang w:val="en-US" w:eastAsia="zh-CN"/>
        </w:rPr>
        <w:t>分别表示中位绝对误差和平均绝对误差，越接近0越好；r方和p值分别代表决定模型解释目标变量方差比例和相关程度，越接近1越好。</w:t>
      </w:r>
    </w:p>
    <w:p w14:paraId="2DD81B49">
      <w:pPr>
        <w:rPr>
          <w:rFonts w:hint="eastAsia"/>
          <w:lang w:val="en-US" w:eastAsia="zh-CN"/>
        </w:rPr>
      </w:pPr>
    </w:p>
    <w:p w14:paraId="024B2A67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结果表示，模型目前对目标变量（如 GAD、PHQ、SWB、SGPS）的预测精度仍然有限，特征与目标之间的关系较弱。总体性能略有下降。</w:t>
      </w:r>
      <w:r>
        <w:rPr>
          <w:rFonts w:hint="eastAsia"/>
          <w:highlight w:val="yellow"/>
          <w:lang w:val="en-US" w:eastAsia="zh-CN"/>
        </w:rPr>
        <w:t>筛选后r² 依然全部为负或接近 0，说明模型预测能力仍然有限。第三个目标（SWB）有小幅提升（pearsonr=0.15），其余略差。</w:t>
      </w:r>
    </w:p>
    <w:p w14:paraId="3FA7B620">
      <w:pPr>
        <w:rPr>
          <w:rFonts w:hint="default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sukushi B Round Gothic Regular">
    <w:panose1 w:val="02020400000000000000"/>
    <w:charset w:val="80"/>
    <w:family w:val="auto"/>
    <w:pitch w:val="default"/>
    <w:sig w:usb0="00000003" w:usb1="0AC71C10" w:usb2="00000012" w:usb3="00000000" w:csb0="20020005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C0256"/>
    <w:rsid w:val="7E3C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2025-10-11T19:24:00Z</dcterms:created>
  <dc:creator>孙心茹</dc:creator>
  <cp:lastModifiedBy>孙心茹</cp:lastModifiedBy>
  <dcterms:modified xsi:type="dcterms:W3CDTF">2025-10-11T20:06:13Z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FA77DE7DE62B2DA9533EEA68A867636C_41</vt:lpwstr>
  </property>
</Properties>
</file>