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16B1AE"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相关分析：</w:t>
      </w:r>
    </w:p>
    <w:p w14:paraId="65E814D2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自我报告各条目总分（11个问卷➕5个领域量表）</w:t>
      </w:r>
    </w:p>
    <w:p w14:paraId="0CD10CD0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自我报告各条目（149个）</w:t>
      </w:r>
    </w:p>
    <w:p w14:paraId="14DD479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认知任务3个行为任务的14个指标</w:t>
      </w:r>
    </w:p>
    <w:p w14:paraId="494583C8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自我报告与认知任务</w:t>
      </w:r>
    </w:p>
    <w:p w14:paraId="7DF20268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保留一个变量时其他变量的预测程度（10折交叉验证）</w:t>
      </w:r>
    </w:p>
    <w:p w14:paraId="3D31E48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相关性网络分析</w:t>
      </w:r>
    </w:p>
    <w:p w14:paraId="2838F2E1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19DEFDE9"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降维分析</w:t>
      </w:r>
    </w:p>
    <w:p w14:paraId="0A38154D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</w:t>
      </w: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：以累积解释方差80%为标准，自我报告5-7个；认知任务7-9个；</w:t>
      </w:r>
    </w:p>
    <w:p w14:paraId="4879C23E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fa：149个条目进行贝叶斯信息准则法，确认8个最佳因子数；对hsns（在问卷中与其他问卷条目呈负相关的10个条目）反向计分，重新进行efa分析，分析结果依然得到8个最佳公因子，仅因子载荷正负改变。bifactor分析也显示，反向计分前后模型未发生变化。</w:t>
      </w:r>
    </w:p>
    <w:p w14:paraId="0CED392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042CC0A"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预测分析</w:t>
      </w:r>
    </w:p>
    <w:p w14:paraId="07C6CE8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将efa分析提取的8个公因子的因子得分作为自变量，心理适应（phq、</w:t>
      </w:r>
      <w:r>
        <w:rPr>
          <w:rFonts w:hint="default"/>
          <w:lang w:val="en-US" w:eastAsia="zh-CN"/>
        </w:rPr>
        <w:t>SWB</w:t>
      </w:r>
      <w:r>
        <w:rPr>
          <w:rFonts w:hint="eastAsia"/>
          <w:lang w:val="en-US" w:eastAsia="zh-CN"/>
        </w:rPr>
        <w:t>等）四个指标作为因变量做预测分析：</w:t>
      </w:r>
    </w:p>
    <w:p w14:paraId="54FC194B"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Lasso回归分析</w:t>
      </w:r>
      <w:r>
        <w:rPr>
          <w:rFonts w:hint="eastAsia"/>
          <w:lang w:val="en-US" w:eastAsia="zh-CN"/>
        </w:rPr>
        <w:t>：分别预</w:t>
      </w:r>
      <w:bookmarkStart w:id="0" w:name="_GoBack"/>
      <w:bookmarkEnd w:id="0"/>
      <w:r>
        <w:rPr>
          <w:rFonts w:hint="eastAsia"/>
          <w:lang w:val="en-US" w:eastAsia="zh-CN"/>
        </w:rPr>
        <w:t>测四个指标，预测指标如下：</w:t>
      </w:r>
    </w:p>
    <w:p w14:paraId="5F98503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Mean Squared Error (MSE): </w:t>
      </w:r>
    </w:p>
    <w:p w14:paraId="2EB9D13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SGPS </w:t>
      </w:r>
      <w:r>
        <w:rPr>
          <w:rFonts w:hint="eastAsia"/>
          <w:lang w:val="en-US" w:eastAsia="zh-CN"/>
        </w:rPr>
        <w:t xml:space="preserve"> 0.99（m2正、m1负、m4负、m7正）；</w:t>
      </w:r>
    </w:p>
    <w:p w14:paraId="77FE2AB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gad    0.98（m1负、m3负、m2正、m8负）；</w:t>
      </w:r>
    </w:p>
    <w:p w14:paraId="4DC1105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phq    0.99（m1负、m2正、m4正、m8负）；</w:t>
      </w:r>
    </w:p>
    <w:p w14:paraId="25A6FA1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SWB</w:t>
      </w:r>
      <w:r>
        <w:rPr>
          <w:rFonts w:hint="eastAsia"/>
          <w:lang w:val="en-US" w:eastAsia="zh-CN"/>
        </w:rPr>
        <w:t xml:space="preserve">   0.98（m8正、m2负、m7负、m4正）</w:t>
      </w:r>
    </w:p>
    <w:p w14:paraId="3AE77EC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Mean Absolute Error (MAE): 0.86；0.84；0.80；0.85</w:t>
      </w:r>
    </w:p>
    <w:p w14:paraId="50D5DAD0"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squared (R²): 0.008；0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01；0.006；0.009</w:t>
      </w:r>
    </w:p>
    <w:p w14:paraId="2180264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31459D7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系数的含义</w:t>
      </w:r>
    </w:p>
    <w:p w14:paraId="4CA8B4F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方向（正/负值）：</w:t>
      </w:r>
    </w:p>
    <w:p w14:paraId="3ABE233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正值：表示变量对目标变量有正向影响（即变量值增加时，目标变量也倾向于增加）。</w:t>
      </w:r>
    </w:p>
    <w:p w14:paraId="7ADDCDD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负值：表示变量对目标变量有负向影响（即变量值增加时，目标变量倾向于减少）。</w:t>
      </w:r>
    </w:p>
    <w:p w14:paraId="4823301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大小：</w:t>
      </w:r>
    </w:p>
    <w:p w14:paraId="134624F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系数的绝对值大小表示变量对目标变量的预测贡献（重要性）。</w:t>
      </w:r>
    </w:p>
    <w:p w14:paraId="18EC0CA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系数越大，说明该变量对目标变量的预测力越强。</w:t>
      </w:r>
    </w:p>
    <w:p w14:paraId="64B24A7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系数为 0 表示该变量在 LASSO 回归中被完全剔除，表明它对目标变量的预测贡献不显著。</w:t>
      </w:r>
    </w:p>
    <w:p w14:paraId="627FBB1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F4AF90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从上述指标来看：MSE 和 MAE 均较高，说明模型的预测误差较大。R² 接近于 0，说明模型对目标变量的预测几乎没有解释力。</w:t>
      </w:r>
    </w:p>
    <w:p w14:paraId="19C1700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075EBC5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随机森林</w:t>
      </w:r>
    </w:p>
    <w:p w14:paraId="5F870F0D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随机森林本身无法直接区分正负方向，结合线性模型（LASSO）来补充分析。</w:t>
      </w:r>
    </w:p>
    <w:p w14:paraId="20962F94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287D3EC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IncMSE表示移除某个变量后，模型均方误差（MSE）增加的百分比。正值表示移除该变量后，模型误差增加，说明该变量有助于模型预测。负值表示移除该变量后，模型误差反而减少，说明该变量可能引入了噪声，对模型预测没有帮助。</w:t>
      </w:r>
    </w:p>
    <w:p w14:paraId="5D9B3E2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Mean Squared Error (MSE): </w:t>
      </w:r>
    </w:p>
    <w:p w14:paraId="615B9C0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SGPS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78.40</w:t>
      </w:r>
      <w:r>
        <w:rPr>
          <w:rFonts w:hint="eastAsia"/>
          <w:lang w:val="en-US" w:eastAsia="zh-CN"/>
        </w:rPr>
        <w:t>（m6正、m1正、m4正、m2正）；</w:t>
      </w:r>
    </w:p>
    <w:p w14:paraId="1F079C3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gad    22.96（m3正、m8正、m6正、m4负）；</w:t>
      </w:r>
    </w:p>
    <w:p w14:paraId="71B60EB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phq    22.00（m1正、m8正、m3正、m6正）；</w:t>
      </w:r>
    </w:p>
    <w:p w14:paraId="2F260E9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SWB</w:t>
      </w:r>
      <w:r>
        <w:rPr>
          <w:rFonts w:hint="eastAsia"/>
          <w:lang w:val="en-US" w:eastAsia="zh-CN"/>
        </w:rPr>
        <w:t xml:space="preserve">   57.81（m7正、m6正）</w:t>
      </w:r>
    </w:p>
    <w:p w14:paraId="63212E4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Mean Absolute Error (MAE): 7.64；3.97；3.65；6.37</w:t>
      </w:r>
    </w:p>
    <w:p w14:paraId="61A52E2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R-</w:t>
      </w:r>
      <w:r>
        <w:rPr>
          <w:rFonts w:hint="eastAsia"/>
          <w:lang w:val="en-US" w:eastAsia="zh-CN"/>
        </w:rPr>
        <w:t>squared (R²): 0.007；0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002；0.0009；0.003</w:t>
      </w:r>
    </w:p>
    <w:p w14:paraId="54BCF220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7E9FD36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随机森林在以上变量的预测任务中表现出 极低的预测能力，R² 接近 0，说明模型的解释力不足。高 MSE 和较高的 MAE 也表明预测值与实际值存在较大偏差。</w:t>
      </w:r>
    </w:p>
    <w:p w14:paraId="02582F1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highlight w:val="yellow"/>
          <w:lang w:val="en-US" w:eastAsia="zh-CN"/>
        </w:rPr>
      </w:pPr>
    </w:p>
    <w:p w14:paraId="59CEB672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bifactor分析</w:t>
      </w:r>
    </w:p>
    <w:p w14:paraId="1E78C0B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cfi        tli      rmsea       srmr        aic </w:t>
      </w:r>
    </w:p>
    <w:p w14:paraId="2D9EC59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0.735      0.728      0.049      0.069 176377.498 </w:t>
      </w:r>
    </w:p>
    <w:p w14:paraId="2851C9DC">
      <w:pPr>
        <w:widowControl w:val="0"/>
        <w:numPr>
          <w:ilvl w:val="0"/>
          <w:numId w:val="0"/>
        </w:numPr>
        <w:ind w:leftChars="0" w:firstLine="462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CFI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比较拟合指数（Comparative Fit Index），评估模型拟合程度。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&gt; 0.90（较好），&gt; 0.95（优秀）。</w:t>
      </w:r>
    </w:p>
    <w:p w14:paraId="1E6BE219">
      <w:pPr>
        <w:widowControl w:val="0"/>
        <w:numPr>
          <w:ilvl w:val="0"/>
          <w:numId w:val="0"/>
        </w:numPr>
        <w:ind w:leftChars="0" w:firstLine="462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TLI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Tucker-Lewis 指数，类似于 CFI，用于评估拟合质量。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&gt; 0.90（较好），&gt; 0.95（优秀）。</w:t>
      </w:r>
    </w:p>
    <w:p w14:paraId="32F26A39">
      <w:pPr>
        <w:widowControl w:val="0"/>
        <w:numPr>
          <w:ilvl w:val="0"/>
          <w:numId w:val="0"/>
        </w:numPr>
        <w:ind w:leftChars="0" w:firstLine="462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RMSEA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均方根误差近似（Root Mean Square Error of Approximation），反映模型误差大小。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 0.08（较好），&lt; 0.05（优秀）。</w:t>
      </w:r>
    </w:p>
    <w:p w14:paraId="163FB8E8">
      <w:pPr>
        <w:widowControl w:val="0"/>
        <w:numPr>
          <w:ilvl w:val="0"/>
          <w:numId w:val="0"/>
        </w:numPr>
        <w:ind w:leftChars="0" w:firstLine="462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SRMR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标准化残差均方根（Standardized Root Mean Residual），表示模型预测值与实际数据之间的差异。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 0.08（较好）。</w:t>
      </w:r>
    </w:p>
    <w:p w14:paraId="43464A8B">
      <w:pPr>
        <w:widowControl w:val="0"/>
        <w:numPr>
          <w:ilvl w:val="0"/>
          <w:numId w:val="0"/>
        </w:numPr>
        <w:ind w:leftChars="0" w:firstLine="462" w:firstLineChars="0"/>
        <w:jc w:val="both"/>
        <w:rPr>
          <w:rFonts w:hint="default"/>
          <w:lang w:val="en-US" w:eastAsia="zh-CN"/>
        </w:rPr>
      </w:pPr>
    </w:p>
    <w:p w14:paraId="4869DAE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整体结果</w:t>
      </w:r>
      <w:r>
        <w:rPr>
          <w:rFonts w:hint="eastAsia"/>
          <w:lang w:val="en-US" w:eastAsia="zh-CN"/>
        </w:rPr>
        <w:t>评价：</w:t>
      </w:r>
      <w:r>
        <w:rPr>
          <w:rFonts w:hint="default"/>
          <w:lang w:val="en-US" w:eastAsia="zh-CN"/>
        </w:rPr>
        <w:t>CFI = 0.735 和 TLI = 0.728 低于 0.90 的标准，表明模型拟合较差。模型对数据的解释能力有限，模型与实际数据之间存在较大偏差。RMSEA = 0.049 达到了优秀的标准，表明模型误差较低，说明模型对样本协方差矩阵的拟合较好。SRMR = 0.069 达到了较好的标准，表明模型预测值与实际数据的差异较小。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7CDD70"/>
    <w:multiLevelType w:val="singleLevel"/>
    <w:tmpl w:val="BD7CDD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E4B020"/>
    <w:multiLevelType w:val="singleLevel"/>
    <w:tmpl w:val="BEE4B0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FD2D96A"/>
    <w:multiLevelType w:val="singleLevel"/>
    <w:tmpl w:val="BFD2D9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E7DB0C5"/>
    <w:multiLevelType w:val="singleLevel"/>
    <w:tmpl w:val="6E7DB0C5"/>
    <w:lvl w:ilvl="0" w:tentative="0">
      <w:start w:val="18"/>
      <w:numFmt w:val="upperLetter"/>
      <w:suff w:val="nothing"/>
      <w:lvlText w:val="%1-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wMmU5OWZkNDlmMjc4MzJkMjE1Zjc5NWRkODU4NzEifQ=="/>
  </w:docVars>
  <w:rsids>
    <w:rsidRoot w:val="7FFD81D7"/>
    <w:rsid w:val="57E77F15"/>
    <w:rsid w:val="7FFD81D7"/>
    <w:rsid w:val="FDCFC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663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2025-05-29T19:04:00Z</dcterms:created>
  <dc:creator>孙心茹</dc:creator>
  <cp:lastModifiedBy>孙心茹</cp:lastModifiedBy>
  <dcterms:modified xsi:type="dcterms:W3CDTF">2025-06-01T13:38:15Z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B5344BAFCEC6D28BCACE37682037FE08_41</vt:lpwstr>
  </property>
</Properties>
</file>