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B3AF5">
      <w:pPr>
        <w:jc w:val="center"/>
        <w:rPr>
          <w:rFonts w:hint="eastAsia"/>
          <w:lang w:val="en-US" w:eastAsia="zh-CN"/>
        </w:rPr>
      </w:pPr>
      <w:r>
        <w:rPr>
          <w:rFonts w:hint="eastAsia"/>
          <w:lang w:val="en-US" w:eastAsia="zh-CN"/>
        </w:rPr>
        <w:t>A Comprehensive Dataset for Investigating the Structure and Functional Potential of Positive Self-View</w:t>
      </w:r>
    </w:p>
    <w:p w14:paraId="432033CB">
      <w:pPr>
        <w:rPr>
          <w:rFonts w:hint="eastAsia"/>
          <w:lang w:val="en-US" w:eastAsia="zh-CN"/>
        </w:rPr>
      </w:pPr>
    </w:p>
    <w:p w14:paraId="3C0D1955">
      <w:pPr>
        <w:rPr>
          <w:rFonts w:hint="eastAsia"/>
          <w:lang w:val="en-US" w:eastAsia="zh-CN"/>
        </w:rPr>
      </w:pPr>
      <w:r>
        <w:rPr>
          <w:rFonts w:hint="eastAsia"/>
          <w:lang w:val="en-US" w:eastAsia="zh-CN"/>
        </w:rPr>
        <w:t>摘要：</w:t>
      </w:r>
    </w:p>
    <w:p w14:paraId="7C9C98D8">
      <w:pPr>
        <w:rPr>
          <w:rFonts w:hint="eastAsia"/>
          <w:lang w:val="en-US" w:eastAsia="zh-CN"/>
        </w:rPr>
      </w:pPr>
    </w:p>
    <w:p w14:paraId="6B8D6366">
      <w:pPr>
        <w:rPr>
          <w:rFonts w:hint="eastAsia"/>
        </w:rPr>
      </w:pPr>
      <w:r>
        <w:rPr>
          <w:rFonts w:hint="eastAsia"/>
        </w:rPr>
        <w:t>我们提出了一套数据集，旨在捕捉积极自我观的多重表现形式</w:t>
      </w:r>
      <w:r>
        <w:rPr>
          <w:rFonts w:hint="eastAsia"/>
          <w:lang w:eastAsia="zh-CN"/>
        </w:rPr>
        <w:t>，</w:t>
      </w:r>
      <w:r>
        <w:rPr>
          <w:rFonts w:hint="eastAsia"/>
          <w:lang w:val="en-US" w:eastAsia="zh-CN"/>
        </w:rPr>
        <w:t>积极自我观是指</w:t>
      </w:r>
      <w:r>
        <w:rPr>
          <w:rFonts w:hint="eastAsia"/>
        </w:rPr>
        <w:t>个体在明确自我评价及自我相关认知加工领域中，倾向于持有对自身有利的信念、评价及加工偏向的心理状态。尽管积极自我观的各个组成部分（如自尊、自我效能、乐观的自我信念）已被广泛研究，但其潜在的结构关系和功能一致性仍缺乏充分阐释，限制了综合理论框架的发展。</w:t>
      </w:r>
    </w:p>
    <w:p w14:paraId="5584856A">
      <w:pPr>
        <w:rPr>
          <w:rFonts w:hint="eastAsia"/>
        </w:rPr>
      </w:pPr>
    </w:p>
    <w:p w14:paraId="4C360099">
      <w:pPr>
        <w:rPr>
          <w:rFonts w:hint="eastAsia"/>
        </w:rPr>
      </w:pPr>
      <w:r>
        <w:rPr>
          <w:rFonts w:hint="eastAsia"/>
        </w:rPr>
        <w:t>本数据集通过提供503名参与者的全面项目级数据弥补了这一缺憾。参与者完成了12份自评问卷和3项行为任务，共生成149项指标，涵盖明确的自我评价及基于任务的自我相关加工测量。此外，还收集了抑郁、焦虑、主观幸福感和拖延等多种心理健康结果指标，以支持功能性与预测性分析。</w:t>
      </w:r>
    </w:p>
    <w:p w14:paraId="00C9CEAD">
      <w:pPr>
        <w:rPr>
          <w:rFonts w:hint="eastAsia"/>
        </w:rPr>
      </w:pPr>
    </w:p>
    <w:p w14:paraId="2853D6E7">
      <w:pPr>
        <w:rPr>
          <w:rFonts w:hint="eastAsia"/>
        </w:rPr>
      </w:pPr>
      <w:r>
        <w:rPr>
          <w:rFonts w:hint="eastAsia"/>
        </w:rPr>
        <w:t>该数据集使研究者能够</w:t>
      </w:r>
      <w:r>
        <w:rPr>
          <w:rFonts w:hint="eastAsia"/>
          <w:lang w:val="en-US" w:eastAsia="zh-CN"/>
        </w:rPr>
        <w:t>数据驱动</w:t>
      </w:r>
      <w:r>
        <w:rPr>
          <w:rFonts w:hint="eastAsia"/>
        </w:rPr>
        <w:t>方法探究积极自我观的结构组织，计算方法分析不同测量模态间的异质性，并探索积极自我观的各组成部分如何关联心理功能。该资源为判断积极自我观是反映单一心理构念还是部分独立的领域特异性过程提供了实证基础，从而深化我们对积极自我相关认知组织方式及其对心理健康贡献机制的理解。</w:t>
      </w:r>
    </w:p>
    <w:p w14:paraId="09BE6682">
      <w:pPr>
        <w:rPr>
          <w:rFonts w:hint="eastAsia"/>
        </w:rPr>
      </w:pPr>
    </w:p>
    <w:p w14:paraId="64FA2DFA">
      <w:pPr>
        <w:rPr>
          <w:rFonts w:hint="eastAsia"/>
        </w:rPr>
      </w:pPr>
      <w:r>
        <w:rPr>
          <w:rFonts w:hint="eastAsia"/>
          <w:lang w:val="en-US" w:eastAsia="zh-CN"/>
        </w:rPr>
        <w:t>1 Background and Summary</w:t>
      </w:r>
    </w:p>
    <w:p w14:paraId="474C3D99">
      <w:pPr>
        <w:numPr>
          <w:numId w:val="0"/>
        </w:numPr>
        <w:ind w:leftChars="0"/>
        <w:rPr>
          <w:rFonts w:hint="eastAsia"/>
        </w:rPr>
      </w:pPr>
      <w:r>
        <w:rPr>
          <w:rFonts w:hint="eastAsia"/>
          <w:lang w:val="en-US" w:eastAsia="zh-CN"/>
        </w:rPr>
        <w:t xml:space="preserve">1.1 </w:t>
      </w:r>
      <w:r>
        <w:rPr>
          <w:rFonts w:hint="eastAsia"/>
        </w:rPr>
        <w:t>Positive Self-View as a Core Psychological Phenomenon</w:t>
      </w:r>
    </w:p>
    <w:p w14:paraId="4DACC94A">
      <w:pPr>
        <w:numPr>
          <w:numId w:val="0"/>
        </w:numPr>
        <w:ind w:leftChars="0"/>
        <w:rPr>
          <w:rFonts w:hint="eastAsia" w:eastAsiaTheme="minorEastAsia"/>
          <w:lang w:eastAsia="zh-CN"/>
        </w:rPr>
      </w:pPr>
      <w:r>
        <w:rPr>
          <w:rFonts w:hint="eastAsia"/>
          <w:lang w:val="en-US" w:eastAsia="zh-CN"/>
        </w:rPr>
        <w:t>主旨句1：</w:t>
      </w:r>
      <w:r>
        <w:rPr>
          <w:rFonts w:hint="eastAsia"/>
        </w:rPr>
        <w:t>什么是积极自我观（positive self-view）</w:t>
      </w:r>
      <w:r>
        <w:rPr>
          <w:rFonts w:hint="eastAsia"/>
          <w:lang w:eastAsia="zh-CN"/>
        </w:rPr>
        <w:t>。</w:t>
      </w:r>
    </w:p>
    <w:p w14:paraId="285D9600">
      <w:pPr>
        <w:rPr>
          <w:rFonts w:hint="eastAsia"/>
          <w:lang w:val="en-US" w:eastAsia="zh-CN"/>
        </w:rPr>
      </w:pPr>
      <w:r>
        <w:rPr>
          <w:rFonts w:hint="eastAsia"/>
          <w:lang w:val="en-US" w:eastAsia="zh-CN"/>
        </w:rPr>
        <w:t>主旨句2：积极自我观的</w:t>
      </w:r>
      <w:r>
        <w:rPr>
          <w:rFonts w:hint="eastAsia"/>
        </w:rPr>
        <w:t>典型表现形式，包括</w:t>
      </w:r>
      <w:r>
        <w:rPr>
          <w:rFonts w:hint="eastAsia"/>
          <w:lang w:eastAsia="zh-CN"/>
        </w:rPr>
        <w:t>：</w:t>
      </w:r>
      <w:r>
        <w:rPr>
          <w:rFonts w:hint="eastAsia"/>
        </w:rPr>
        <w:t>自尊与自我价值感</w:t>
      </w:r>
      <w:r>
        <w:rPr>
          <w:rFonts w:hint="eastAsia"/>
          <w:lang w:eastAsia="zh-CN"/>
        </w:rPr>
        <w:t>、</w:t>
      </w:r>
      <w:r>
        <w:rPr>
          <w:rFonts w:hint="eastAsia"/>
        </w:rPr>
        <w:t>自我增强倾向</w:t>
      </w:r>
      <w:r>
        <w:rPr>
          <w:rFonts w:hint="eastAsia"/>
          <w:lang w:eastAsia="zh-CN"/>
        </w:rPr>
        <w:t>、</w:t>
      </w:r>
      <w:r>
        <w:rPr>
          <w:rFonts w:hint="eastAsia"/>
        </w:rPr>
        <w:t>自我参照加工</w:t>
      </w:r>
      <w:r>
        <w:rPr>
          <w:rFonts w:hint="eastAsia"/>
          <w:lang w:eastAsia="zh-CN"/>
        </w:rPr>
        <w:t>、</w:t>
      </w:r>
      <w:r>
        <w:rPr>
          <w:rFonts w:hint="eastAsia"/>
        </w:rPr>
        <w:t>隐性自我联结</w:t>
      </w:r>
      <w:r>
        <w:rPr>
          <w:rFonts w:hint="eastAsia"/>
          <w:lang w:val="en-US" w:eastAsia="zh-CN"/>
        </w:rPr>
        <w:t>等。</w:t>
      </w:r>
    </w:p>
    <w:p w14:paraId="388EB346">
      <w:pPr>
        <w:rPr>
          <w:rFonts w:hint="eastAsia"/>
          <w:lang w:val="en-US" w:eastAsia="zh-CN"/>
        </w:rPr>
      </w:pPr>
    </w:p>
    <w:p w14:paraId="680DEB95">
      <w:pPr>
        <w:rPr>
          <w:rFonts w:hint="eastAsia"/>
          <w:lang w:val="en-US" w:eastAsia="zh-CN"/>
        </w:rPr>
      </w:pPr>
      <w:r>
        <w:rPr>
          <w:rFonts w:hint="eastAsia"/>
          <w:lang w:val="en-US" w:eastAsia="zh-CN"/>
        </w:rPr>
        <w:t>1.2 Fragmentation in Existing Measures</w:t>
      </w:r>
    </w:p>
    <w:p w14:paraId="70099D13">
      <w:pPr>
        <w:rPr>
          <w:rFonts w:hint="eastAsia"/>
          <w:lang w:val="en-US" w:eastAsia="zh-CN"/>
        </w:rPr>
      </w:pPr>
      <w:r>
        <w:rPr>
          <w:rFonts w:hint="eastAsia"/>
          <w:lang w:val="en-US" w:eastAsia="zh-CN"/>
        </w:rPr>
        <w:t>主旨句1：现有研究视角具有一定局限。</w:t>
      </w:r>
    </w:p>
    <w:p w14:paraId="215FA331">
      <w:pPr>
        <w:rPr>
          <w:rFonts w:hint="eastAsia"/>
          <w:lang w:val="en-US" w:eastAsia="zh-CN"/>
        </w:rPr>
      </w:pPr>
      <w:r>
        <w:rPr>
          <w:rFonts w:hint="eastAsia"/>
          <w:lang w:val="en-US" w:eastAsia="zh-CN"/>
        </w:rPr>
        <w:t>分论点1：采用单一任务或单一量表</w:t>
      </w:r>
    </w:p>
    <w:p w14:paraId="637E9476">
      <w:pPr>
        <w:rPr>
          <w:rFonts w:hint="eastAsia"/>
          <w:lang w:val="en-US" w:eastAsia="zh-CN"/>
        </w:rPr>
      </w:pPr>
      <w:r>
        <w:rPr>
          <w:rFonts w:hint="eastAsia"/>
          <w:lang w:val="en-US" w:eastAsia="zh-CN"/>
        </w:rPr>
        <w:t>分论点2：聚焦单一加工层级（问卷或行为）</w:t>
      </w:r>
    </w:p>
    <w:p w14:paraId="4714BB35">
      <w:pPr>
        <w:rPr>
          <w:rFonts w:hint="eastAsia"/>
          <w:lang w:val="en-US" w:eastAsia="zh-CN"/>
        </w:rPr>
      </w:pPr>
      <w:r>
        <w:rPr>
          <w:rFonts w:hint="eastAsia"/>
          <w:lang w:val="en-US" w:eastAsia="zh-CN"/>
        </w:rPr>
        <w:t>分论点3：缺乏跨范式、跨领域的系统比较</w:t>
      </w:r>
    </w:p>
    <w:p w14:paraId="0FE5160B">
      <w:pPr>
        <w:rPr>
          <w:rFonts w:hint="eastAsia"/>
          <w:lang w:val="en-US" w:eastAsia="zh-CN"/>
        </w:rPr>
      </w:pPr>
    </w:p>
    <w:p w14:paraId="134DC5AD">
      <w:pPr>
        <w:rPr>
          <w:rFonts w:hint="eastAsia"/>
          <w:lang w:val="en-US" w:eastAsia="zh-CN"/>
        </w:rPr>
      </w:pPr>
      <w:r>
        <w:rPr>
          <w:rFonts w:hint="eastAsia"/>
          <w:lang w:val="en-US" w:eastAsia="zh-CN"/>
        </w:rPr>
        <w:t>主旨句2：现有研究缺乏资源。</w:t>
      </w:r>
    </w:p>
    <w:p w14:paraId="597213E7">
      <w:pPr>
        <w:rPr>
          <w:rFonts w:hint="eastAsia"/>
          <w:lang w:val="en-US" w:eastAsia="zh-CN"/>
        </w:rPr>
      </w:pPr>
      <w:r>
        <w:rPr>
          <w:rFonts w:hint="eastAsia"/>
          <w:lang w:val="en-US" w:eastAsia="zh-CN"/>
        </w:rPr>
        <w:t>分论点1：可用于结构比较的综合数据</w:t>
      </w:r>
    </w:p>
    <w:p w14:paraId="75DD0D88">
      <w:pPr>
        <w:rPr>
          <w:rFonts w:hint="eastAsia"/>
          <w:lang w:val="en-US" w:eastAsia="zh-CN"/>
        </w:rPr>
      </w:pPr>
      <w:r>
        <w:rPr>
          <w:rFonts w:hint="eastAsia"/>
          <w:lang w:val="en-US" w:eastAsia="zh-CN"/>
        </w:rPr>
        <w:t>分论点2：trial-level 的行为数据</w:t>
      </w:r>
    </w:p>
    <w:p w14:paraId="721982F0">
      <w:pPr>
        <w:rPr>
          <w:rFonts w:hint="eastAsia"/>
          <w:lang w:val="en-US" w:eastAsia="zh-CN"/>
        </w:rPr>
      </w:pPr>
      <w:r>
        <w:rPr>
          <w:rFonts w:hint="eastAsia"/>
          <w:lang w:val="en-US" w:eastAsia="zh-CN"/>
        </w:rPr>
        <w:t>分论点3：可用于数据驱动，支持网络分析、计算模型的开放资源</w:t>
      </w:r>
    </w:p>
    <w:p w14:paraId="486C23CC">
      <w:pPr>
        <w:rPr>
          <w:rFonts w:hint="eastAsia"/>
          <w:lang w:val="en-US" w:eastAsia="zh-CN"/>
        </w:rPr>
      </w:pPr>
    </w:p>
    <w:p w14:paraId="5AD04762">
      <w:pPr>
        <w:rPr>
          <w:rFonts w:hint="eastAsia"/>
          <w:lang w:val="en-US" w:eastAsia="zh-CN"/>
        </w:rPr>
      </w:pPr>
      <w:r>
        <w:rPr>
          <w:rFonts w:hint="eastAsia"/>
          <w:lang w:val="en-US" w:eastAsia="zh-CN"/>
        </w:rPr>
        <w:t>1.3 Overview of the Present Dataset</w:t>
      </w:r>
    </w:p>
    <w:p w14:paraId="257CD57A">
      <w:pPr>
        <w:rPr>
          <w:rFonts w:hint="eastAsia"/>
          <w:lang w:val="en-US" w:eastAsia="zh-CN"/>
        </w:rPr>
      </w:pPr>
      <w:r>
        <w:rPr>
          <w:rFonts w:hint="eastAsia"/>
          <w:lang w:val="en-US" w:eastAsia="zh-CN"/>
        </w:rPr>
        <w:t>主旨句1：数据集特点：包含被试、问卷任务、行为任务。</w:t>
      </w:r>
    </w:p>
    <w:p w14:paraId="1081A727">
      <w:pPr>
        <w:rPr>
          <w:rFonts w:hint="eastAsia"/>
          <w:lang w:val="en-US" w:eastAsia="zh-CN"/>
        </w:rPr>
      </w:pPr>
      <w:r>
        <w:rPr>
          <w:rFonts w:hint="eastAsia"/>
          <w:lang w:val="en-US" w:eastAsia="zh-CN"/>
        </w:rPr>
        <w:t>主旨句2：数据集目的：为系统检验积极自我观的结构性和功能性提供了统一且可复用的经验基础。</w:t>
      </w:r>
    </w:p>
    <w:p w14:paraId="6267DB99">
      <w:pPr>
        <w:rPr>
          <w:rFonts w:hint="eastAsia"/>
          <w:lang w:val="en-US" w:eastAsia="zh-CN"/>
        </w:rPr>
      </w:pPr>
    </w:p>
    <w:p w14:paraId="57C97FA0">
      <w:pPr>
        <w:rPr>
          <w:rFonts w:hint="default"/>
          <w:lang w:val="en-US" w:eastAsia="zh-CN"/>
        </w:rPr>
      </w:pPr>
      <w:r>
        <w:rPr>
          <w:rFonts w:hint="default"/>
          <w:lang w:val="en-US" w:eastAsia="zh-CN"/>
        </w:rPr>
        <w:t>2. Methods</w:t>
      </w:r>
    </w:p>
    <w:p w14:paraId="6450DFD9">
      <w:pPr>
        <w:rPr>
          <w:rFonts w:hint="default"/>
          <w:lang w:val="en-US" w:eastAsia="zh-CN"/>
        </w:rPr>
      </w:pPr>
      <w:r>
        <w:rPr>
          <w:rFonts w:hint="default"/>
          <w:lang w:val="en-US" w:eastAsia="zh-CN"/>
        </w:rPr>
        <w:t>2.1 Participants</w:t>
      </w:r>
    </w:p>
    <w:p w14:paraId="33BC6C1D">
      <w:pPr>
        <w:rPr>
          <w:rFonts w:hint="eastAsia"/>
          <w:lang w:val="en-US" w:eastAsia="zh-CN"/>
        </w:rPr>
      </w:pPr>
      <w:r>
        <w:rPr>
          <w:rFonts w:hint="eastAsia"/>
          <w:lang w:val="en-US" w:eastAsia="zh-CN"/>
        </w:rPr>
        <w:t>主旨句1：包括</w:t>
      </w:r>
      <w:r>
        <w:rPr>
          <w:rFonts w:hint="default"/>
          <w:lang w:val="en-US" w:eastAsia="zh-CN"/>
        </w:rPr>
        <w:t>招募方式与平台</w:t>
      </w:r>
      <w:r>
        <w:rPr>
          <w:rFonts w:hint="eastAsia"/>
          <w:lang w:val="en-US" w:eastAsia="zh-CN"/>
        </w:rPr>
        <w:t>、</w:t>
      </w:r>
      <w:r>
        <w:rPr>
          <w:rFonts w:hint="default"/>
          <w:lang w:val="en-US" w:eastAsia="zh-CN"/>
        </w:rPr>
        <w:t>样本量与人口学信息</w:t>
      </w:r>
      <w:r>
        <w:rPr>
          <w:rFonts w:hint="eastAsia"/>
          <w:lang w:val="en-US" w:eastAsia="zh-CN"/>
        </w:rPr>
        <w:t>、</w:t>
      </w:r>
      <w:r>
        <w:rPr>
          <w:rFonts w:hint="default"/>
          <w:lang w:val="en-US" w:eastAsia="zh-CN"/>
        </w:rPr>
        <w:t>纳入与剔除标准</w:t>
      </w:r>
      <w:r>
        <w:rPr>
          <w:rFonts w:hint="eastAsia"/>
          <w:lang w:val="en-US" w:eastAsia="zh-CN"/>
        </w:rPr>
        <w:t>、</w:t>
      </w:r>
      <w:r>
        <w:rPr>
          <w:rFonts w:hint="default"/>
          <w:lang w:val="en-US" w:eastAsia="zh-CN"/>
        </w:rPr>
        <w:t>伦理审批与知情同意</w:t>
      </w:r>
      <w:r>
        <w:rPr>
          <w:rFonts w:hint="eastAsia"/>
          <w:lang w:val="en-US" w:eastAsia="zh-CN"/>
        </w:rPr>
        <w:t>。</w:t>
      </w:r>
    </w:p>
    <w:p w14:paraId="5F117544">
      <w:pPr>
        <w:rPr>
          <w:rFonts w:hint="default"/>
          <w:lang w:val="en-US" w:eastAsia="zh-CN"/>
        </w:rPr>
      </w:pPr>
    </w:p>
    <w:p w14:paraId="346E617D">
      <w:pPr>
        <w:rPr>
          <w:rFonts w:hint="default"/>
          <w:lang w:val="en-US" w:eastAsia="zh-CN"/>
        </w:rPr>
      </w:pPr>
      <w:r>
        <w:rPr>
          <w:rFonts w:hint="default"/>
          <w:lang w:val="en-US" w:eastAsia="zh-CN"/>
        </w:rPr>
        <w:t>2.2 Experimental Procedure</w:t>
      </w:r>
    </w:p>
    <w:p w14:paraId="53EEDF4D">
      <w:pPr>
        <w:rPr>
          <w:rFonts w:hint="default"/>
          <w:lang w:val="en-US" w:eastAsia="zh-CN"/>
        </w:rPr>
      </w:pPr>
      <w:r>
        <w:rPr>
          <w:rFonts w:hint="eastAsia"/>
          <w:lang w:val="en-US" w:eastAsia="zh-CN"/>
        </w:rPr>
        <w:t xml:space="preserve">2.2.1 </w:t>
      </w:r>
      <w:r>
        <w:rPr>
          <w:rFonts w:hint="default"/>
          <w:lang w:val="en-US" w:eastAsia="zh-CN"/>
        </w:rPr>
        <w:t>D</w:t>
      </w:r>
      <w:r>
        <w:rPr>
          <w:rFonts w:hint="eastAsia"/>
          <w:lang w:val="en-US" w:eastAsia="zh-CN"/>
        </w:rPr>
        <w:t>esign</w:t>
      </w:r>
    </w:p>
    <w:p w14:paraId="78EC092E">
      <w:pPr>
        <w:rPr>
          <w:rFonts w:hint="default"/>
          <w:lang w:val="en-US" w:eastAsia="zh-CN"/>
        </w:rPr>
      </w:pPr>
      <w:r>
        <w:rPr>
          <w:rFonts w:hint="eastAsia"/>
          <w:lang w:val="en-US" w:eastAsia="zh-CN"/>
        </w:rPr>
        <w:t xml:space="preserve">2.2.2 </w:t>
      </w:r>
      <w:r>
        <w:rPr>
          <w:rFonts w:hint="default"/>
          <w:lang w:val="en-US" w:eastAsia="zh-CN"/>
        </w:rPr>
        <w:t>Procedure</w:t>
      </w:r>
    </w:p>
    <w:p w14:paraId="3052BF34">
      <w:pPr>
        <w:rPr>
          <w:rFonts w:hint="default"/>
          <w:lang w:val="en-US" w:eastAsia="zh-CN"/>
        </w:rPr>
      </w:pPr>
    </w:p>
    <w:p w14:paraId="7E2B4B9A">
      <w:pPr>
        <w:rPr>
          <w:rFonts w:hint="default"/>
          <w:lang w:val="en-US" w:eastAsia="zh-CN"/>
        </w:rPr>
      </w:pPr>
      <w:r>
        <w:rPr>
          <w:rFonts w:hint="default"/>
          <w:lang w:val="en-US" w:eastAsia="zh-CN"/>
        </w:rPr>
        <w:t>2.3 Behavioral Tasks</w:t>
      </w:r>
    </w:p>
    <w:p w14:paraId="2F720D66">
      <w:pPr>
        <w:rPr>
          <w:rFonts w:hint="default"/>
          <w:lang w:val="en-US" w:eastAsia="zh-CN"/>
        </w:rPr>
      </w:pPr>
      <w:r>
        <w:rPr>
          <w:rFonts w:hint="default"/>
          <w:lang w:val="en-US" w:eastAsia="zh-CN"/>
        </w:rPr>
        <w:t>2.3.1 Implicit Association Test (IAT)</w:t>
      </w:r>
    </w:p>
    <w:p w14:paraId="3B06C1F1">
      <w:pPr>
        <w:rPr>
          <w:rFonts w:hint="default"/>
          <w:lang w:val="en-US" w:eastAsia="zh-CN"/>
        </w:rPr>
      </w:pPr>
      <w:r>
        <w:rPr>
          <w:rFonts w:hint="default"/>
          <w:lang w:val="en-US" w:eastAsia="zh-CN"/>
        </w:rPr>
        <w:t>2.3.2 Self-Matching Task (SMT)</w:t>
      </w:r>
    </w:p>
    <w:p w14:paraId="4F7C7F31">
      <w:pPr>
        <w:rPr>
          <w:rFonts w:hint="default"/>
          <w:lang w:val="en-US" w:eastAsia="zh-CN"/>
        </w:rPr>
      </w:pPr>
      <w:r>
        <w:rPr>
          <w:rFonts w:hint="default"/>
          <w:lang w:val="en-US" w:eastAsia="zh-CN"/>
        </w:rPr>
        <w:t>2.3.3 Self-Referent Encoding Task (SRET)</w:t>
      </w:r>
    </w:p>
    <w:p w14:paraId="254F9BE3">
      <w:pPr>
        <w:rPr>
          <w:rFonts w:hint="default"/>
          <w:lang w:val="en-US" w:eastAsia="zh-CN"/>
        </w:rPr>
      </w:pPr>
    </w:p>
    <w:p w14:paraId="467F6F57">
      <w:pPr>
        <w:rPr>
          <w:rFonts w:hint="default"/>
          <w:lang w:val="en-US" w:eastAsia="zh-CN"/>
        </w:rPr>
      </w:pPr>
      <w:r>
        <w:rPr>
          <w:rFonts w:hint="default"/>
          <w:lang w:val="en-US" w:eastAsia="zh-CN"/>
        </w:rPr>
        <w:t>2.4 Self-Report Measures</w:t>
      </w:r>
    </w:p>
    <w:p w14:paraId="7E9591B5">
      <w:pPr>
        <w:rPr>
          <w:rFonts w:hint="default"/>
          <w:lang w:val="en-US" w:eastAsia="zh-CN"/>
        </w:rPr>
      </w:pPr>
      <w:r>
        <w:rPr>
          <w:rFonts w:hint="default"/>
          <w:lang w:val="en-US" w:eastAsia="zh-CN"/>
        </w:rPr>
        <w:t>⸻</w:t>
      </w:r>
    </w:p>
    <w:p w14:paraId="19C9E2B0">
      <w:pPr>
        <w:rPr>
          <w:rFonts w:hint="default"/>
          <w:lang w:val="en-US" w:eastAsia="zh-CN"/>
        </w:rPr>
      </w:pPr>
      <w:r>
        <w:rPr>
          <w:rFonts w:hint="default"/>
          <w:lang w:val="en-US" w:eastAsia="zh-CN"/>
        </w:rPr>
        <w:t xml:space="preserve">2.5 Data Processing </w:t>
      </w:r>
    </w:p>
    <w:p w14:paraId="263E8CF6">
      <w:pPr>
        <w:rPr>
          <w:rFonts w:hint="default"/>
          <w:lang w:val="en-US" w:eastAsia="zh-CN"/>
        </w:rPr>
      </w:pPr>
    </w:p>
    <w:p w14:paraId="379A9BE3">
      <w:pPr>
        <w:rPr>
          <w:rFonts w:hint="default"/>
          <w:lang w:val="en-US" w:eastAsia="zh-CN"/>
        </w:rPr>
      </w:pPr>
      <w:r>
        <w:rPr>
          <w:rFonts w:hint="default"/>
          <w:lang w:val="en-US" w:eastAsia="zh-CN"/>
        </w:rPr>
        <w:t>3. Data Records</w:t>
      </w:r>
    </w:p>
    <w:p w14:paraId="488F0A12">
      <w:pPr>
        <w:rPr>
          <w:rFonts w:hint="default"/>
          <w:lang w:val="en-US" w:eastAsia="zh-CN"/>
        </w:rPr>
      </w:pPr>
      <w:r>
        <w:rPr>
          <w:rFonts w:hint="eastAsia"/>
          <w:lang w:val="en-US" w:eastAsia="zh-CN"/>
        </w:rPr>
        <w:t>主旨句1：数据的文件夹结构，包括文件层级、文件格式等。</w:t>
      </w:r>
    </w:p>
    <w:p w14:paraId="0F17294D">
      <w:pPr>
        <w:rPr>
          <w:rFonts w:hint="eastAsia"/>
          <w:lang w:val="en-US" w:eastAsia="zh-CN"/>
        </w:rPr>
      </w:pPr>
      <w:r>
        <w:rPr>
          <w:rFonts w:hint="eastAsia"/>
          <w:lang w:val="en-US" w:eastAsia="zh-CN"/>
        </w:rPr>
        <w:t>主旨句2：数据的原始指标，包括行为任务反应时、正确率，问卷的总分等。</w:t>
      </w:r>
    </w:p>
    <w:p w14:paraId="40163412">
      <w:pPr>
        <w:rPr>
          <w:rFonts w:hint="default"/>
          <w:lang w:val="en-US" w:eastAsia="zh-CN"/>
        </w:rPr>
      </w:pPr>
      <w:r>
        <w:rPr>
          <w:rFonts w:hint="eastAsia"/>
          <w:lang w:val="en-US" w:eastAsia="zh-CN"/>
        </w:rPr>
        <w:t>主旨句3：数据的加工后指标。</w:t>
      </w:r>
      <w:r>
        <w:rPr>
          <w:rFonts w:hint="default"/>
          <w:lang w:val="en-US" w:eastAsia="zh-CN"/>
        </w:rPr>
        <w:t>⸻</w:t>
      </w:r>
    </w:p>
    <w:p w14:paraId="7F39B480">
      <w:pPr>
        <w:rPr>
          <w:rFonts w:hint="default"/>
          <w:lang w:val="en-US" w:eastAsia="zh-CN"/>
        </w:rPr>
      </w:pPr>
    </w:p>
    <w:p w14:paraId="19141EB7">
      <w:pPr>
        <w:rPr>
          <w:rFonts w:hint="default"/>
          <w:lang w:val="en-US" w:eastAsia="zh-CN"/>
        </w:rPr>
      </w:pPr>
      <w:r>
        <w:rPr>
          <w:rFonts w:hint="default"/>
          <w:lang w:val="en-US" w:eastAsia="zh-CN"/>
        </w:rPr>
        <w:t>4. Technical Validation</w:t>
      </w:r>
    </w:p>
    <w:p w14:paraId="0EB81AAE">
      <w:pPr>
        <w:rPr>
          <w:rFonts w:hint="default"/>
          <w:lang w:val="en-US" w:eastAsia="zh-CN"/>
        </w:rPr>
      </w:pPr>
    </w:p>
    <w:p w14:paraId="488E8493">
      <w:pPr>
        <w:rPr>
          <w:rFonts w:hint="default"/>
          <w:lang w:val="en-US" w:eastAsia="zh-CN"/>
        </w:rPr>
      </w:pPr>
      <w:r>
        <w:rPr>
          <w:rFonts w:hint="default"/>
          <w:lang w:val="en-US" w:eastAsia="zh-CN"/>
        </w:rPr>
        <w:t>4.1 Data Quality Checks</w:t>
      </w:r>
    </w:p>
    <w:p w14:paraId="188E70A6">
      <w:pPr>
        <w:rPr>
          <w:rFonts w:hint="default"/>
          <w:lang w:val="en-US" w:eastAsia="zh-CN"/>
        </w:rPr>
      </w:pPr>
      <w:r>
        <w:rPr>
          <w:rFonts w:hint="eastAsia"/>
          <w:lang w:val="en-US" w:eastAsia="zh-CN"/>
        </w:rPr>
        <w:t>主旨句：包括数据的</w:t>
      </w:r>
      <w:r>
        <w:rPr>
          <w:rFonts w:hint="default"/>
          <w:lang w:val="en-US" w:eastAsia="zh-CN"/>
        </w:rPr>
        <w:t>缺失率</w:t>
      </w:r>
      <w:r>
        <w:rPr>
          <w:rFonts w:hint="eastAsia"/>
          <w:lang w:val="en-US" w:eastAsia="zh-CN"/>
        </w:rPr>
        <w:t>、</w:t>
      </w:r>
      <w:r>
        <w:rPr>
          <w:rFonts w:hint="default"/>
          <w:lang w:val="en-US" w:eastAsia="zh-CN"/>
        </w:rPr>
        <w:t>描述统计</w:t>
      </w:r>
      <w:r>
        <w:rPr>
          <w:rFonts w:hint="eastAsia"/>
          <w:lang w:val="en-US" w:eastAsia="zh-CN"/>
        </w:rPr>
        <w:t>等。</w:t>
      </w:r>
      <w:bookmarkStart w:id="0" w:name="_GoBack"/>
      <w:bookmarkEnd w:id="0"/>
    </w:p>
    <w:p w14:paraId="7E39A6B2">
      <w:pPr>
        <w:rPr>
          <w:rFonts w:hint="default"/>
          <w:lang w:val="en-US" w:eastAsia="zh-CN"/>
        </w:rPr>
      </w:pPr>
      <w:r>
        <w:rPr>
          <w:rFonts w:hint="default"/>
          <w:lang w:val="en-US" w:eastAsia="zh-CN"/>
        </w:rPr>
        <w:t>4.2 Reliability and Consistency</w:t>
      </w:r>
    </w:p>
    <w:p w14:paraId="145A02DC">
      <w:pPr>
        <w:rPr>
          <w:rFonts w:hint="default"/>
          <w:lang w:val="en-US" w:eastAsia="zh-CN"/>
        </w:rPr>
      </w:pPr>
      <w:r>
        <w:rPr>
          <w:rFonts w:hint="eastAsia"/>
          <w:lang w:val="en-US" w:eastAsia="zh-CN"/>
        </w:rPr>
        <w:t>主旨句：数据</w:t>
      </w:r>
      <w:r>
        <w:rPr>
          <w:rFonts w:hint="default"/>
          <w:lang w:val="en-US" w:eastAsia="zh-CN"/>
        </w:rPr>
        <w:t>信度</w:t>
      </w:r>
    </w:p>
    <w:p w14:paraId="3731626A">
      <w:pPr>
        <w:rPr>
          <w:rFonts w:hint="default"/>
          <w:lang w:val="en-US" w:eastAsia="zh-CN"/>
        </w:rPr>
      </w:pPr>
    </w:p>
    <w:p w14:paraId="6FEAABA1">
      <w:pPr>
        <w:rPr>
          <w:rFonts w:hint="default"/>
          <w:lang w:val="en-US" w:eastAsia="zh-CN"/>
        </w:rPr>
      </w:pPr>
      <w:r>
        <w:rPr>
          <w:rFonts w:hint="default"/>
          <w:lang w:val="en-US" w:eastAsia="zh-CN"/>
        </w:rPr>
        <w:t>5 Usage Notes</w:t>
      </w:r>
    </w:p>
    <w:p w14:paraId="58C25122">
      <w:pPr>
        <w:rPr>
          <w:rFonts w:hint="default"/>
          <w:lang w:val="en-US" w:eastAsia="zh-CN"/>
        </w:rPr>
      </w:pPr>
      <w:r>
        <w:rPr>
          <w:rFonts w:hint="eastAsia"/>
          <w:lang w:val="en-US" w:eastAsia="zh-CN"/>
        </w:rPr>
        <w:t>主旨句1：</w:t>
      </w:r>
      <w:r>
        <w:rPr>
          <w:rFonts w:hint="default"/>
          <w:lang w:val="en-US" w:eastAsia="zh-CN"/>
        </w:rPr>
        <w:t>结构研究</w:t>
      </w:r>
    </w:p>
    <w:p w14:paraId="752EEC0C">
      <w:pPr>
        <w:rPr>
          <w:rFonts w:hint="default"/>
          <w:lang w:val="en-US" w:eastAsia="zh-CN"/>
        </w:rPr>
      </w:pPr>
      <w:r>
        <w:rPr>
          <w:rFonts w:hint="eastAsia"/>
          <w:lang w:val="en-US" w:eastAsia="zh-CN"/>
        </w:rPr>
        <w:t>主旨句2：</w:t>
      </w:r>
      <w:r>
        <w:rPr>
          <w:rFonts w:hint="default"/>
          <w:lang w:val="en-US" w:eastAsia="zh-CN"/>
        </w:rPr>
        <w:t>因子模型</w:t>
      </w:r>
    </w:p>
    <w:p w14:paraId="755C894A">
      <w:pPr>
        <w:rPr>
          <w:rFonts w:hint="default"/>
          <w:lang w:val="en-US" w:eastAsia="zh-CN"/>
        </w:rPr>
      </w:pPr>
      <w:r>
        <w:rPr>
          <w:rFonts w:hint="eastAsia"/>
          <w:lang w:val="en-US" w:eastAsia="zh-CN"/>
        </w:rPr>
        <w:t>主旨句3：</w:t>
      </w:r>
      <w:r>
        <w:rPr>
          <w:rFonts w:hint="default"/>
          <w:lang w:val="en-US" w:eastAsia="zh-CN"/>
        </w:rPr>
        <w:t>网络分析</w:t>
      </w:r>
    </w:p>
    <w:p w14:paraId="49A52D8D">
      <w:pPr>
        <w:rPr>
          <w:rFonts w:hint="default"/>
          <w:lang w:val="en-US" w:eastAsia="zh-CN"/>
        </w:rPr>
      </w:pPr>
      <w:r>
        <w:rPr>
          <w:rFonts w:hint="default"/>
          <w:lang w:val="en-US" w:eastAsia="zh-CN"/>
        </w:rPr>
        <w:t>⸻</w:t>
      </w:r>
    </w:p>
    <w:p w14:paraId="46E929D6">
      <w:pPr>
        <w:rPr>
          <w:rFonts w:hint="default"/>
          <w:lang w:val="en-US" w:eastAsia="zh-CN"/>
        </w:rPr>
      </w:pPr>
      <w:r>
        <w:rPr>
          <w:rFonts w:hint="default"/>
          <w:lang w:val="en-US" w:eastAsia="zh-CN"/>
        </w:rPr>
        <w:t>6 Code Availability</w:t>
      </w:r>
    </w:p>
    <w:p w14:paraId="21D51153">
      <w:pPr>
        <w:rPr>
          <w:rFonts w:hint="default"/>
          <w:lang w:val="en-US" w:eastAsia="zh-CN"/>
        </w:rPr>
      </w:pPr>
      <w:r>
        <w:rPr>
          <w:rFonts w:hint="eastAsia"/>
          <w:lang w:val="en-US" w:eastAsia="zh-CN"/>
        </w:rPr>
        <w:t>主旨句1：</w:t>
      </w:r>
      <w:r>
        <w:rPr>
          <w:rFonts w:hint="default"/>
          <w:lang w:val="en-US" w:eastAsia="zh-CN"/>
        </w:rPr>
        <w:t>R / Python 脚本</w:t>
      </w:r>
    </w:p>
    <w:p w14:paraId="44C21697">
      <w:pPr>
        <w:rPr>
          <w:rFonts w:hint="default"/>
          <w:lang w:val="en-US" w:eastAsia="zh-CN"/>
        </w:rPr>
      </w:pPr>
      <w:r>
        <w:rPr>
          <w:rFonts w:hint="eastAsia"/>
          <w:lang w:val="en-US" w:eastAsia="zh-CN"/>
        </w:rPr>
        <w:t>主旨句2：</w:t>
      </w:r>
      <w:r>
        <w:rPr>
          <w:rFonts w:hint="default"/>
          <w:lang w:val="en-US" w:eastAsia="zh-CN"/>
        </w:rPr>
        <w:t>示例分析代码</w:t>
      </w:r>
    </w:p>
    <w:p w14:paraId="564EF997">
      <w:pPr>
        <w:rPr>
          <w:rFonts w:hint="default"/>
          <w:lang w:val="en-US" w:eastAsia="zh-CN"/>
        </w:rPr>
      </w:pPr>
    </w:p>
    <w:p w14:paraId="7F4B71A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wMmU5OWZkNDlmMjc4MzJkMjE1Zjc5NWRkODU4NzEifQ=="/>
  </w:docVars>
  <w:rsids>
    <w:rsidRoot w:val="6FC48273"/>
    <w:rsid w:val="3D7FD677"/>
    <w:rsid w:val="6FC48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2025-12-26T14:47:00Z</dcterms:created>
  <dc:creator>孙心茹</dc:creator>
  <cp:lastModifiedBy>孙心茹</cp:lastModifiedBy>
  <dcterms:modified xsi:type="dcterms:W3CDTF">2025-12-27T15:25:48Z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3ABDFED4233E7186962F4E69E32F950E_41</vt:lpwstr>
  </property>
</Properties>
</file>