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微软雅黑"/>
          <w:b/>
          <w:color w:val="1F3A5F"/>
          <w:sz w:val="48"/>
        </w:rPr>
        <w:t>PersonalAircraft 机翼结构</w:t>
      </w:r>
    </w:p>
    <w:p>
      <w:pPr>
        <w:jc w:val="center"/>
      </w:pPr>
      <w:r>
        <w:rPr>
          <w:rFonts w:ascii="Arial" w:hAnsi="Arial" w:eastAsia="微软雅黑"/>
          <w:b/>
          <w:color w:val="335577"/>
          <w:sz w:val="36"/>
        </w:rPr>
        <w:t>有限元表面网格划分报告</w:t>
      </w:r>
    </w:p>
    <w:p>
      <w:pPr>
        <w:spacing w:before="480"/>
        <w:jc w:val="center"/>
      </w:pPr>
      <w:r>
        <w:rPr>
          <w:rFonts w:ascii="Arial" w:hAnsi="Arial" w:eastAsia="微软雅黑"/>
          <w:b w:val="0"/>
          <w:color w:val="555555"/>
          <w:sz w:val="22"/>
        </w:rPr>
        <w:t>RevN 结构网格 · RevP 外形网格 · gmsh 4.15.2</w:t>
      </w:r>
    </w:p>
    <w:p>
      <w:pPr>
        <w:spacing w:before="2400"/>
        <w:jc w:val="center"/>
      </w:pPr>
      <w:r>
        <w:rPr>
          <w:rFonts w:ascii="Times New Roman" w:hAnsi="Times New Roman" w:eastAsia="宋体"/>
          <w:color w:val="777777"/>
          <w:sz w:val="18"/>
        </w:rPr>
        <w:t>输入：Copy_of_PersonalAircraft_Structural_RevN.stp / PersonalAircraft_Structural_RevP.stp</w:t>
      </w:r>
    </w:p>
    <w:p>
      <w:pPr>
        <w:jc w:val="center"/>
      </w:pPr>
      <w:r>
        <w:rPr>
          <w:rFonts w:ascii="Times New Roman" w:hAnsi="Times New Roman" w:eastAsia="宋体"/>
          <w:color w:val="777777"/>
          <w:sz w:val="18"/>
        </w:rPr>
        <w:t>2026-11-01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1  概述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本报告记录 PersonalAircraft 两个 CATIA 版本的 STEP 几何转换为表面网格的全过程，包括几何体检、网格参数、网格统计与用途划分。网格为三角形表面网格，单位 mm，可直接导入 STAR-CCM+ / Fluent / OpenFOAM（CFD）或 Abaqus / ANSYS（结构）。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实体 / 曲面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弦向覆盖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RevN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190 / 3 544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38–84%（仅翼盒）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结构分析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RevP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192 / 4 512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0–100%（完整外形）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气动分析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1  两版几何对比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2  几何体检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两个 STEP 均由 CATIA V5R21 以 AP203 导出，全部为闭合实体（MANIFOLD_SOLID_BREP），无自由边。RevP 包围盒 2 565 × 13 051 × 938 mm，RevN 为 2 565 × 13 000 × 862 mm，与设计文档的 13 m 翼展、2.05 m 根弦一致。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弦向切片是区分两者的关键：在 y = 3 250 mm 处，RevN 只覆盖 x = 579～1 287 mm（弦向 38–84%），RevP 覆盖 x = 124～1 684 mm（0–100%）。RevN 缺前缘 D-box 与后缘蒙皮，若直接拿它做 CFD，翼盒会被当成开缝平板，压力分布完全失真。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5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_i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1  RevN 表面网格——机翼只保留翼盒段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_revP_i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2  RevP 表面网格——前缘、后缘蒙皮齐全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4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g_oml_i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3  由翼型截面重建的机翼外形（wing_oml.stl，6 528 面，水密）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3  网格参数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使用 gmsh 4.15.2 的 OCC 内核直接读入 STEP，按 18 mm 全局尺寸划分，最小尺寸 3.6 mm，Frontal-Delaunay 算法（Mesh.Algorithm = 1），平滑 3 次。为保证 CAD 曲面特征不丢失，按曲面边界自动加密，未使用曲率自适应（该选项在 190 个实体的模型上会导致内存异常）。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RevN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RevP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全局尺寸 / 最小尺寸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 mm / 3.6 mm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 mm / 3.6 mm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网格算法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Frontal-Delaunay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Frontal-Delaunay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节点数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182 611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652 646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三角面数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364 202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1 303 300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网格总面积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38.9 m²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STL 文件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17.4 MB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62.2 MB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msh 文件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22.8 MB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70.3 MB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2  网格统计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4  网格质量与用途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三角形网格平均边长约 18 mm，机翼前缘曲率较大处自动加密到 6–10 mm，机身/短舱等大曲率区域保持 18 mm。对于后续 CFD，建议在表面网格基础上追加：前缘 8–10 mm 局部加密、20 层附面层（增长率 1.2、首层 0.02 mm，对应 y⁺ ≈ 1）。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CFD 壁面：优先用 RevP 的 revP_surface.stl，或重建的 wing_oml.stl（水密、面数少、无内部结构）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结构分析：用 RevN 的 aircraft_surface_bin.stl，翼盒、梁、肋、接头齐全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若只需机翼气动外形：wing_oml.stl（6 528 面，半翼体积 1.267 m³，可直接封闭成流体域）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5  交付文件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mesh/revP_surface.stl / .msh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RevP 完整外形，1 303 300 面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mesh/aircraft_surface_bin.stl / .msh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RevN 结构，364 202 面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mesh/wing_oml.stl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重建机翼外形（水密，6 528 面）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scripts/02_mesh.py / 10_mesh_revP.py / 06_oml.py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网格生成脚本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3  网格相关文件</w:t>
      </w:r>
    </w:p>
    <w:sectPr w:rsidR="00FC693F" w:rsidRPr="0006063C" w:rsidSect="00034616"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