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微软雅黑"/>
          <w:b/>
          <w:color w:val="1F3A5F"/>
          <w:sz w:val="48"/>
        </w:rPr>
        <w:t>PersonalAircraft 机翼</w:t>
      </w:r>
    </w:p>
    <w:p>
      <w:pPr>
        <w:jc w:val="center"/>
      </w:pPr>
      <w:r>
        <w:rPr>
          <w:rFonts w:ascii="Arial" w:hAnsi="Arial" w:eastAsia="微软雅黑"/>
          <w:b/>
          <w:color w:val="335577"/>
          <w:sz w:val="36"/>
        </w:rPr>
        <w:t>气动特性与表面压力分析报告</w:t>
      </w:r>
    </w:p>
    <w:p>
      <w:pPr>
        <w:spacing w:before="480"/>
        <w:jc w:val="center"/>
      </w:pPr>
      <w:r>
        <w:rPr>
          <w:rFonts w:ascii="Arial" w:hAnsi="Arial" w:eastAsia="微软雅黑"/>
          <w:b w:val="0"/>
          <w:color w:val="555555"/>
          <w:sz w:val="22"/>
        </w:rPr>
        <w:t>RevP 完整外形 · 升力线 + 薄翼理论 · Cp 云图</w:t>
      </w:r>
    </w:p>
    <w:p>
      <w:pPr>
        <w:spacing w:before="2400"/>
        <w:jc w:val="center"/>
      </w:pPr>
      <w:r>
        <w:rPr>
          <w:rFonts w:ascii="Times New Roman" w:hAnsi="Times New Roman" w:eastAsia="宋体"/>
          <w:color w:val="777777"/>
          <w:sz w:val="18"/>
        </w:rPr>
        <w:t>输入：PersonalAircraft_Structural_RevP.stp</w:t>
      </w:r>
    </w:p>
    <w:p>
      <w:pPr>
        <w:jc w:val="center"/>
      </w:pPr>
      <w:r>
        <w:rPr>
          <w:rFonts w:ascii="Times New Roman" w:hAnsi="Times New Roman" w:eastAsia="宋体"/>
          <w:color w:val="777777"/>
          <w:sz w:val="18"/>
        </w:rPr>
        <w:t>2026-11-01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rial" w:hAnsi="Arial" w:eastAsia="微软雅黑"/>
          <w:b/>
          <w:color w:val="1F3A5F"/>
          <w:sz w:val="30"/>
        </w:rPr>
        <w:t>1  概述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以 RevP 完整外模线为几何，计算 13 m 展弦比 8.45 机翼的升力、阻力、展向载荷与表面压力分布，并给出 α = 4° 工况的 Cp 彩色云图。方法为 Prandtl 升力线 + 薄翼理论（势流），用于快速评估气动特性与载荷分布，不能替代 RANS。</w:t>
      </w:r>
    </w:p>
    <w:p>
      <w:pPr>
        <w:pStyle w:val="Heading1"/>
        <w:spacing w:before="240" w:after="100"/>
      </w:pPr>
      <w:r>
        <w:rPr>
          <w:rFonts w:ascii="Arial" w:hAnsi="Arial" w:eastAsia="微软雅黑"/>
          <w:b/>
          <w:color w:val="1F3A5F"/>
          <w:sz w:val="30"/>
        </w:rPr>
        <w:t>2  计算模型与方法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展向用 Glauert 傅里叶级数（30 阶谐波、30 个配置点，含镜像半翼），剖面用薄翼理论 cl = 2π(α_eff − α_L0)。根段 FX 63-137 取 α_L0 = −6°，翼尖 E387 取 −2.5°，在 y = 4.5～6.5 m 过渡；几何扭转由 CAD 前后缘高度差直接算出（翼尖 −2° 洗出）。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粘性阻力用平板摩擦 + 厚度形状因子估算：Re = 1.64×10⁶（V = 15 m/s、c = 1.6 m）时 Cf = 0.00423，取 t/c = 11.5%、形状因子 1.29，加 0.002 干扰余量，得 CD0 ≈ 0.0125。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表面压力按 Cp = 1 − (1 ± γ/2V)² 合成，γ 为薄翼载荷分布；前缘 1% 弦长内的奇异值截断在 Cp = −3。</w:t>
      </w:r>
    </w:p>
    <w:p>
      <w:pPr>
        <w:pStyle w:val="Heading1"/>
        <w:spacing w:before="240" w:after="100"/>
      </w:pPr>
      <w:r>
        <w:rPr>
          <w:rFonts w:ascii="Arial" w:hAnsi="Arial" w:eastAsia="微软雅黑"/>
          <w:b/>
          <w:color w:val="1F3A5F"/>
          <w:sz w:val="30"/>
        </w:rPr>
        <w:t>3  极曲线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7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l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图 1  CL(α) 与 L/D(α)，V = 15 m/s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780000" cy="2953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r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95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图 2  阻力极曲线 CL–CD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α (°)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CL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CDi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CD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L/D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−4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0.0012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0.0137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13.0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0.53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0.0106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0.0231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22.9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0.88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0.0294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0.0419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21.0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1.23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0.0576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0.0701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17.5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表 1  气动系数（α ≥ 6° 已偏离线性段）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升力线斜率 0.0876 /deg（5.02 /rad），零迎角升力 0.53，最大升阻比 22.8（CL = 0.60，α = 1.5°）。135 kg、15 m/s 巡航：CL = 0.48、α = 0.15°、L/D ≈ 22.7、下沉率 0.66 m/s。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L/D 23 对滑翔机偏低（现代复合材料滑翔机 35–45），主因是 6% 弯度的高阻翼型与 0.0125 的 CD0 假设。若要提升滑翔性能，应优先重选翼型而非继续优化结构。</w:t>
      </w:r>
    </w:p>
    <w:p>
      <w:pPr>
        <w:pStyle w:val="Heading1"/>
        <w:spacing w:before="240" w:after="100"/>
      </w:pPr>
      <w:r>
        <w:rPr>
          <w:rFonts w:ascii="Arial" w:hAnsi="Arial" w:eastAsia="微软雅黑"/>
          <w:b/>
          <w:color w:val="1F3A5F"/>
          <w:sz w:val="30"/>
        </w:rPr>
        <w:t>4  展向载荷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pan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图 3  4g 限制载荷下展向升力分布与 Schrenk 对比（归一化到同一总升力）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本文分布内翼略高、翼尖明显偏低，差异来自 CAD 的 −2° 洗出。洗出让翼尖先于根部达到失速迎角，符合经典设计意图，但代价是翼尖升力损失与诱导阻力略增；也使翼根弯矩比 Schrenk 估算低约 12%。</w:t>
      </w:r>
    </w:p>
    <w:p>
      <w:pPr>
        <w:pStyle w:val="Heading1"/>
        <w:spacing w:before="240" w:after="100"/>
      </w:pPr>
      <w:r>
        <w:rPr>
          <w:rFonts w:ascii="Arial" w:hAnsi="Arial" w:eastAsia="微软雅黑"/>
          <w:b/>
          <w:color w:val="1F3A5F"/>
          <w:sz w:val="30"/>
        </w:rPr>
        <w:t>5  表面压力云图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图 4–6 为 α = 4°（CL ≈ 0.82）的 Cp 云图。上表面前缘形成强吸力区（深蓝），沿弦向迅速恢复；下表面整体正压（红/黄），前缘附近为驻点高压；翼尖因洗出与三维卸载，吸力明显减弱。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i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图 4  Cp 云图（等轴测）  α = 4°，V = 15 m/s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673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图 5  上表面 Cp 云图（俯视）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673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bott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图 6  下表面 Cp 云图（仰视）</w:t>
      </w:r>
    </w:p>
    <w:p>
      <w:pPr>
        <w:pStyle w:val="Heading1"/>
        <w:spacing w:before="240" w:after="100"/>
      </w:pPr>
      <w:r>
        <w:rPr>
          <w:rFonts w:ascii="Arial" w:hAnsi="Arial" w:eastAsia="微软雅黑"/>
          <w:b/>
          <w:color w:val="1F3A5F"/>
          <w:sz w:val="30"/>
        </w:rPr>
        <w:t>6  结论与局限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(1) 巡航效率：CL = 0.48 时 L/D ≈ 22.7，对应下滑角 2.5°、下沉率 0.66 m/s。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(2) 载荷：展向分布因洗出而偏内翼，翼根弯矩较 Schrenk 估算低 12%，结构设计偏安全。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(3) 压力分布：前缘吸力峰、弦向恢复、翼尖卸载的趋势正确，可用于定性判断与载荷提取。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(4) 局限：势流方法不含粘性分离、失速、翼尖涡与压缩性；CLmax 与失速特性需 CFD 或风洞确认。本机无可用 RANS 求解器，revP_surface.stl 已备好，可在有许可证的 STAR-CCM+/Fluent 上直接计算。</w:t>
      </w:r>
    </w:p>
    <w:p>
      <w:pPr>
        <w:pStyle w:val="Heading1"/>
        <w:spacing w:before="240" w:after="100"/>
      </w:pPr>
      <w:r>
        <w:rPr>
          <w:rFonts w:ascii="Arial" w:hAnsi="Arial" w:eastAsia="微软雅黑"/>
          <w:b/>
          <w:color w:val="1F3A5F"/>
          <w:sz w:val="30"/>
        </w:rPr>
        <w:t>7  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510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figures/fig_polar.png, fig_drag.png</w:t>
            </w:r>
          </w:p>
        </w:tc>
        <w:tc>
          <w:tcPr>
            <w:tcW w:type="dxa" w:w="510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极曲线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figures/fig_spanload.png</w:t>
            </w:r>
          </w:p>
        </w:tc>
        <w:tc>
          <w:tcPr>
            <w:tcW w:type="dxa" w:w="510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展向载荷对比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figures/cp_iso.png, cp_top.png, cp_bottom.png</w:t>
            </w:r>
          </w:p>
        </w:tc>
        <w:tc>
          <w:tcPr>
            <w:tcW w:type="dxa" w:w="510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Cp 云图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results/ll_polar.csv, spanload_ll.csv</w:t>
            </w:r>
          </w:p>
        </w:tc>
        <w:tc>
          <w:tcPr>
            <w:tcW w:type="dxa" w:w="510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数值结果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scripts/04_lifting_line.py / 11_cp_contour.py</w:t>
            </w:r>
          </w:p>
        </w:tc>
        <w:tc>
          <w:tcPr>
            <w:tcW w:type="dxa" w:w="510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计算与绘图脚本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表 2  相关文件</w:t>
      </w:r>
    </w:p>
    <w:sectPr w:rsidR="00FC693F" w:rsidRPr="0006063C" w:rsidSect="00034616"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