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BB50F7" w14:textId="77777777" w:rsidR="00F8652D" w:rsidRPr="00E93F38" w:rsidRDefault="00F8652D" w:rsidP="00E93F38">
      <w:pPr>
        <w:pStyle w:val="Heading1"/>
        <w:jc w:val="center"/>
        <w:rPr>
          <w:rFonts w:ascii="Bookman Old Style" w:hAnsi="Bookman Old Style"/>
          <w:sz w:val="40"/>
        </w:rPr>
      </w:pPr>
      <w:r w:rsidRPr="00E93F38">
        <w:rPr>
          <w:noProof/>
          <w:sz w:val="40"/>
        </w:rPr>
        <w:drawing>
          <wp:anchor distT="0" distB="0" distL="114300" distR="114300" simplePos="0" relativeHeight="251658240" behindDoc="0" locked="0" layoutInCell="1" allowOverlap="1" wp14:anchorId="0542AA9C" wp14:editId="6997C7C2">
            <wp:simplePos x="0" y="0"/>
            <wp:positionH relativeFrom="column">
              <wp:posOffset>-647700</wp:posOffset>
            </wp:positionH>
            <wp:positionV relativeFrom="paragraph">
              <wp:posOffset>-441960</wp:posOffset>
            </wp:positionV>
            <wp:extent cx="788670" cy="441960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F38" w:rsidRPr="00E93F38">
        <w:rPr>
          <w:rFonts w:ascii="Bookman Old Style" w:hAnsi="Bookman Old Style"/>
          <w:sz w:val="44"/>
        </w:rPr>
        <w:t>Tambour Twenty</w:t>
      </w:r>
    </w:p>
    <w:p w14:paraId="041DF691" w14:textId="77777777" w:rsidR="00F8652D" w:rsidRPr="00F8652D" w:rsidRDefault="00E93F38" w:rsidP="00F8652D">
      <w:r w:rsidRPr="00E93F38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0288" behindDoc="0" locked="0" layoutInCell="1" allowOverlap="1" wp14:anchorId="23E93690" wp14:editId="44DF0974">
            <wp:simplePos x="0" y="0"/>
            <wp:positionH relativeFrom="column">
              <wp:posOffset>-381000</wp:posOffset>
            </wp:positionH>
            <wp:positionV relativeFrom="paragraph">
              <wp:posOffset>216535</wp:posOffset>
            </wp:positionV>
            <wp:extent cx="1981200" cy="271653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sz w:val="28"/>
        </w:rPr>
        <w:t xml:space="preserve"> </w:t>
      </w:r>
      <w:bookmarkStart w:id="0" w:name="_GoBack"/>
      <w:bookmarkEnd w:id="0"/>
      <w:r w:rsidR="00F8652D">
        <w:t xml:space="preserve">             </w:t>
      </w:r>
    </w:p>
    <w:p w14:paraId="0C88BC32" w14:textId="77777777" w:rsidR="00E93F38" w:rsidRPr="00E93F38" w:rsidRDefault="00E93F38" w:rsidP="00E93F38">
      <w:pPr>
        <w:rPr>
          <w:rFonts w:ascii="Bookman Old Style" w:hAnsi="Bookman Old Style"/>
          <w:sz w:val="28"/>
        </w:rPr>
      </w:pPr>
      <w:r w:rsidRPr="00E93F38">
        <w:rPr>
          <w:rFonts w:ascii="Bookman Old Style" w:hAnsi="Bookman Old Style"/>
          <w:sz w:val="28"/>
        </w:rPr>
        <w:t>Savoir-faire</w:t>
      </w:r>
    </w:p>
    <w:p w14:paraId="74A88162" w14:textId="77777777" w:rsidR="00E93F38" w:rsidRPr="00E93F38" w:rsidRDefault="00E93F38" w:rsidP="00E93F38">
      <w:pPr>
        <w:spacing w:line="276" w:lineRule="auto"/>
        <w:rPr>
          <w:rFonts w:ascii="Bookman Old Style" w:hAnsi="Bookman Old Style"/>
        </w:rPr>
      </w:pPr>
      <w:r w:rsidRPr="00E93F38">
        <w:rPr>
          <w:rFonts w:ascii="Bookman Old Style" w:hAnsi="Bookman Old Style"/>
        </w:rPr>
        <w:t>Combining bold creativity and exceptional craftsmanship, the Tambour Twenty keeps time with an LV277 high-frequency movement which is based on the iconic Zenith El Primero, the first automatic chronograph ever. This movement with 22-carat gold rotor and 50 hours of power reserve is exact to the tenth of a second.</w:t>
      </w:r>
    </w:p>
    <w:p w14:paraId="7F7887C8" w14:textId="77777777" w:rsidR="00F8652D" w:rsidRPr="00F8652D" w:rsidRDefault="00F8652D" w:rsidP="00F8652D"/>
    <w:p w14:paraId="4DFDF52C" w14:textId="77777777" w:rsidR="00E93F38" w:rsidRDefault="00E93F38" w:rsidP="00E93F38"/>
    <w:p w14:paraId="22B37A05" w14:textId="77777777" w:rsidR="00E93F38" w:rsidRDefault="00E93F38" w:rsidP="00E93F38">
      <w:pPr>
        <w:rPr>
          <w:rFonts w:ascii="Bookman Old Style" w:hAnsi="Bookman Old Style"/>
          <w:sz w:val="28"/>
        </w:rPr>
      </w:pPr>
    </w:p>
    <w:p w14:paraId="5A5CCDE8" w14:textId="77777777" w:rsidR="00E93F38" w:rsidRDefault="00E93F38" w:rsidP="00E93F38">
      <w:pPr>
        <w:rPr>
          <w:rFonts w:ascii="Bookman Old Style" w:hAnsi="Bookman Old Style"/>
          <w:sz w:val="28"/>
        </w:rPr>
      </w:pPr>
    </w:p>
    <w:p w14:paraId="3554310C" w14:textId="77777777" w:rsidR="00E93F38" w:rsidRDefault="00E93F38" w:rsidP="00E93F38">
      <w:pPr>
        <w:rPr>
          <w:rFonts w:ascii="Bookman Old Style" w:hAnsi="Bookman Old Style"/>
          <w:sz w:val="28"/>
        </w:rPr>
      </w:pPr>
      <w:r w:rsidRPr="00E93F38">
        <w:rPr>
          <w:rFonts w:ascii="Bookman Old Style" w:hAnsi="Bookman Old Style"/>
          <w:noProof/>
        </w:rPr>
        <w:drawing>
          <wp:anchor distT="0" distB="0" distL="114300" distR="114300" simplePos="0" relativeHeight="251662336" behindDoc="0" locked="0" layoutInCell="1" allowOverlap="1" wp14:anchorId="75995A09" wp14:editId="17200482">
            <wp:simplePos x="0" y="0"/>
            <wp:positionH relativeFrom="column">
              <wp:posOffset>4274820</wp:posOffset>
            </wp:positionH>
            <wp:positionV relativeFrom="paragraph">
              <wp:posOffset>5715</wp:posOffset>
            </wp:positionV>
            <wp:extent cx="1965960" cy="24034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A652F" w14:textId="77777777" w:rsidR="00E93F38" w:rsidRPr="00E93F38" w:rsidRDefault="00E93F38" w:rsidP="00E93F38">
      <w:pPr>
        <w:rPr>
          <w:rFonts w:ascii="Bookman Old Style" w:hAnsi="Bookman Old Style"/>
          <w:sz w:val="28"/>
        </w:rPr>
      </w:pPr>
      <w:r w:rsidRPr="00E93F38">
        <w:rPr>
          <w:rFonts w:ascii="Bookman Old Style" w:hAnsi="Bookman Old Style"/>
          <w:sz w:val="28"/>
        </w:rPr>
        <w:t>Pushing the Boundaries</w:t>
      </w:r>
    </w:p>
    <w:p w14:paraId="3038B562" w14:textId="77777777" w:rsidR="00E93F38" w:rsidRPr="00F8652D" w:rsidRDefault="00E93F38" w:rsidP="00E93F38">
      <w:r>
        <w:t>Offered in a limited edition of 200 pieces, the timepiece pays tribute to the original Tambour by reprising the signature codes that made it an icon of watchmaking design.</w:t>
      </w:r>
    </w:p>
    <w:p w14:paraId="0A934D71" w14:textId="77777777" w:rsidR="00E93F38" w:rsidRPr="00F8652D" w:rsidRDefault="00E93F38" w:rsidP="00E93F38"/>
    <w:p w14:paraId="500E9D8D" w14:textId="77777777" w:rsidR="00E93F38" w:rsidRDefault="00E93F38" w:rsidP="00E93F38"/>
    <w:p w14:paraId="5BBEF839" w14:textId="77777777" w:rsidR="00E93F38" w:rsidRDefault="00E93F38" w:rsidP="00E93F38"/>
    <w:p w14:paraId="48457FEB" w14:textId="77777777" w:rsidR="00F8652D" w:rsidRPr="00F8652D" w:rsidRDefault="00F8652D" w:rsidP="00F8652D"/>
    <w:p w14:paraId="2D4932B7" w14:textId="77777777" w:rsidR="00F8652D" w:rsidRPr="00F8652D" w:rsidRDefault="00F8652D" w:rsidP="00F8652D"/>
    <w:p w14:paraId="6C2B4FE0" w14:textId="77777777" w:rsidR="00F8652D" w:rsidRPr="00F8652D" w:rsidRDefault="00F8652D" w:rsidP="00F8652D"/>
    <w:p w14:paraId="54A42375" w14:textId="77777777" w:rsidR="00697DF2" w:rsidRPr="00F8652D" w:rsidRDefault="00F8652D" w:rsidP="00F8652D">
      <w:pPr>
        <w:tabs>
          <w:tab w:val="left" w:pos="3480"/>
        </w:tabs>
      </w:pPr>
      <w:r>
        <w:tab/>
      </w:r>
    </w:p>
    <w:sectPr w:rsidR="00697DF2" w:rsidRPr="00F8652D" w:rsidSect="00F8652D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2D"/>
    <w:rsid w:val="00697DF2"/>
    <w:rsid w:val="00E93F38"/>
    <w:rsid w:val="00F8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E2BCB"/>
  <w15:chartTrackingRefBased/>
  <w15:docId w15:val="{FEEE6EAF-BE2E-44A1-8910-B68B7602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F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2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2024-01-31T13:38:00Z</dcterms:created>
  <dcterms:modified xsi:type="dcterms:W3CDTF">2024-01-31T13:58:00Z</dcterms:modified>
</cp:coreProperties>
</file>