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B3FD02" w14:textId="5DDBC16C" w:rsidR="003D03A5" w:rsidRPr="003D03A5" w:rsidRDefault="00912F5A" w:rsidP="003D03A5">
      <w:pPr>
        <w:pStyle w:val="Heading1"/>
        <w:jc w:val="center"/>
        <w:rPr>
          <w:b/>
          <w:sz w:val="96"/>
        </w:rPr>
      </w:pPr>
      <w:r>
        <w:rPr>
          <w:b/>
          <w:noProof/>
          <w:sz w:val="96"/>
        </w:rPr>
        <w:drawing>
          <wp:anchor distT="0" distB="0" distL="114300" distR="114300" simplePos="0" relativeHeight="251663360" behindDoc="0" locked="0" layoutInCell="1" allowOverlap="1" wp14:anchorId="70782A65" wp14:editId="5AEA997A">
            <wp:simplePos x="0" y="0"/>
            <wp:positionH relativeFrom="margin">
              <wp:posOffset>-502920</wp:posOffset>
            </wp:positionH>
            <wp:positionV relativeFrom="paragraph">
              <wp:posOffset>-518160</wp:posOffset>
            </wp:positionV>
            <wp:extent cx="701040" cy="394709"/>
            <wp:effectExtent l="0" t="0" r="381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lex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394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3A5" w:rsidRPr="003D03A5">
        <w:rPr>
          <w:b/>
          <w:sz w:val="96"/>
        </w:rPr>
        <w:t>Submariner Date</w:t>
      </w:r>
    </w:p>
    <w:p w14:paraId="7DFE3C12" w14:textId="77777777" w:rsidR="003D03A5" w:rsidRPr="003D03A5" w:rsidRDefault="003D03A5" w:rsidP="003D03A5">
      <w:pPr>
        <w:jc w:val="center"/>
        <w:rPr>
          <w:sz w:val="24"/>
        </w:rPr>
      </w:pPr>
      <w:r w:rsidRPr="003D03A5">
        <w:rPr>
          <w:sz w:val="24"/>
        </w:rPr>
        <w:t>Oyster, 41mm, Oystersteel Reference 126610LV</w:t>
      </w:r>
    </w:p>
    <w:p w14:paraId="1D53729B" w14:textId="77777777" w:rsidR="003D03A5" w:rsidRDefault="003D03A5" w:rsidP="003D03A5">
      <w:r>
        <w:rPr>
          <w:noProof/>
        </w:rPr>
        <w:drawing>
          <wp:anchor distT="0" distB="0" distL="114300" distR="114300" simplePos="0" relativeHeight="251660288" behindDoc="0" locked="0" layoutInCell="1" allowOverlap="1" wp14:anchorId="18CB3DA0" wp14:editId="4807DB2C">
            <wp:simplePos x="0" y="0"/>
            <wp:positionH relativeFrom="margin">
              <wp:posOffset>-297180</wp:posOffset>
            </wp:positionH>
            <wp:positionV relativeFrom="paragraph">
              <wp:posOffset>67945</wp:posOffset>
            </wp:positionV>
            <wp:extent cx="1951355" cy="24079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--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6065B9" w14:textId="77777777" w:rsidR="003D03A5" w:rsidRDefault="003D03A5" w:rsidP="003D03A5"/>
    <w:p w14:paraId="7E2B33A2" w14:textId="77777777" w:rsidR="003D03A5" w:rsidRPr="003D03A5" w:rsidRDefault="003D03A5" w:rsidP="003D03A5">
      <w:pPr>
        <w:pStyle w:val="NormalWeb"/>
        <w:spacing w:before="0" w:beforeAutospacing="0" w:after="0" w:afterAutospacing="0" w:line="276" w:lineRule="auto"/>
        <w:rPr>
          <w:rFonts w:ascii="var(--secondary-font-family)" w:hAnsi="var(--secondary-font-family)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A5">
        <w:rPr>
          <w:rFonts w:ascii="var(--secondary-font-family)" w:hAnsi="var(--secondary-font-family)"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Deep confidence</w:t>
      </w:r>
    </w:p>
    <w:p w14:paraId="5A68CE5A" w14:textId="77777777" w:rsidR="003D03A5" w:rsidRDefault="003D03A5" w:rsidP="003D03A5">
      <w:pPr>
        <w:pStyle w:val="Heading2"/>
        <w:spacing w:before="0" w:line="276" w:lineRule="auto"/>
        <w:rPr>
          <w:rFonts w:ascii="Helvetica" w:hAnsi="Helvetica" w:cs="Helvetica"/>
          <w:color w:val="000000" w:themeColor="text1"/>
        </w:rPr>
      </w:pPr>
      <w:r w:rsidRPr="003D03A5">
        <w:rPr>
          <w:b/>
          <w:noProof/>
          <w:sz w:val="72"/>
        </w:rPr>
        <w:drawing>
          <wp:anchor distT="0" distB="0" distL="114300" distR="114300" simplePos="0" relativeHeight="251658240" behindDoc="0" locked="0" layoutInCell="1" allowOverlap="1" wp14:anchorId="002A413C" wp14:editId="701551A4">
            <wp:simplePos x="0" y="0"/>
            <wp:positionH relativeFrom="rightMargin">
              <wp:posOffset>-1699260</wp:posOffset>
            </wp:positionH>
            <wp:positionV relativeFrom="paragraph">
              <wp:posOffset>356870</wp:posOffset>
            </wp:positionV>
            <wp:extent cx="1945005" cy="26289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" b="6965"/>
                    <a:stretch/>
                  </pic:blipFill>
                  <pic:spPr bwMode="auto">
                    <a:xfrm>
                      <a:off x="0" y="0"/>
                      <a:ext cx="194500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03A5">
        <w:rPr>
          <w:rFonts w:ascii="Helvetica" w:hAnsi="Helvetica" w:cs="Helvetica"/>
          <w:color w:val="000000" w:themeColor="text1"/>
        </w:rPr>
        <w:t>The Oyster Perpetual </w:t>
      </w:r>
      <w:r w:rsidRPr="003D03A5">
        <w:rPr>
          <w:rStyle w:val="Emphasis"/>
          <w:rFonts w:ascii="Helvetica" w:hAnsi="Helvetica" w:cs="Helvetica"/>
          <w:i w:val="0"/>
          <w:iCs w:val="0"/>
          <w:color w:val="000000" w:themeColor="text1"/>
        </w:rPr>
        <w:t>Submariner Date</w:t>
      </w:r>
      <w:r w:rsidRPr="003D03A5">
        <w:rPr>
          <w:rFonts w:ascii="Helvetica" w:hAnsi="Helvetica" w:cs="Helvetica"/>
          <w:color w:val="000000" w:themeColor="text1"/>
        </w:rPr>
        <w:t> in </w:t>
      </w:r>
      <w:r w:rsidRPr="003D03A5">
        <w:rPr>
          <w:rStyle w:val="Emphasis"/>
          <w:rFonts w:ascii="Helvetica" w:hAnsi="Helvetica" w:cs="Helvetica"/>
          <w:i w:val="0"/>
          <w:iCs w:val="0"/>
          <w:color w:val="000000" w:themeColor="text1"/>
        </w:rPr>
        <w:t>Oystersteel</w:t>
      </w:r>
      <w:r w:rsidRPr="003D03A5">
        <w:rPr>
          <w:rFonts w:ascii="Helvetica" w:hAnsi="Helvetica" w:cs="Helvetica"/>
          <w:color w:val="000000" w:themeColor="text1"/>
        </w:rPr>
        <w:t> with a </w:t>
      </w:r>
      <w:r w:rsidRPr="003D03A5">
        <w:rPr>
          <w:rStyle w:val="Emphasis"/>
          <w:rFonts w:ascii="Helvetica" w:hAnsi="Helvetica" w:cs="Helvetica"/>
          <w:i w:val="0"/>
          <w:iCs w:val="0"/>
          <w:color w:val="000000" w:themeColor="text1"/>
        </w:rPr>
        <w:t>Cerachrom bezel insert in green ceramic</w:t>
      </w:r>
      <w:r w:rsidRPr="003D03A5">
        <w:rPr>
          <w:rFonts w:ascii="Helvetica" w:hAnsi="Helvetica" w:cs="Helvetica"/>
          <w:color w:val="000000" w:themeColor="text1"/>
        </w:rPr>
        <w:t> and </w:t>
      </w:r>
      <w:r w:rsidRPr="003D03A5">
        <w:rPr>
          <w:rStyle w:val="Emphasis"/>
          <w:rFonts w:ascii="Helvetica" w:hAnsi="Helvetica" w:cs="Helvetica"/>
          <w:i w:val="0"/>
          <w:iCs w:val="0"/>
          <w:color w:val="000000" w:themeColor="text1"/>
        </w:rPr>
        <w:t>a black</w:t>
      </w:r>
      <w:r w:rsidRPr="003D03A5">
        <w:rPr>
          <w:rFonts w:ascii="Helvetica" w:hAnsi="Helvetica" w:cs="Helvetica"/>
          <w:color w:val="000000" w:themeColor="text1"/>
        </w:rPr>
        <w:t> dial with large luminescent hour markers.</w:t>
      </w:r>
    </w:p>
    <w:p w14:paraId="01C14052" w14:textId="77777777" w:rsidR="003D03A5" w:rsidRPr="003D03A5" w:rsidRDefault="003D03A5" w:rsidP="003D03A5">
      <w:pPr>
        <w:rPr>
          <w:color w:val="000000" w:themeColor="text1"/>
        </w:rPr>
      </w:pPr>
    </w:p>
    <w:p w14:paraId="6DCD334C" w14:textId="77777777" w:rsidR="003D03A5" w:rsidRDefault="003D03A5" w:rsidP="003D03A5">
      <w:pPr>
        <w:pStyle w:val="Heading2"/>
        <w:spacing w:before="0"/>
        <w:rPr>
          <w:rFonts w:ascii="var(--secondary-font-family)" w:hAnsi="var(--secondary-font-family)"/>
          <w:b/>
          <w:bCs/>
          <w:color w:val="000000" w:themeColor="text1"/>
        </w:rPr>
      </w:pPr>
    </w:p>
    <w:p w14:paraId="7435DC93" w14:textId="77777777" w:rsidR="003D03A5" w:rsidRDefault="003D03A5" w:rsidP="003D03A5">
      <w:pPr>
        <w:pStyle w:val="Heading2"/>
        <w:spacing w:before="0"/>
        <w:rPr>
          <w:rFonts w:ascii="var(--secondary-font-family)" w:hAnsi="var(--secondary-font-family)"/>
          <w:b/>
          <w:bCs/>
          <w:color w:val="000000" w:themeColor="text1"/>
        </w:rPr>
      </w:pPr>
    </w:p>
    <w:p w14:paraId="515BEECF" w14:textId="77777777" w:rsidR="003D03A5" w:rsidRDefault="003D03A5" w:rsidP="003D03A5">
      <w:pPr>
        <w:pStyle w:val="Heading2"/>
        <w:spacing w:before="0"/>
        <w:rPr>
          <w:rFonts w:ascii="var(--secondary-font-family)" w:hAnsi="var(--secondary-font-family)"/>
          <w:b/>
          <w:bCs/>
          <w:color w:val="000000" w:themeColor="text1"/>
        </w:rPr>
      </w:pPr>
    </w:p>
    <w:p w14:paraId="4EE55B55" w14:textId="77777777" w:rsidR="003D03A5" w:rsidRDefault="003D03A5" w:rsidP="003D03A5">
      <w:pPr>
        <w:pStyle w:val="Heading2"/>
        <w:spacing w:before="0"/>
        <w:rPr>
          <w:rFonts w:ascii="var(--secondary-font-family)" w:hAnsi="var(--secondary-font-family)"/>
          <w:b/>
          <w:bCs/>
          <w:color w:val="000000" w:themeColor="text1"/>
        </w:rPr>
      </w:pPr>
    </w:p>
    <w:p w14:paraId="4FEDA771" w14:textId="77777777" w:rsidR="003D03A5" w:rsidRDefault="003D03A5" w:rsidP="003D03A5">
      <w:pPr>
        <w:pStyle w:val="Heading2"/>
        <w:spacing w:before="0"/>
        <w:rPr>
          <w:rFonts w:ascii="var(--secondary-font-family)" w:hAnsi="var(--secondary-font-family)"/>
          <w:b/>
          <w:bCs/>
          <w:color w:val="000000" w:themeColor="text1"/>
        </w:rPr>
      </w:pPr>
    </w:p>
    <w:p w14:paraId="6B3D728A" w14:textId="77777777" w:rsidR="003D03A5" w:rsidRDefault="003D03A5" w:rsidP="003D03A5">
      <w:pPr>
        <w:pStyle w:val="Heading2"/>
        <w:spacing w:before="0"/>
        <w:rPr>
          <w:rFonts w:ascii="var(--secondary-font-family)" w:hAnsi="var(--secondary-font-family)"/>
          <w:b/>
          <w:bCs/>
          <w:color w:val="000000" w:themeColor="text1"/>
        </w:rPr>
      </w:pPr>
    </w:p>
    <w:p w14:paraId="2F6005D4" w14:textId="77777777" w:rsidR="003D03A5" w:rsidRDefault="003D03A5" w:rsidP="003D03A5">
      <w:pPr>
        <w:pStyle w:val="Heading2"/>
        <w:spacing w:before="0"/>
        <w:rPr>
          <w:rFonts w:ascii="var(--secondary-font-family)" w:hAnsi="var(--secondary-font-family)"/>
          <w:b/>
          <w:bCs/>
          <w:color w:val="000000" w:themeColor="text1"/>
        </w:rPr>
      </w:pPr>
    </w:p>
    <w:p w14:paraId="11CC6CDC" w14:textId="77777777" w:rsidR="003D03A5" w:rsidRDefault="003D03A5" w:rsidP="003D03A5">
      <w:pPr>
        <w:pStyle w:val="Heading2"/>
        <w:spacing w:before="0"/>
        <w:rPr>
          <w:rFonts w:ascii="var(--secondary-font-family)" w:hAnsi="var(--secondary-font-family)"/>
          <w:b/>
          <w:bCs/>
          <w:color w:val="000000" w:themeColor="text1"/>
        </w:rPr>
      </w:pPr>
    </w:p>
    <w:p w14:paraId="6A78FB67" w14:textId="77777777" w:rsidR="003D03A5" w:rsidRPr="003D03A5" w:rsidRDefault="003D03A5" w:rsidP="003D03A5">
      <w:pPr>
        <w:pStyle w:val="Heading2"/>
        <w:spacing w:before="0"/>
        <w:rPr>
          <w:rFonts w:ascii="var(--secondary-font-family)" w:hAnsi="var(--secondary-font-family)"/>
          <w:color w:val="000000" w:themeColor="text1"/>
          <w:sz w:val="30"/>
        </w:rPr>
      </w:pPr>
      <w:r w:rsidRPr="003D03A5">
        <w:rPr>
          <w:rFonts w:ascii="var(--secondary-font-family)" w:hAnsi="var(--secondary-font-family)"/>
          <w:b/>
          <w:bCs/>
          <w:color w:val="000000" w:themeColor="text1"/>
          <w:sz w:val="30"/>
        </w:rPr>
        <w:t>Unidirectional Rotatable Bezel</w:t>
      </w:r>
    </w:p>
    <w:p w14:paraId="3E518332" w14:textId="77777777" w:rsidR="003D03A5" w:rsidRPr="003D03A5" w:rsidRDefault="003D03A5" w:rsidP="00912F5A">
      <w:pPr>
        <w:pStyle w:val="Heading3"/>
        <w:spacing w:before="0" w:line="276" w:lineRule="auto"/>
        <w:rPr>
          <w:rFonts w:ascii="Times New Roman" w:hAnsi="Times New Roman"/>
          <w:b/>
          <w:bCs/>
          <w:color w:val="0070C0"/>
          <w:sz w:val="28"/>
        </w:rPr>
      </w:pPr>
      <w:bookmarkStart w:id="0" w:name="_GoBack"/>
      <w:r w:rsidRPr="003D03A5">
        <w:rPr>
          <w:b/>
          <w:color w:val="0070C0"/>
          <w:sz w:val="28"/>
        </w:rPr>
        <w:t>An underwater tool</w:t>
      </w:r>
    </w:p>
    <w:p w14:paraId="5822FAC4" w14:textId="77777777" w:rsidR="003D03A5" w:rsidRPr="003D03A5" w:rsidRDefault="003D03A5" w:rsidP="00912F5A">
      <w:pPr>
        <w:pStyle w:val="css-1n0jppr"/>
        <w:spacing w:before="0" w:beforeAutospacing="0" w:after="0" w:afterAutospacing="0" w:line="276" w:lineRule="auto"/>
        <w:rPr>
          <w:rFonts w:ascii="Helvetica" w:hAnsi="Helvetica" w:cs="Helvetica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04C72D" wp14:editId="475A0D4C">
            <wp:simplePos x="0" y="0"/>
            <wp:positionH relativeFrom="margin">
              <wp:posOffset>4091940</wp:posOffset>
            </wp:positionH>
            <wp:positionV relativeFrom="paragraph">
              <wp:posOffset>392430</wp:posOffset>
            </wp:positionV>
            <wp:extent cx="1975485" cy="2118360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 4t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03A5">
        <w:rPr>
          <w:rFonts w:ascii="Helvetica" w:hAnsi="Helvetica" w:cs="Helvetica"/>
          <w:color w:val="000000" w:themeColor="text1"/>
        </w:rPr>
        <w:t>The Submariner's rotatable bezel is a key functionality of the watch. Its 60-minute graduations allow a diver to accurately and safely monitor diving time and decompression stops.</w:t>
      </w:r>
    </w:p>
    <w:p w14:paraId="50FB16BB" w14:textId="77777777" w:rsidR="003D03A5" w:rsidRDefault="003D03A5" w:rsidP="00912F5A">
      <w:pPr>
        <w:pStyle w:val="css-1n0jppr"/>
        <w:spacing w:before="0" w:beforeAutospacing="0" w:after="0" w:afterAutospacing="0" w:line="276" w:lineRule="auto"/>
        <w:rPr>
          <w:rFonts w:ascii="Helvetica" w:hAnsi="Helvetica" w:cs="Helvetica"/>
          <w:color w:val="000000" w:themeColor="text1"/>
        </w:rPr>
      </w:pPr>
      <w:r w:rsidRPr="003D03A5">
        <w:rPr>
          <w:rFonts w:ascii="Helvetica" w:hAnsi="Helvetica" w:cs="Helvetica"/>
          <w:color w:val="000000" w:themeColor="text1"/>
        </w:rPr>
        <w:t>Manufactured by Rolex from a hard, corrosion-resistant ceramic, the Cerachrom bezel insert is virtually scratchproof. A luminescent capsule on the zero marker ensures legibility, no matter how dark the environment. The bezel’s knurled edge is carefully designed to offer excellent grip under water, even with gloves.</w:t>
      </w:r>
    </w:p>
    <w:bookmarkEnd w:id="0"/>
    <w:p w14:paraId="4BA3E27E" w14:textId="77777777" w:rsidR="003D03A5" w:rsidRDefault="003D03A5" w:rsidP="003D03A5">
      <w:pPr>
        <w:pStyle w:val="css-1n0jppr"/>
        <w:spacing w:before="0" w:beforeAutospacing="0" w:after="0" w:afterAutospacing="0" w:line="276" w:lineRule="auto"/>
        <w:rPr>
          <w:rFonts w:ascii="Helvetica" w:hAnsi="Helvetica" w:cs="Helvetica"/>
          <w:color w:val="000000" w:themeColor="text1"/>
        </w:rPr>
      </w:pPr>
    </w:p>
    <w:p w14:paraId="6934DE74" w14:textId="77777777" w:rsidR="003D03A5" w:rsidRPr="003D03A5" w:rsidRDefault="003D03A5" w:rsidP="00912F5A">
      <w:pPr>
        <w:pStyle w:val="Heading2"/>
        <w:spacing w:before="0" w:line="276" w:lineRule="auto"/>
        <w:rPr>
          <w:rFonts w:ascii="var(--secondary-font-family)" w:hAnsi="var(--secondary-font-family)"/>
          <w:color w:val="000000" w:themeColor="text1"/>
          <w:sz w:val="30"/>
        </w:rPr>
      </w:pPr>
      <w:r>
        <w:rPr>
          <w:rFonts w:ascii="Helvetica" w:hAnsi="Helvetica" w:cs="Helvetica"/>
          <w:noProof/>
          <w:color w:val="000000" w:themeColor="text1"/>
        </w:rPr>
        <w:lastRenderedPageBreak/>
        <w:drawing>
          <wp:anchor distT="0" distB="0" distL="114300" distR="114300" simplePos="0" relativeHeight="251662336" behindDoc="0" locked="0" layoutInCell="1" allowOverlap="1" wp14:anchorId="64ED779F" wp14:editId="05130288">
            <wp:simplePos x="0" y="0"/>
            <wp:positionH relativeFrom="margin">
              <wp:posOffset>4137660</wp:posOffset>
            </wp:positionH>
            <wp:positionV relativeFrom="paragraph">
              <wp:posOffset>0</wp:posOffset>
            </wp:positionV>
            <wp:extent cx="1859280" cy="2014220"/>
            <wp:effectExtent l="0" t="0" r="762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lac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03A5">
        <w:rPr>
          <w:rFonts w:ascii="var(--secondary-font-family)" w:hAnsi="var(--secondary-font-family)"/>
          <w:b/>
          <w:bCs/>
          <w:color w:val="000000" w:themeColor="text1"/>
          <w:sz w:val="30"/>
        </w:rPr>
        <w:t>Black dial</w:t>
      </w:r>
    </w:p>
    <w:p w14:paraId="2C46EA73" w14:textId="77777777" w:rsidR="003D03A5" w:rsidRPr="003D03A5" w:rsidRDefault="003D03A5" w:rsidP="00912F5A">
      <w:pPr>
        <w:pStyle w:val="Heading3"/>
        <w:spacing w:before="0" w:line="276" w:lineRule="auto"/>
        <w:rPr>
          <w:rFonts w:ascii="Times New Roman" w:hAnsi="Times New Roman"/>
          <w:b/>
          <w:bCs/>
          <w:color w:val="0070C0"/>
          <w:sz w:val="28"/>
        </w:rPr>
      </w:pPr>
      <w:r w:rsidRPr="003D03A5">
        <w:rPr>
          <w:b/>
          <w:color w:val="0070C0"/>
          <w:sz w:val="28"/>
        </w:rPr>
        <w:t>For legibility underwater</w:t>
      </w:r>
    </w:p>
    <w:p w14:paraId="379CFD3E" w14:textId="77777777" w:rsidR="003D03A5" w:rsidRPr="003D03A5" w:rsidRDefault="003D03A5" w:rsidP="00912F5A">
      <w:pPr>
        <w:pStyle w:val="css-1n0jppr"/>
        <w:spacing w:before="0" w:beforeAutospacing="0" w:after="0" w:afterAutospacing="0" w:line="276" w:lineRule="auto"/>
        <w:rPr>
          <w:rFonts w:ascii="Helvetica" w:hAnsi="Helvetica" w:cs="Helvetica"/>
          <w:color w:val="000000" w:themeColor="text1"/>
        </w:rPr>
      </w:pPr>
      <w:r w:rsidRPr="003D03A5">
        <w:rPr>
          <w:rFonts w:ascii="Helvetica" w:hAnsi="Helvetica" w:cs="Helvetica"/>
          <w:color w:val="000000" w:themeColor="text1"/>
        </w:rPr>
        <w:t>The dial’s luminescent Chromalight display is an innovation that improved visibility in dark environments, an essential feature for divers.</w:t>
      </w:r>
    </w:p>
    <w:p w14:paraId="1CAC0798" w14:textId="77777777" w:rsidR="003D03A5" w:rsidRDefault="003D03A5" w:rsidP="00912F5A">
      <w:pPr>
        <w:pStyle w:val="css-1n0jppr"/>
        <w:spacing w:before="0" w:beforeAutospacing="0" w:after="0" w:afterAutospacing="0" w:line="276" w:lineRule="auto"/>
        <w:rPr>
          <w:rFonts w:ascii="Helvetica" w:hAnsi="Helvetica" w:cs="Helvetica"/>
          <w:color w:val="000000" w:themeColor="text1"/>
        </w:rPr>
      </w:pPr>
      <w:r w:rsidRPr="003D03A5">
        <w:rPr>
          <w:rFonts w:ascii="Helvetica" w:hAnsi="Helvetica" w:cs="Helvetica"/>
          <w:color w:val="000000" w:themeColor="text1"/>
        </w:rPr>
        <w:t>Hour markers in simple shapes – triangles, circles, rectangles – and broad hour and minute hands enable instant and reliable reading to prevent any risk of confusion underwater.</w:t>
      </w:r>
    </w:p>
    <w:p w14:paraId="0EAC246B" w14:textId="77777777" w:rsidR="003D03A5" w:rsidRDefault="003D03A5" w:rsidP="003D03A5">
      <w:pPr>
        <w:pStyle w:val="css-1n0jppr"/>
        <w:spacing w:before="0" w:beforeAutospacing="0" w:after="0" w:afterAutospacing="0"/>
        <w:rPr>
          <w:rFonts w:ascii="Helvetica" w:hAnsi="Helvetica" w:cs="Helvetica"/>
          <w:color w:val="000000" w:themeColor="text1"/>
        </w:rPr>
      </w:pPr>
    </w:p>
    <w:p w14:paraId="7CFDDA4F" w14:textId="41C2442C" w:rsidR="003D03A5" w:rsidRDefault="00912F5A" w:rsidP="003D03A5">
      <w:pPr>
        <w:pStyle w:val="css-1n0jppr"/>
        <w:spacing w:before="0" w:beforeAutospacing="0" w:after="0" w:afterAutospacing="0"/>
        <w:rPr>
          <w:rFonts w:ascii="Helvetica" w:hAnsi="Helvetica" w:cs="Helvetica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9567CC5" wp14:editId="13D0D985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1935480" cy="2844165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--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D06CE" w14:textId="21476215" w:rsidR="003D03A5" w:rsidRDefault="003D03A5" w:rsidP="003D03A5">
      <w:pPr>
        <w:pStyle w:val="Heading2"/>
        <w:spacing w:before="0"/>
        <w:rPr>
          <w:rFonts w:ascii="var(--secondary-font-family)" w:hAnsi="var(--secondary-font-family)"/>
          <w:b/>
          <w:bCs/>
          <w:color w:val="000000" w:themeColor="text1"/>
          <w:sz w:val="30"/>
        </w:rPr>
      </w:pPr>
      <w:r>
        <w:rPr>
          <w:rFonts w:ascii="var(--secondary-font-family)" w:hAnsi="var(--secondary-font-family)"/>
          <w:b/>
          <w:bCs/>
          <w:color w:val="000000" w:themeColor="text1"/>
          <w:sz w:val="30"/>
        </w:rPr>
        <w:t xml:space="preserve">                                   </w:t>
      </w:r>
    </w:p>
    <w:p w14:paraId="55EADB49" w14:textId="77777777" w:rsidR="003D03A5" w:rsidRPr="003D03A5" w:rsidRDefault="003D03A5" w:rsidP="00912F5A">
      <w:pPr>
        <w:pStyle w:val="Heading2"/>
        <w:spacing w:before="0" w:line="276" w:lineRule="auto"/>
        <w:rPr>
          <w:rFonts w:ascii="var(--secondary-font-family)" w:hAnsi="var(--secondary-font-family)"/>
          <w:color w:val="000000" w:themeColor="text1"/>
          <w:sz w:val="30"/>
        </w:rPr>
      </w:pPr>
      <w:r>
        <w:rPr>
          <w:rFonts w:ascii="var(--secondary-font-family)" w:hAnsi="var(--secondary-font-family)"/>
          <w:b/>
          <w:bCs/>
          <w:color w:val="000000" w:themeColor="text1"/>
          <w:sz w:val="30"/>
        </w:rPr>
        <w:t xml:space="preserve"> </w:t>
      </w:r>
      <w:r w:rsidRPr="003D03A5">
        <w:rPr>
          <w:rFonts w:ascii="var(--secondary-font-family)" w:hAnsi="var(--secondary-font-family)"/>
          <w:b/>
          <w:bCs/>
          <w:color w:val="000000" w:themeColor="text1"/>
          <w:sz w:val="30"/>
        </w:rPr>
        <w:t>Oystersteel</w:t>
      </w:r>
    </w:p>
    <w:p w14:paraId="2DEB602E" w14:textId="77777777" w:rsidR="003D03A5" w:rsidRPr="003D03A5" w:rsidRDefault="003D03A5" w:rsidP="00912F5A">
      <w:pPr>
        <w:pStyle w:val="Heading3"/>
        <w:spacing w:before="0" w:line="276" w:lineRule="auto"/>
        <w:rPr>
          <w:rFonts w:ascii="Times New Roman" w:hAnsi="Times New Roman"/>
          <w:b/>
          <w:bCs/>
          <w:color w:val="0070C0"/>
          <w:sz w:val="28"/>
        </w:rPr>
      </w:pPr>
      <w:r w:rsidRPr="003D03A5">
        <w:rPr>
          <w:b/>
          <w:color w:val="0070C0"/>
          <w:sz w:val="28"/>
        </w:rPr>
        <w:t>Highly resistant to corrosion</w:t>
      </w:r>
    </w:p>
    <w:p w14:paraId="39D58453" w14:textId="77777777" w:rsidR="003D03A5" w:rsidRPr="003D03A5" w:rsidRDefault="003D03A5" w:rsidP="00912F5A">
      <w:pPr>
        <w:pStyle w:val="css-1n0jppr"/>
        <w:spacing w:before="0" w:beforeAutospacing="0" w:after="0" w:afterAutospacing="0" w:line="276" w:lineRule="auto"/>
        <w:rPr>
          <w:rFonts w:ascii="Helvetica" w:hAnsi="Helvetica" w:cs="Helvetica"/>
          <w:color w:val="000000" w:themeColor="text1"/>
        </w:rPr>
      </w:pPr>
      <w:r w:rsidRPr="003D03A5">
        <w:rPr>
          <w:rFonts w:ascii="Helvetica" w:hAnsi="Helvetica" w:cs="Helvetica"/>
          <w:color w:val="000000" w:themeColor="text1"/>
        </w:rPr>
        <w:t>Rolex uses Oystersteel for its steel watch cases. Specially developed by the brand, Oystersteel belongs to the 904L steel family, alloys most commonly used in high-technology and in the aerospace and chemical industries, where maximum resistance to corrosion is essential.</w:t>
      </w:r>
    </w:p>
    <w:p w14:paraId="4F424628" w14:textId="77777777" w:rsidR="003D03A5" w:rsidRDefault="003D03A5" w:rsidP="00912F5A">
      <w:pPr>
        <w:pStyle w:val="css-1n0jppr"/>
        <w:spacing w:before="0" w:beforeAutospacing="0" w:after="0" w:afterAutospacing="0" w:line="276" w:lineRule="auto"/>
        <w:rPr>
          <w:rFonts w:ascii="Helvetica" w:hAnsi="Helvetica" w:cs="Helvetica"/>
          <w:color w:val="000000" w:themeColor="text1"/>
        </w:rPr>
      </w:pPr>
      <w:r w:rsidRPr="003D03A5">
        <w:rPr>
          <w:rFonts w:ascii="Helvetica" w:hAnsi="Helvetica" w:cs="Helvetica"/>
          <w:color w:val="000000" w:themeColor="text1"/>
        </w:rPr>
        <w:t>Oystersteel is extremely resistant, offers an exceptional finish once polished and maintains its beauty even in the harshest environments.</w:t>
      </w:r>
    </w:p>
    <w:p w14:paraId="3C8A5CD9" w14:textId="77777777" w:rsidR="003D03A5" w:rsidRDefault="003D03A5" w:rsidP="003D03A5">
      <w:pPr>
        <w:pStyle w:val="css-1n0jppr"/>
        <w:spacing w:before="0" w:beforeAutospacing="0" w:after="0" w:afterAutospacing="0"/>
        <w:rPr>
          <w:rFonts w:ascii="Helvetica" w:hAnsi="Helvetica" w:cs="Helvetica"/>
          <w:color w:val="000000" w:themeColor="text1"/>
        </w:rPr>
      </w:pPr>
    </w:p>
    <w:p w14:paraId="2318D563" w14:textId="77777777" w:rsidR="003D03A5" w:rsidRDefault="003D03A5" w:rsidP="003D03A5">
      <w:pPr>
        <w:pStyle w:val="css-1n0jppr"/>
        <w:spacing w:before="0" w:beforeAutospacing="0" w:after="0" w:afterAutospacing="0"/>
        <w:rPr>
          <w:rFonts w:ascii="Helvetica" w:hAnsi="Helvetica" w:cs="Helvetica"/>
          <w:color w:val="000000" w:themeColor="text1"/>
        </w:rPr>
      </w:pPr>
    </w:p>
    <w:p w14:paraId="0ABF07AB" w14:textId="77777777" w:rsidR="000F60D5" w:rsidRDefault="000F60D5" w:rsidP="003D03A5">
      <w:pPr>
        <w:pStyle w:val="Heading2"/>
        <w:spacing w:before="0"/>
        <w:rPr>
          <w:rFonts w:ascii="var(--secondary-font-family)" w:hAnsi="var(--secondary-font-family)"/>
          <w:b/>
          <w:bCs/>
          <w:color w:val="000000" w:themeColor="text1"/>
        </w:rPr>
      </w:pPr>
    </w:p>
    <w:p w14:paraId="5D95D049" w14:textId="77777777" w:rsidR="000F60D5" w:rsidRDefault="000F60D5" w:rsidP="003D03A5">
      <w:pPr>
        <w:pStyle w:val="Heading2"/>
        <w:spacing w:before="0"/>
        <w:rPr>
          <w:rFonts w:ascii="var(--secondary-font-family)" w:hAnsi="var(--secondary-font-family)"/>
          <w:b/>
          <w:bCs/>
          <w:color w:val="000000" w:themeColor="text1"/>
        </w:rPr>
      </w:pPr>
    </w:p>
    <w:p w14:paraId="57645DF4" w14:textId="77777777" w:rsidR="003D03A5" w:rsidRPr="003D03A5" w:rsidRDefault="003D03A5" w:rsidP="00912F5A">
      <w:pPr>
        <w:pStyle w:val="Heading2"/>
        <w:spacing w:before="0" w:line="276" w:lineRule="auto"/>
        <w:rPr>
          <w:rFonts w:ascii="var(--secondary-font-family)" w:hAnsi="var(--secondary-font-family)"/>
          <w:color w:val="000000" w:themeColor="text1"/>
        </w:rPr>
      </w:pPr>
      <w:r w:rsidRPr="003D03A5">
        <w:rPr>
          <w:rFonts w:ascii="var(--secondary-font-family)" w:hAnsi="var(--secondary-font-family)"/>
          <w:b/>
          <w:bCs/>
          <w:color w:val="000000" w:themeColor="text1"/>
        </w:rPr>
        <w:t>The Oyster bracelet</w:t>
      </w:r>
    </w:p>
    <w:p w14:paraId="407546E3" w14:textId="77777777" w:rsidR="003D03A5" w:rsidRPr="003D03A5" w:rsidRDefault="003D03A5" w:rsidP="00912F5A">
      <w:pPr>
        <w:pStyle w:val="Heading3"/>
        <w:spacing w:before="0" w:line="276" w:lineRule="auto"/>
        <w:rPr>
          <w:rFonts w:ascii="Times New Roman" w:hAnsi="Times New Roman"/>
          <w:b/>
          <w:bCs/>
          <w:color w:val="000000" w:themeColor="text1"/>
          <w:sz w:val="28"/>
        </w:rPr>
      </w:pPr>
      <w:r w:rsidRPr="003D03A5">
        <w:rPr>
          <w:b/>
          <w:sz w:val="28"/>
        </w:rPr>
        <w:t>Alchemy of form and function</w:t>
      </w:r>
    </w:p>
    <w:p w14:paraId="6E2D45DC" w14:textId="77777777" w:rsidR="003D03A5" w:rsidRPr="003D03A5" w:rsidRDefault="003D03A5" w:rsidP="00912F5A">
      <w:pPr>
        <w:pStyle w:val="css-1n0jppr"/>
        <w:spacing w:before="0" w:beforeAutospacing="0" w:after="0" w:afterAutospacing="0" w:line="276" w:lineRule="auto"/>
        <w:rPr>
          <w:rFonts w:ascii="Helvetica" w:hAnsi="Helvetica" w:cs="Helvetica"/>
          <w:color w:val="000000" w:themeColor="text1"/>
        </w:rPr>
      </w:pPr>
      <w:r w:rsidRPr="003D03A5">
        <w:rPr>
          <w:rFonts w:ascii="Helvetica" w:hAnsi="Helvetica" w:cs="Helvetica"/>
          <w:color w:val="000000" w:themeColor="text1"/>
        </w:rPr>
        <w:t>The Oyster bracelet is a perfect alchemy of form and function, aesthetics and technology, designed to be both robust and comfortable.</w:t>
      </w:r>
    </w:p>
    <w:p w14:paraId="59DDE921" w14:textId="77777777" w:rsidR="003D03A5" w:rsidRPr="003D03A5" w:rsidRDefault="003D03A5" w:rsidP="00912F5A">
      <w:pPr>
        <w:pStyle w:val="css-1n0jppr"/>
        <w:spacing w:before="0" w:beforeAutospacing="0" w:after="0" w:afterAutospacing="0" w:line="276" w:lineRule="auto"/>
        <w:rPr>
          <w:rFonts w:ascii="Helvetica" w:hAnsi="Helvetica" w:cs="Helvetica"/>
          <w:color w:val="000000" w:themeColor="text1"/>
        </w:rPr>
      </w:pPr>
      <w:r w:rsidRPr="003D03A5">
        <w:rPr>
          <w:rFonts w:ascii="Helvetica" w:hAnsi="Helvetica" w:cs="Helvetica"/>
          <w:color w:val="000000" w:themeColor="text1"/>
        </w:rPr>
        <w:t>It is equipped with an Oysterlock clasp, which prevents accidental opening, and an ingenious Glidelock, allowing fine adjustments of the bracelet without using any tools — and allowing it to be worn comfortably over a diving suit.</w:t>
      </w:r>
    </w:p>
    <w:p w14:paraId="31457985" w14:textId="77777777" w:rsidR="003D03A5" w:rsidRPr="003D03A5" w:rsidRDefault="003D03A5" w:rsidP="003D03A5">
      <w:pPr>
        <w:pStyle w:val="css-1n0jppr"/>
        <w:spacing w:before="0" w:beforeAutospacing="0" w:after="0" w:afterAutospacing="0"/>
        <w:rPr>
          <w:rFonts w:ascii="Helvetica" w:hAnsi="Helvetica" w:cs="Helvetica"/>
          <w:color w:val="000000" w:themeColor="text1"/>
        </w:rPr>
      </w:pPr>
    </w:p>
    <w:p w14:paraId="5153B7AF" w14:textId="77777777" w:rsidR="003D03A5" w:rsidRPr="003D03A5" w:rsidRDefault="003D03A5" w:rsidP="003D03A5">
      <w:pPr>
        <w:pStyle w:val="css-1n0jppr"/>
        <w:spacing w:before="0" w:beforeAutospacing="0" w:after="0" w:afterAutospacing="0"/>
        <w:rPr>
          <w:rFonts w:ascii="Helvetica" w:hAnsi="Helvetica" w:cs="Helvetica"/>
          <w:color w:val="000000" w:themeColor="text1"/>
        </w:rPr>
      </w:pPr>
    </w:p>
    <w:p w14:paraId="13BAA2A6" w14:textId="77777777" w:rsidR="003D03A5" w:rsidRPr="003D03A5" w:rsidRDefault="003D03A5" w:rsidP="003D03A5">
      <w:pPr>
        <w:pStyle w:val="css-1n0jppr"/>
        <w:spacing w:before="0" w:beforeAutospacing="0" w:after="0" w:afterAutospacing="0"/>
        <w:rPr>
          <w:rFonts w:ascii="Helvetica" w:hAnsi="Helvetica" w:cs="Helvetica"/>
          <w:color w:val="000000" w:themeColor="text1"/>
        </w:rPr>
      </w:pPr>
    </w:p>
    <w:p w14:paraId="79FE6742" w14:textId="77777777" w:rsidR="003D03A5" w:rsidRPr="003D03A5" w:rsidRDefault="003D03A5" w:rsidP="003D03A5"/>
    <w:p w14:paraId="2FCC4E95" w14:textId="77777777" w:rsidR="003D03A5" w:rsidRPr="003D03A5" w:rsidRDefault="003D03A5" w:rsidP="003D03A5"/>
    <w:sectPr w:rsidR="003D03A5" w:rsidRPr="003D03A5" w:rsidSect="003D03A5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ar(--secondary-font-family)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3A5"/>
    <w:rsid w:val="000F60D5"/>
    <w:rsid w:val="003D03A5"/>
    <w:rsid w:val="006A3A2B"/>
    <w:rsid w:val="00912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694B9"/>
  <w15:chartTrackingRefBased/>
  <w15:docId w15:val="{5E569A53-D3EE-43F8-A7A3-182A8C36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3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3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3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3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3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3D03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D03A5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03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css-1n0jppr">
    <w:name w:val="css-1n0jppr"/>
    <w:basedOn w:val="Normal"/>
    <w:rsid w:val="003D03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2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60F1E-0AD9-4658-B45D-D0D8E2088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308</Words>
  <Characters>1758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21</vt:i4>
      </vt:variant>
    </vt:vector>
  </HeadingPairs>
  <TitlesOfParts>
    <vt:vector size="22" baseType="lpstr">
      <vt:lpstr/>
      <vt:lpstr>Submariner Date</vt:lpstr>
      <vt:lpstr>    /The Oyster Perpetual Submariner Date in Oystersteel with a Cerachrom bezel inse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Unidirectional Rotatable Bezel</vt:lpstr>
      <vt:lpstr>        An underwater tool</vt:lpstr>
      <vt:lpstr>    /Black dial</vt:lpstr>
      <vt:lpstr>        For legibility underwater</vt:lpstr>
      <vt:lpstr>    </vt:lpstr>
      <vt:lpstr>    Oystersteel</vt:lpstr>
      <vt:lpstr>        Highly resistant to corrosion</vt:lpstr>
      <vt:lpstr>    </vt:lpstr>
      <vt:lpstr>    </vt:lpstr>
      <vt:lpstr>    The Oyster bracelet</vt:lpstr>
      <vt:lpstr>        Alchemy of form and function</vt:lpstr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SUNAINA</dc:creator>
  <cp:keywords/>
  <dc:description/>
  <cp:lastModifiedBy>SUNAINA</cp:lastModifiedBy>
  <cp:revision>2</cp:revision>
  <dcterms:created xsi:type="dcterms:W3CDTF">2024-01-27T16:57:00Z</dcterms:created>
  <dcterms:modified xsi:type="dcterms:W3CDTF">2024-01-27T17:19:00Z</dcterms:modified>
</cp:coreProperties>
</file>