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CAUSALITY, SERIOUSNESS &amp; EXPECTEDNESS</w:t>
        <w:br/>
        <w:t>ASSESSMENT</w:t>
      </w:r>
    </w:p>
    <w:p>
      <w:pPr>
        <w:jc w:val="center"/>
      </w:pPr>
      <w:r>
        <w:rPr>
          <w:b/>
          <w:sz w:val="24"/>
        </w:rPr>
        <w:t>EdVyro Pharmacovigilance Internship | Task 04</w:t>
      </w:r>
    </w:p>
    <w:p>
      <w:pPr>
        <w:jc w:val="center"/>
      </w:pPr>
      <w:r>
        <w:t>Prepared by: Meivel G. | B.Pharm</w:t>
      </w:r>
    </w:p>
    <w:p>
      <w:pPr>
        <w:pStyle w:val="Heading1"/>
      </w:pPr>
      <w:r>
        <w:t>1. Objective and scope</w:t>
      </w:r>
    </w:p>
    <w:p>
      <w:r>
        <w:t>To review the four fictional Velunex safety cases (PV-201 to PV-204) and document case-validity elements, seriousness, severity where supplied, expectedness against the provided fictional reference, cautious causality reasoning, missing information, and follow-up questions. This is a training exercise only and is not for real safety reporting.</w:t>
      </w:r>
    </w:p>
    <w:p>
      <w:pPr>
        <w:pStyle w:val="Heading1"/>
      </w:pPr>
      <w:r>
        <w:t>2. Reference safety information (RSI)</w:t>
      </w:r>
    </w:p>
    <w:p>
      <w:r>
        <w:t>The supplied fictional Velunex reference lists the following expected adverse reactions: transient headache, nausea, dizziness, and, less commonly, a mild self-limiting rash. No other event is listed as expected. Expectedness is assessed by comparing the reported event's nature with this list; it does not establish causality or imply that an event is harmless.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spacing w:after="0"/>
            </w:pPr>
            <w:r/>
            <w:r>
              <w:rPr>
                <w:rFonts w:ascii="Aptos" w:hAnsi="Aptos"/>
                <w:b/>
                <w:color w:val="FFFFFF"/>
                <w:sz w:val="16"/>
              </w:rPr>
              <w:t>Reference-listed event</w:t>
            </w:r>
          </w:p>
        </w:tc>
        <w:tc>
          <w:tcPr>
            <w:tcW w:type="dxa" w:w="5184"/>
            <w:vAlign w:val="center"/>
            <w:shd w:fill="1F4E79"/>
          </w:tcPr>
          <w:p>
            <w:pPr>
              <w:spacing w:after="0"/>
            </w:pPr>
            <w:r/>
            <w:r>
              <w:rPr>
                <w:rFonts w:ascii="Aptos" w:hAnsi="Aptos"/>
                <w:b/>
                <w:color w:val="FFFFFF"/>
                <w:sz w:val="16"/>
              </w:rPr>
              <w:t>Expectedness interpretation for this exercise</w:t>
            </w:r>
          </w:p>
        </w:tc>
      </w:tr>
      <w:tr>
        <w:tc>
          <w:tcPr>
            <w:tcW w:type="dxa" w:w="5184"/>
            <w:vAlign w:val="center"/>
          </w:tcPr>
          <w:p>
            <w:pPr>
              <w:spacing w:after="0"/>
            </w:pPr>
            <w:r/>
            <w:r>
              <w:rPr>
                <w:rFonts w:ascii="Aptos" w:hAnsi="Aptos"/>
                <w:b w:val="0"/>
                <w:sz w:val="16"/>
              </w:rPr>
              <w:t>Transient headache</w:t>
            </w:r>
          </w:p>
        </w:tc>
        <w:tc>
          <w:tcPr>
            <w:tcW w:type="dxa" w:w="5184"/>
            <w:vAlign w:val="center"/>
          </w:tcPr>
          <w:p>
            <w:pPr>
              <w:spacing w:after="0"/>
            </w:pPr>
            <w:r/>
            <w:r>
              <w:rPr>
                <w:rFonts w:ascii="Aptos" w:hAnsi="Aptos"/>
                <w:b w:val="0"/>
                <w:sz w:val="16"/>
              </w:rPr>
              <w:t>Listed as expected when nature is consistent with reference</w:t>
            </w:r>
          </w:p>
        </w:tc>
      </w:tr>
      <w:tr>
        <w:tc>
          <w:tcPr>
            <w:tcW w:type="dxa" w:w="5184"/>
            <w:vAlign w:val="center"/>
          </w:tcPr>
          <w:p>
            <w:pPr>
              <w:spacing w:after="0"/>
            </w:pPr>
            <w:r/>
            <w:r>
              <w:rPr>
                <w:rFonts w:ascii="Aptos" w:hAnsi="Aptos"/>
                <w:b w:val="0"/>
                <w:sz w:val="16"/>
              </w:rPr>
              <w:t>Nausea</w:t>
            </w:r>
          </w:p>
        </w:tc>
        <w:tc>
          <w:tcPr>
            <w:tcW w:type="dxa" w:w="5184"/>
            <w:vAlign w:val="center"/>
          </w:tcPr>
          <w:p>
            <w:pPr>
              <w:spacing w:after="0"/>
            </w:pPr>
            <w:r/>
            <w:r>
              <w:rPr>
                <w:rFonts w:ascii="Aptos" w:hAnsi="Aptos"/>
                <w:b w:val="0"/>
                <w:sz w:val="16"/>
              </w:rPr>
              <w:t>Listed as expected when nature is consistent with reference</w:t>
            </w:r>
          </w:p>
        </w:tc>
      </w:tr>
      <w:tr>
        <w:tc>
          <w:tcPr>
            <w:tcW w:type="dxa" w:w="5184"/>
            <w:vAlign w:val="center"/>
          </w:tcPr>
          <w:p>
            <w:pPr>
              <w:spacing w:after="0"/>
            </w:pPr>
            <w:r/>
            <w:r>
              <w:rPr>
                <w:rFonts w:ascii="Aptos" w:hAnsi="Aptos"/>
                <w:b w:val="0"/>
                <w:sz w:val="16"/>
              </w:rPr>
              <w:t>Dizziness</w:t>
            </w:r>
          </w:p>
        </w:tc>
        <w:tc>
          <w:tcPr>
            <w:tcW w:type="dxa" w:w="5184"/>
            <w:vAlign w:val="center"/>
          </w:tcPr>
          <w:p>
            <w:pPr>
              <w:spacing w:after="0"/>
            </w:pPr>
            <w:r/>
            <w:r>
              <w:rPr>
                <w:rFonts w:ascii="Aptos" w:hAnsi="Aptos"/>
                <w:b w:val="0"/>
                <w:sz w:val="16"/>
              </w:rPr>
              <w:t>Listed as expected when nature is consistent with reference</w:t>
            </w:r>
          </w:p>
        </w:tc>
      </w:tr>
      <w:tr>
        <w:tc>
          <w:tcPr>
            <w:tcW w:type="dxa" w:w="5184"/>
            <w:vAlign w:val="center"/>
          </w:tcPr>
          <w:p>
            <w:pPr>
              <w:spacing w:after="0"/>
            </w:pPr>
            <w:r/>
            <w:r>
              <w:rPr>
                <w:rFonts w:ascii="Aptos" w:hAnsi="Aptos"/>
                <w:b w:val="0"/>
                <w:sz w:val="16"/>
              </w:rPr>
              <w:t>Mild self-limiting rash</w:t>
            </w:r>
          </w:p>
        </w:tc>
        <w:tc>
          <w:tcPr>
            <w:tcW w:type="dxa" w:w="5184"/>
            <w:vAlign w:val="center"/>
          </w:tcPr>
          <w:p>
            <w:pPr>
              <w:spacing w:after="0"/>
            </w:pPr>
            <w:r/>
            <w:r>
              <w:rPr>
                <w:rFonts w:ascii="Aptos" w:hAnsi="Aptos"/>
                <w:b w:val="0"/>
                <w:sz w:val="16"/>
              </w:rPr>
              <w:t>Listed as expected when nature is consistent with reference</w:t>
            </w:r>
          </w:p>
        </w:tc>
      </w:tr>
      <w:tr>
        <w:tc>
          <w:tcPr>
            <w:tcW w:type="dxa" w:w="5184"/>
            <w:vAlign w:val="center"/>
          </w:tcPr>
          <w:p>
            <w:pPr>
              <w:spacing w:after="0"/>
            </w:pPr>
            <w:r/>
            <w:r>
              <w:rPr>
                <w:rFonts w:ascii="Aptos" w:hAnsi="Aptos"/>
                <w:b w:val="0"/>
                <w:sz w:val="16"/>
              </w:rPr>
              <w:t>Appendicitis; loss of consciousness</w:t>
            </w:r>
          </w:p>
        </w:tc>
        <w:tc>
          <w:tcPr>
            <w:tcW w:type="dxa" w:w="5184"/>
            <w:vAlign w:val="center"/>
          </w:tcPr>
          <w:p>
            <w:pPr>
              <w:spacing w:after="0"/>
            </w:pPr>
            <w:r/>
            <w:r>
              <w:rPr>
                <w:rFonts w:ascii="Aptos" w:hAnsi="Aptos"/>
                <w:b w:val="0"/>
                <w:sz w:val="16"/>
              </w:rPr>
              <w:t>Not listed; classify as unexpected against this fictional reference</w:t>
            </w:r>
          </w:p>
        </w:tc>
      </w:tr>
    </w:tbl>
    <w:p>
      <w:pPr>
        <w:pStyle w:val="Heading1"/>
      </w:pPr>
      <w:r>
        <w:t>3. Assessment approach</w:t>
      </w:r>
    </w:p>
    <w:p>
      <w:pPr>
        <w:pStyle w:val="ListBullet"/>
      </w:pPr>
      <w:r>
        <w:t>Case validity: check the four minimum elements—identifiable patient, identifiable reporter, suspect product, and adverse event. The supplied brief does not provide all four elements for any case; therefore, case validity cannot be fully confirmed from the case summaries alone.</w:t>
      </w:r>
    </w:p>
    <w:p>
      <w:pPr>
        <w:pStyle w:val="ListBullet"/>
      </w:pPr>
      <w:r>
        <w:t>Causality: use a reasoned WHO-UMC-style qualitative judgement based on chronology, dechallenge/rechallenge, alternative causes, concomitant products, and clinical evidence. Temporal association alone does not prove causation.</w:t>
      </w:r>
    </w:p>
    <w:p>
      <w:pPr>
        <w:pStyle w:val="ListBullet"/>
      </w:pPr>
      <w:r>
        <w:t>Seriousness: assess regulatory outcome criteria (death, life-threatening event, inpatient hospitalization/prolongation, persistent/significant disability, congenital anomaly, or another medically important event). Seriousness is distinct from symptom severity.</w:t>
      </w:r>
    </w:p>
    <w:p>
      <w:pPr>
        <w:pStyle w:val="ListBullet"/>
      </w:pPr>
      <w:r>
        <w:t>Severity: record symptom intensity only where supplied. Do not infer severity from seriousness or vice versa.</w:t>
      </w:r>
    </w:p>
    <w:p>
      <w:pPr>
        <w:pStyle w:val="ListBullet"/>
      </w:pPr>
      <w:r>
        <w:t>Expectedness: compare the reported event term and nature with the fictional Velunex list in Section 2.</w:t>
      </w:r>
    </w:p>
    <w:p>
      <w:pPr>
        <w:pStyle w:val="Heading2"/>
      </w:pPr>
      <w:r>
        <w:t>PV-201 — Dizziness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rFonts w:ascii="Aptos" w:hAnsi="Aptos"/>
                <w:b/>
                <w:color w:val="1F4E79"/>
                <w:sz w:val="15"/>
              </w:rPr>
              <w:t>Case facts</w:t>
            </w:r>
          </w:p>
        </w:tc>
        <w:tc>
          <w:tcPr>
            <w:tcW w:type="dxa" w:w="5184"/>
            <w:vAlign w:val="center"/>
          </w:tcPr>
          <w:p>
            <w:pPr>
              <w:spacing w:after="0"/>
            </w:pPr>
            <w:r/>
            <w:r>
              <w:rPr>
                <w:rFonts w:ascii="Aptos" w:hAnsi="Aptos"/>
                <w:b w:val="0"/>
                <w:sz w:val="15"/>
              </w:rPr>
              <w:t>Dizziness began two hours after first use of Velunex, resolved the same day, and required no treatment or hospitalisation.</w:t>
            </w:r>
          </w:p>
        </w:tc>
      </w:tr>
      <w:tr>
        <w:tc>
          <w:tcPr>
            <w:tcW w:type="dxa" w:w="5184"/>
            <w:vAlign w:val="center"/>
            <w:shd w:fill="D9EAF7"/>
          </w:tcPr>
          <w:p>
            <w:pPr>
              <w:spacing w:after="0"/>
            </w:pPr>
            <w:r/>
            <w:r>
              <w:rPr>
                <w:rFonts w:ascii="Aptos" w:hAnsi="Aptos"/>
                <w:b/>
                <w:color w:val="1F4E79"/>
                <w:sz w:val="15"/>
              </w:rPr>
              <w:t>Minimum case validity</w:t>
            </w:r>
          </w:p>
        </w:tc>
        <w:tc>
          <w:tcPr>
            <w:tcW w:type="dxa" w:w="5184"/>
            <w:vAlign w:val="center"/>
          </w:tcPr>
          <w:p>
            <w:pPr>
              <w:spacing w:after="0"/>
            </w:pPr>
            <w:r/>
            <w:r>
              <w:rPr>
                <w:rFonts w:ascii="Aptos" w:hAnsi="Aptos"/>
                <w:b w:val="0"/>
                <w:sz w:val="15"/>
              </w:rPr>
              <w:t>The summary identifies a suspect product context and an adverse event. Identifiable patient and reporter details are not provided in the brief; all four minimum validity elements cannot be confirmed.</w:t>
            </w:r>
          </w:p>
        </w:tc>
      </w:tr>
      <w:tr>
        <w:tc>
          <w:tcPr>
            <w:tcW w:type="dxa" w:w="5184"/>
            <w:vAlign w:val="center"/>
            <w:shd w:fill="D9EAF7"/>
          </w:tcPr>
          <w:p>
            <w:pPr>
              <w:spacing w:after="0"/>
            </w:pPr>
            <w:r/>
            <w:r>
              <w:rPr>
                <w:rFonts w:ascii="Aptos" w:hAnsi="Aptos"/>
                <w:b/>
                <w:color w:val="1F4E79"/>
                <w:sz w:val="15"/>
              </w:rPr>
              <w:t>Seriousness and criterion</w:t>
            </w:r>
          </w:p>
        </w:tc>
        <w:tc>
          <w:tcPr>
            <w:tcW w:type="dxa" w:w="5184"/>
            <w:vAlign w:val="center"/>
          </w:tcPr>
          <w:p>
            <w:pPr>
              <w:spacing w:after="0"/>
            </w:pPr>
            <w:r/>
            <w:r>
              <w:rPr>
                <w:rFonts w:ascii="Aptos" w:hAnsi="Aptos"/>
                <w:b w:val="0"/>
                <w:sz w:val="15"/>
              </w:rPr>
              <w:t>Non-serious based on the supplied information: no seriousness outcome criterion is reported, and there was no hospitalisation. Confirm that no other medically important outcome occurred.</w:t>
            </w:r>
          </w:p>
        </w:tc>
      </w:tr>
      <w:tr>
        <w:tc>
          <w:tcPr>
            <w:tcW w:type="dxa" w:w="5184"/>
            <w:vAlign w:val="center"/>
            <w:shd w:fill="D9EAF7"/>
          </w:tcPr>
          <w:p>
            <w:pPr>
              <w:spacing w:after="0"/>
            </w:pPr>
            <w:r/>
            <w:r>
              <w:rPr>
                <w:rFonts w:ascii="Aptos" w:hAnsi="Aptos"/>
                <w:b/>
                <w:color w:val="1F4E79"/>
                <w:sz w:val="15"/>
              </w:rPr>
              <w:t>Severity</w:t>
            </w:r>
          </w:p>
        </w:tc>
        <w:tc>
          <w:tcPr>
            <w:tcW w:type="dxa" w:w="5184"/>
            <w:vAlign w:val="center"/>
          </w:tcPr>
          <w:p>
            <w:pPr>
              <w:spacing w:after="0"/>
            </w:pPr>
            <w:r/>
            <w:r>
              <w:rPr>
                <w:rFonts w:ascii="Aptos" w:hAnsi="Aptos"/>
                <w:b w:val="0"/>
                <w:sz w:val="15"/>
              </w:rPr>
              <w:t>Not explicitly graded. The event resolved the same day without treatment; do not assign a formal mild/moderate/severe grade unless the case source supports it.</w:t>
            </w:r>
          </w:p>
        </w:tc>
      </w:tr>
      <w:tr>
        <w:tc>
          <w:tcPr>
            <w:tcW w:type="dxa" w:w="5184"/>
            <w:vAlign w:val="center"/>
            <w:shd w:fill="D9EAF7"/>
          </w:tcPr>
          <w:p>
            <w:pPr>
              <w:spacing w:after="0"/>
            </w:pPr>
            <w:r/>
            <w:r>
              <w:rPr>
                <w:rFonts w:ascii="Aptos" w:hAnsi="Aptos"/>
                <w:b/>
                <w:color w:val="1F4E79"/>
                <w:sz w:val="15"/>
              </w:rPr>
              <w:t>Expectedness</w:t>
            </w:r>
          </w:p>
        </w:tc>
        <w:tc>
          <w:tcPr>
            <w:tcW w:type="dxa" w:w="5184"/>
            <w:vAlign w:val="center"/>
          </w:tcPr>
          <w:p>
            <w:pPr>
              <w:spacing w:after="0"/>
            </w:pPr>
            <w:r/>
            <w:r>
              <w:rPr>
                <w:rFonts w:ascii="Aptos" w:hAnsi="Aptos"/>
                <w:b w:val="0"/>
                <w:sz w:val="15"/>
              </w:rPr>
              <w:t>Expected. Dizziness is specifically listed in the supplied fictional Velunex reference.</w:t>
            </w:r>
          </w:p>
        </w:tc>
      </w:tr>
      <w:tr>
        <w:tc>
          <w:tcPr>
            <w:tcW w:type="dxa" w:w="5184"/>
            <w:vAlign w:val="center"/>
            <w:shd w:fill="D9EAF7"/>
          </w:tcPr>
          <w:p>
            <w:pPr>
              <w:spacing w:after="0"/>
            </w:pPr>
            <w:r/>
            <w:r>
              <w:rPr>
                <w:rFonts w:ascii="Aptos" w:hAnsi="Aptos"/>
                <w:b/>
                <w:color w:val="1F4E79"/>
                <w:sz w:val="15"/>
              </w:rPr>
              <w:t>Causality reasoning</w:t>
            </w:r>
          </w:p>
        </w:tc>
        <w:tc>
          <w:tcPr>
            <w:tcW w:type="dxa" w:w="5184"/>
            <w:vAlign w:val="center"/>
          </w:tcPr>
          <w:p>
            <w:pPr>
              <w:spacing w:after="0"/>
            </w:pPr>
            <w:r/>
            <w:r>
              <w:rPr>
                <w:rFonts w:ascii="Aptos" w:hAnsi="Aptos"/>
                <w:b w:val="0"/>
                <w:sz w:val="15"/>
              </w:rPr>
              <w:t>Possible relationship (provisional): onset two hours after first use supports temporal plausibility. Resolution the same day is compatible with a transient event, but no rechallenge, alternative-cause assessment, or clinical details are provided. The case does not prove causation.</w:t>
            </w:r>
          </w:p>
        </w:tc>
      </w:tr>
      <w:tr>
        <w:tc>
          <w:tcPr>
            <w:tcW w:type="dxa" w:w="5184"/>
            <w:vAlign w:val="center"/>
            <w:shd w:fill="D9EAF7"/>
          </w:tcPr>
          <w:p>
            <w:pPr>
              <w:spacing w:after="0"/>
            </w:pPr>
            <w:r/>
            <w:r>
              <w:rPr>
                <w:rFonts w:ascii="Aptos" w:hAnsi="Aptos"/>
                <w:b/>
                <w:color w:val="1F4E79"/>
                <w:sz w:val="15"/>
              </w:rPr>
              <w:t>Missing information</w:t>
            </w:r>
          </w:p>
        </w:tc>
        <w:tc>
          <w:tcPr>
            <w:tcW w:type="dxa" w:w="5184"/>
            <w:vAlign w:val="center"/>
          </w:tcPr>
          <w:p>
            <w:pPr>
              <w:spacing w:after="0"/>
            </w:pPr>
            <w:r/>
            <w:r>
              <w:rPr>
                <w:rFonts w:ascii="Aptos" w:hAnsi="Aptos"/>
                <w:b w:val="0"/>
                <w:sz w:val="15"/>
              </w:rPr>
              <w:t>Patient/reporter identifiers sufficient for validity; dose and administration details; exact onset/resolution dates and times; medical history; concomitant medicines/products; relevant alternative causes; outcome confirmation.</w:t>
            </w:r>
          </w:p>
        </w:tc>
      </w:tr>
      <w:tr>
        <w:tc>
          <w:tcPr>
            <w:tcW w:type="dxa" w:w="5184"/>
            <w:vAlign w:val="center"/>
            <w:shd w:fill="D9EAF7"/>
          </w:tcPr>
          <w:p>
            <w:pPr>
              <w:spacing w:after="0"/>
            </w:pPr>
            <w:r/>
            <w:r>
              <w:rPr>
                <w:rFonts w:ascii="Aptos" w:hAnsi="Aptos"/>
                <w:b/>
                <w:color w:val="1F4E79"/>
                <w:sz w:val="15"/>
              </w:rPr>
              <w:t>Follow-up questions/actions</w:t>
            </w:r>
          </w:p>
        </w:tc>
        <w:tc>
          <w:tcPr>
            <w:tcW w:type="dxa" w:w="5184"/>
            <w:vAlign w:val="center"/>
          </w:tcPr>
          <w:p>
            <w:pPr>
              <w:spacing w:after="0"/>
            </w:pPr>
            <w:r/>
            <w:r>
              <w:rPr>
                <w:rFonts w:ascii="Aptos" w:hAnsi="Aptos"/>
                <w:b w:val="0"/>
                <w:sz w:val="15"/>
              </w:rPr>
              <w:t>Confirm the four minimum case elements; document dose and dates; ask about other medicines, conditions, food or other possible causes; confirm outcome and whether any treatment or medical evaluation occurred.</w:t>
            </w:r>
          </w:p>
        </w:tc>
      </w:tr>
    </w:tbl>
    <w:p>
      <w:pPr>
        <w:pStyle w:val="Heading2"/>
      </w:pPr>
      <w:r>
        <w:t>PV-202 — Appendicitis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rFonts w:ascii="Aptos" w:hAnsi="Aptos"/>
                <w:b/>
                <w:color w:val="1F4E79"/>
                <w:sz w:val="15"/>
              </w:rPr>
              <w:t>Case facts</w:t>
            </w:r>
          </w:p>
        </w:tc>
        <w:tc>
          <w:tcPr>
            <w:tcW w:type="dxa" w:w="5184"/>
            <w:vAlign w:val="center"/>
          </w:tcPr>
          <w:p>
            <w:pPr>
              <w:spacing w:after="0"/>
            </w:pPr>
            <w:r/>
            <w:r>
              <w:rPr>
                <w:rFonts w:ascii="Aptos" w:hAnsi="Aptos"/>
                <w:b w:val="0"/>
                <w:sz w:val="15"/>
              </w:rPr>
              <w:t>Appendicitis occurred three weeks after first use of Velunex and required hospitalisation. Medical history is incomplete.</w:t>
            </w:r>
          </w:p>
        </w:tc>
      </w:tr>
      <w:tr>
        <w:tc>
          <w:tcPr>
            <w:tcW w:type="dxa" w:w="5184"/>
            <w:vAlign w:val="center"/>
            <w:shd w:fill="D9EAF7"/>
          </w:tcPr>
          <w:p>
            <w:pPr>
              <w:spacing w:after="0"/>
            </w:pPr>
            <w:r/>
            <w:r>
              <w:rPr>
                <w:rFonts w:ascii="Aptos" w:hAnsi="Aptos"/>
                <w:b/>
                <w:color w:val="1F4E79"/>
                <w:sz w:val="15"/>
              </w:rPr>
              <w:t>Minimum case validity</w:t>
            </w:r>
          </w:p>
        </w:tc>
        <w:tc>
          <w:tcPr>
            <w:tcW w:type="dxa" w:w="5184"/>
            <w:vAlign w:val="center"/>
          </w:tcPr>
          <w:p>
            <w:pPr>
              <w:spacing w:after="0"/>
            </w:pPr>
            <w:r/>
            <w:r>
              <w:rPr>
                <w:rFonts w:ascii="Aptos" w:hAnsi="Aptos"/>
                <w:b w:val="0"/>
                <w:sz w:val="15"/>
              </w:rPr>
              <w:t>The suspect product, event, and a chronology are described. Identifiable patient and reporter details are absent from the summary; validity cannot be fully confirmed.</w:t>
            </w:r>
          </w:p>
        </w:tc>
      </w:tr>
      <w:tr>
        <w:tc>
          <w:tcPr>
            <w:tcW w:type="dxa" w:w="5184"/>
            <w:vAlign w:val="center"/>
            <w:shd w:fill="D9EAF7"/>
          </w:tcPr>
          <w:p>
            <w:pPr>
              <w:spacing w:after="0"/>
            </w:pPr>
            <w:r/>
            <w:r>
              <w:rPr>
                <w:rFonts w:ascii="Aptos" w:hAnsi="Aptos"/>
                <w:b/>
                <w:color w:val="1F4E79"/>
                <w:sz w:val="15"/>
              </w:rPr>
              <w:t>Seriousness and criterion</w:t>
            </w:r>
          </w:p>
        </w:tc>
        <w:tc>
          <w:tcPr>
            <w:tcW w:type="dxa" w:w="5184"/>
            <w:vAlign w:val="center"/>
          </w:tcPr>
          <w:p>
            <w:pPr>
              <w:spacing w:after="0"/>
            </w:pPr>
            <w:r/>
            <w:r>
              <w:rPr>
                <w:rFonts w:ascii="Aptos" w:hAnsi="Aptos"/>
                <w:b w:val="0"/>
                <w:sz w:val="15"/>
              </w:rPr>
              <w:t>Serious — hospitalisation is reported. Confirm that this was inpatient hospitalisation and obtain admission/discharge dates and the reason for admission.</w:t>
            </w:r>
          </w:p>
        </w:tc>
      </w:tr>
      <w:tr>
        <w:tc>
          <w:tcPr>
            <w:tcW w:type="dxa" w:w="5184"/>
            <w:vAlign w:val="center"/>
            <w:shd w:fill="D9EAF7"/>
          </w:tcPr>
          <w:p>
            <w:pPr>
              <w:spacing w:after="0"/>
            </w:pPr>
            <w:r/>
            <w:r>
              <w:rPr>
                <w:rFonts w:ascii="Aptos" w:hAnsi="Aptos"/>
                <w:b/>
                <w:color w:val="1F4E79"/>
                <w:sz w:val="15"/>
              </w:rPr>
              <w:t>Severity</w:t>
            </w:r>
          </w:p>
        </w:tc>
        <w:tc>
          <w:tcPr>
            <w:tcW w:type="dxa" w:w="5184"/>
            <w:vAlign w:val="center"/>
          </w:tcPr>
          <w:p>
            <w:pPr>
              <w:spacing w:after="0"/>
            </w:pPr>
            <w:r/>
            <w:r>
              <w:rPr>
                <w:rFonts w:ascii="Aptos" w:hAnsi="Aptos"/>
                <w:b w:val="0"/>
                <w:sz w:val="15"/>
              </w:rPr>
              <w:t>Not supplied. Appendicitis requiring hospitalisation is a serious case based on the reported outcome criterion, but symptom severity should not be separately assumed.</w:t>
            </w:r>
          </w:p>
        </w:tc>
      </w:tr>
      <w:tr>
        <w:tc>
          <w:tcPr>
            <w:tcW w:type="dxa" w:w="5184"/>
            <w:vAlign w:val="center"/>
            <w:shd w:fill="D9EAF7"/>
          </w:tcPr>
          <w:p>
            <w:pPr>
              <w:spacing w:after="0"/>
            </w:pPr>
            <w:r/>
            <w:r>
              <w:rPr>
                <w:rFonts w:ascii="Aptos" w:hAnsi="Aptos"/>
                <w:b/>
                <w:color w:val="1F4E79"/>
                <w:sz w:val="15"/>
              </w:rPr>
              <w:t>Expectedness</w:t>
            </w:r>
          </w:p>
        </w:tc>
        <w:tc>
          <w:tcPr>
            <w:tcW w:type="dxa" w:w="5184"/>
            <w:vAlign w:val="center"/>
          </w:tcPr>
          <w:p>
            <w:pPr>
              <w:spacing w:after="0"/>
            </w:pPr>
            <w:r/>
            <w:r>
              <w:rPr>
                <w:rFonts w:ascii="Aptos" w:hAnsi="Aptos"/>
                <w:b w:val="0"/>
                <w:sz w:val="15"/>
              </w:rPr>
              <w:t>Unexpected against the supplied fictional reference. Appendicitis is not included in the listed expected reactions.</w:t>
            </w:r>
          </w:p>
        </w:tc>
      </w:tr>
      <w:tr>
        <w:tc>
          <w:tcPr>
            <w:tcW w:type="dxa" w:w="5184"/>
            <w:vAlign w:val="center"/>
            <w:shd w:fill="D9EAF7"/>
          </w:tcPr>
          <w:p>
            <w:pPr>
              <w:spacing w:after="0"/>
            </w:pPr>
            <w:r/>
            <w:r>
              <w:rPr>
                <w:rFonts w:ascii="Aptos" w:hAnsi="Aptos"/>
                <w:b/>
                <w:color w:val="1F4E79"/>
                <w:sz w:val="15"/>
              </w:rPr>
              <w:t>Causality reasoning</w:t>
            </w:r>
          </w:p>
        </w:tc>
        <w:tc>
          <w:tcPr>
            <w:tcW w:type="dxa" w:w="5184"/>
            <w:vAlign w:val="center"/>
          </w:tcPr>
          <w:p>
            <w:pPr>
              <w:spacing w:after="0"/>
            </w:pPr>
            <w:r/>
            <w:r>
              <w:rPr>
                <w:rFonts w:ascii="Aptos" w:hAnsi="Aptos"/>
                <w:b w:val="0"/>
                <w:sz w:val="15"/>
              </w:rPr>
              <w:t>Unassessable / conditional from available information. The three-week interval alone is insufficient to determine causality. Incomplete medical history and lack of clinical details limit assessment; appendicitis may have alternative explanations.</w:t>
            </w:r>
          </w:p>
        </w:tc>
      </w:tr>
      <w:tr>
        <w:tc>
          <w:tcPr>
            <w:tcW w:type="dxa" w:w="5184"/>
            <w:vAlign w:val="center"/>
            <w:shd w:fill="D9EAF7"/>
          </w:tcPr>
          <w:p>
            <w:pPr>
              <w:spacing w:after="0"/>
            </w:pPr>
            <w:r/>
            <w:r>
              <w:rPr>
                <w:rFonts w:ascii="Aptos" w:hAnsi="Aptos"/>
                <w:b/>
                <w:color w:val="1F4E79"/>
                <w:sz w:val="15"/>
              </w:rPr>
              <w:t>Missing information</w:t>
            </w:r>
          </w:p>
        </w:tc>
        <w:tc>
          <w:tcPr>
            <w:tcW w:type="dxa" w:w="5184"/>
            <w:vAlign w:val="center"/>
          </w:tcPr>
          <w:p>
            <w:pPr>
              <w:spacing w:after="0"/>
            </w:pPr>
            <w:r/>
            <w:r>
              <w:rPr>
                <w:rFonts w:ascii="Aptos" w:hAnsi="Aptos"/>
                <w:b w:val="0"/>
                <w:sz w:val="15"/>
              </w:rPr>
              <w:t>Full medical/surgical history; diagnosis and supporting clinical findings; hospitalisation dates and outcome; Velunex dose/start/stop dates; concomitant products; relevant laboratory/imaging results; treating clinician's assessment; identifiable patient/reporter elements.</w:t>
            </w:r>
          </w:p>
        </w:tc>
      </w:tr>
      <w:tr>
        <w:tc>
          <w:tcPr>
            <w:tcW w:type="dxa" w:w="5184"/>
            <w:vAlign w:val="center"/>
            <w:shd w:fill="D9EAF7"/>
          </w:tcPr>
          <w:p>
            <w:pPr>
              <w:spacing w:after="0"/>
            </w:pPr>
            <w:r/>
            <w:r>
              <w:rPr>
                <w:rFonts w:ascii="Aptos" w:hAnsi="Aptos"/>
                <w:b/>
                <w:color w:val="1F4E79"/>
                <w:sz w:val="15"/>
              </w:rPr>
              <w:t>Follow-up questions/actions</w:t>
            </w:r>
          </w:p>
        </w:tc>
        <w:tc>
          <w:tcPr>
            <w:tcW w:type="dxa" w:w="5184"/>
            <w:vAlign w:val="center"/>
          </w:tcPr>
          <w:p>
            <w:pPr>
              <w:spacing w:after="0"/>
            </w:pPr>
            <w:r/>
            <w:r>
              <w:rPr>
                <w:rFonts w:ascii="Aptos" w:hAnsi="Aptos"/>
                <w:b w:val="0"/>
                <w:sz w:val="15"/>
              </w:rPr>
              <w:t>Request discharge summary or relevant clinical details, exact dates, outcome, medical history, concomitant product list, Velunex dechallenge information, and any assessment of alternative causes.</w:t>
            </w:r>
          </w:p>
        </w:tc>
      </w:tr>
    </w:tbl>
    <w:p>
      <w:pPr>
        <w:pStyle w:val="Heading2"/>
      </w:pPr>
      <w:r>
        <w:t>PV-203 — Mild rash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rFonts w:ascii="Aptos" w:hAnsi="Aptos"/>
                <w:b/>
                <w:color w:val="1F4E79"/>
                <w:sz w:val="15"/>
              </w:rPr>
              <w:t>Case facts</w:t>
            </w:r>
          </w:p>
        </w:tc>
        <w:tc>
          <w:tcPr>
            <w:tcW w:type="dxa" w:w="5184"/>
            <w:vAlign w:val="center"/>
          </w:tcPr>
          <w:p>
            <w:pPr>
              <w:spacing w:after="0"/>
            </w:pPr>
            <w:r/>
            <w:r>
              <w:rPr>
                <w:rFonts w:ascii="Aptos" w:hAnsi="Aptos"/>
                <w:b w:val="0"/>
                <w:sz w:val="15"/>
              </w:rPr>
              <w:t>A mild rash began on day four of Velunex use and improved after stopping the product. No rechallenge occurred.</w:t>
            </w:r>
          </w:p>
        </w:tc>
      </w:tr>
      <w:tr>
        <w:tc>
          <w:tcPr>
            <w:tcW w:type="dxa" w:w="5184"/>
            <w:vAlign w:val="center"/>
            <w:shd w:fill="D9EAF7"/>
          </w:tcPr>
          <w:p>
            <w:pPr>
              <w:spacing w:after="0"/>
            </w:pPr>
            <w:r/>
            <w:r>
              <w:rPr>
                <w:rFonts w:ascii="Aptos" w:hAnsi="Aptos"/>
                <w:b/>
                <w:color w:val="1F4E79"/>
                <w:sz w:val="15"/>
              </w:rPr>
              <w:t>Minimum case validity</w:t>
            </w:r>
          </w:p>
        </w:tc>
        <w:tc>
          <w:tcPr>
            <w:tcW w:type="dxa" w:w="5184"/>
            <w:vAlign w:val="center"/>
          </w:tcPr>
          <w:p>
            <w:pPr>
              <w:spacing w:after="0"/>
            </w:pPr>
            <w:r/>
            <w:r>
              <w:rPr>
                <w:rFonts w:ascii="Aptos" w:hAnsi="Aptos"/>
                <w:b w:val="0"/>
                <w:sz w:val="15"/>
              </w:rPr>
              <w:t>The suspect product, event, and timing are described. Identifiable patient and reporter details are not provided in the summary, so all minimum validity elements cannot be confirmed.</w:t>
            </w:r>
          </w:p>
        </w:tc>
      </w:tr>
      <w:tr>
        <w:tc>
          <w:tcPr>
            <w:tcW w:type="dxa" w:w="5184"/>
            <w:vAlign w:val="center"/>
            <w:shd w:fill="D9EAF7"/>
          </w:tcPr>
          <w:p>
            <w:pPr>
              <w:spacing w:after="0"/>
            </w:pPr>
            <w:r/>
            <w:r>
              <w:rPr>
                <w:rFonts w:ascii="Aptos" w:hAnsi="Aptos"/>
                <w:b/>
                <w:color w:val="1F4E79"/>
                <w:sz w:val="15"/>
              </w:rPr>
              <w:t>Seriousness and criterion</w:t>
            </w:r>
          </w:p>
        </w:tc>
        <w:tc>
          <w:tcPr>
            <w:tcW w:type="dxa" w:w="5184"/>
            <w:vAlign w:val="center"/>
          </w:tcPr>
          <w:p>
            <w:pPr>
              <w:spacing w:after="0"/>
            </w:pPr>
            <w:r/>
            <w:r>
              <w:rPr>
                <w:rFonts w:ascii="Aptos" w:hAnsi="Aptos"/>
                <w:b w:val="0"/>
                <w:sz w:val="15"/>
              </w:rPr>
              <w:t>Non-serious based on the supplied facts: the rash is described as mild and no seriousness criterion is reported. Confirm that there was no hospitalisation, life threat, disability, or other medically important condition.</w:t>
            </w:r>
          </w:p>
        </w:tc>
      </w:tr>
      <w:tr>
        <w:tc>
          <w:tcPr>
            <w:tcW w:type="dxa" w:w="5184"/>
            <w:vAlign w:val="center"/>
            <w:shd w:fill="D9EAF7"/>
          </w:tcPr>
          <w:p>
            <w:pPr>
              <w:spacing w:after="0"/>
            </w:pPr>
            <w:r/>
            <w:r>
              <w:rPr>
                <w:rFonts w:ascii="Aptos" w:hAnsi="Aptos"/>
                <w:b/>
                <w:color w:val="1F4E79"/>
                <w:sz w:val="15"/>
              </w:rPr>
              <w:t>Severity</w:t>
            </w:r>
          </w:p>
        </w:tc>
        <w:tc>
          <w:tcPr>
            <w:tcW w:type="dxa" w:w="5184"/>
            <w:vAlign w:val="center"/>
          </w:tcPr>
          <w:p>
            <w:pPr>
              <w:spacing w:after="0"/>
            </w:pPr>
            <w:r/>
            <w:r>
              <w:rPr>
                <w:rFonts w:ascii="Aptos" w:hAnsi="Aptos"/>
                <w:b w:val="0"/>
                <w:sz w:val="15"/>
              </w:rPr>
              <w:t>Mild, as explicitly stated in the case summary.</w:t>
            </w:r>
          </w:p>
        </w:tc>
      </w:tr>
      <w:tr>
        <w:tc>
          <w:tcPr>
            <w:tcW w:type="dxa" w:w="5184"/>
            <w:vAlign w:val="center"/>
            <w:shd w:fill="D9EAF7"/>
          </w:tcPr>
          <w:p>
            <w:pPr>
              <w:spacing w:after="0"/>
            </w:pPr>
            <w:r/>
            <w:r>
              <w:rPr>
                <w:rFonts w:ascii="Aptos" w:hAnsi="Aptos"/>
                <w:b/>
                <w:color w:val="1F4E79"/>
                <w:sz w:val="15"/>
              </w:rPr>
              <w:t>Expectedness</w:t>
            </w:r>
          </w:p>
        </w:tc>
        <w:tc>
          <w:tcPr>
            <w:tcW w:type="dxa" w:w="5184"/>
            <w:vAlign w:val="center"/>
          </w:tcPr>
          <w:p>
            <w:pPr>
              <w:spacing w:after="0"/>
            </w:pPr>
            <w:r/>
            <w:r>
              <w:rPr>
                <w:rFonts w:ascii="Aptos" w:hAnsi="Aptos"/>
                <w:b w:val="0"/>
                <w:sz w:val="15"/>
              </w:rPr>
              <w:t>Expected. A mild, self-limiting rash is listed in the supplied fictional Velunex reference. Confirm that the reported rash matches the reference description.</w:t>
            </w:r>
          </w:p>
        </w:tc>
      </w:tr>
      <w:tr>
        <w:tc>
          <w:tcPr>
            <w:tcW w:type="dxa" w:w="5184"/>
            <w:vAlign w:val="center"/>
            <w:shd w:fill="D9EAF7"/>
          </w:tcPr>
          <w:p>
            <w:pPr>
              <w:spacing w:after="0"/>
            </w:pPr>
            <w:r/>
            <w:r>
              <w:rPr>
                <w:rFonts w:ascii="Aptos" w:hAnsi="Aptos"/>
                <w:b/>
                <w:color w:val="1F4E79"/>
                <w:sz w:val="15"/>
              </w:rPr>
              <w:t>Causality reasoning</w:t>
            </w:r>
          </w:p>
        </w:tc>
        <w:tc>
          <w:tcPr>
            <w:tcW w:type="dxa" w:w="5184"/>
            <w:vAlign w:val="center"/>
          </w:tcPr>
          <w:p>
            <w:pPr>
              <w:spacing w:after="0"/>
            </w:pPr>
            <w:r/>
            <w:r>
              <w:rPr>
                <w:rFonts w:ascii="Aptos" w:hAnsi="Aptos"/>
                <w:b w:val="0"/>
                <w:sz w:val="15"/>
              </w:rPr>
              <w:t>Possible relationship (provisional): onset on day four and improvement after stopping support a possible association. However, no rechallenge occurred, and alternative causes, rash characteristics, and concomitant products are not described. This does not prove causation.</w:t>
            </w:r>
          </w:p>
        </w:tc>
      </w:tr>
      <w:tr>
        <w:tc>
          <w:tcPr>
            <w:tcW w:type="dxa" w:w="5184"/>
            <w:vAlign w:val="center"/>
            <w:shd w:fill="D9EAF7"/>
          </w:tcPr>
          <w:p>
            <w:pPr>
              <w:spacing w:after="0"/>
            </w:pPr>
            <w:r/>
            <w:r>
              <w:rPr>
                <w:rFonts w:ascii="Aptos" w:hAnsi="Aptos"/>
                <w:b/>
                <w:color w:val="1F4E79"/>
                <w:sz w:val="15"/>
              </w:rPr>
              <w:t>Missing information</w:t>
            </w:r>
          </w:p>
        </w:tc>
        <w:tc>
          <w:tcPr>
            <w:tcW w:type="dxa" w:w="5184"/>
            <w:vAlign w:val="center"/>
          </w:tcPr>
          <w:p>
            <w:pPr>
              <w:spacing w:after="0"/>
            </w:pPr>
            <w:r/>
            <w:r>
              <w:rPr>
                <w:rFonts w:ascii="Aptos" w:hAnsi="Aptos"/>
                <w:b w:val="0"/>
                <w:sz w:val="15"/>
              </w:rPr>
              <w:t>Patient/reporter validity elements; rash description and distribution; onset and resolution dates; treatment; allergy history; concomitant medicines/products; other possible causes; confirmation of outcome and seriousness criteria.</w:t>
            </w:r>
          </w:p>
        </w:tc>
      </w:tr>
      <w:tr>
        <w:tc>
          <w:tcPr>
            <w:tcW w:type="dxa" w:w="5184"/>
            <w:vAlign w:val="center"/>
            <w:shd w:fill="D9EAF7"/>
          </w:tcPr>
          <w:p>
            <w:pPr>
              <w:spacing w:after="0"/>
            </w:pPr>
            <w:r/>
            <w:r>
              <w:rPr>
                <w:rFonts w:ascii="Aptos" w:hAnsi="Aptos"/>
                <w:b/>
                <w:color w:val="1F4E79"/>
                <w:sz w:val="15"/>
              </w:rPr>
              <w:t>Follow-up questions/actions</w:t>
            </w:r>
          </w:p>
        </w:tc>
        <w:tc>
          <w:tcPr>
            <w:tcW w:type="dxa" w:w="5184"/>
            <w:vAlign w:val="center"/>
          </w:tcPr>
          <w:p>
            <w:pPr>
              <w:spacing w:after="0"/>
            </w:pPr>
            <w:r/>
            <w:r>
              <w:rPr>
                <w:rFonts w:ascii="Aptos" w:hAnsi="Aptos"/>
                <w:b w:val="0"/>
                <w:sz w:val="15"/>
              </w:rPr>
              <w:t>Obtain detailed rash description, chronology, treatment and outcome; ask about allergy history, other products, and alternative causes; confirm no serious features or medical intervention.</w:t>
            </w:r>
          </w:p>
        </w:tc>
      </w:tr>
    </w:tbl>
    <w:p>
      <w:pPr>
        <w:pStyle w:val="Heading2"/>
      </w:pPr>
      <w:r>
        <w:t>PV-204 — Loss of consciousness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pPr>
            <w:r/>
            <w:r>
              <w:rPr>
                <w:rFonts w:ascii="Aptos" w:hAnsi="Aptos"/>
                <w:b/>
                <w:color w:val="1F4E79"/>
                <w:sz w:val="15"/>
              </w:rPr>
              <w:t>Case facts</w:t>
            </w:r>
          </w:p>
        </w:tc>
        <w:tc>
          <w:tcPr>
            <w:tcW w:type="dxa" w:w="5184"/>
            <w:vAlign w:val="center"/>
          </w:tcPr>
          <w:p>
            <w:pPr>
              <w:spacing w:after="0"/>
            </w:pPr>
            <w:r/>
            <w:r>
              <w:rPr>
                <w:rFonts w:ascii="Aptos" w:hAnsi="Aptos"/>
                <w:b w:val="0"/>
                <w:sz w:val="15"/>
              </w:rPr>
              <w:t>Loss of consciousness occurred on day two of Velunex use and led to emergency admission. Concomitant products and test results are unknown.</w:t>
            </w:r>
          </w:p>
        </w:tc>
      </w:tr>
      <w:tr>
        <w:tc>
          <w:tcPr>
            <w:tcW w:type="dxa" w:w="5184"/>
            <w:vAlign w:val="center"/>
            <w:shd w:fill="D9EAF7"/>
          </w:tcPr>
          <w:p>
            <w:pPr>
              <w:spacing w:after="0"/>
            </w:pPr>
            <w:r/>
            <w:r>
              <w:rPr>
                <w:rFonts w:ascii="Aptos" w:hAnsi="Aptos"/>
                <w:b/>
                <w:color w:val="1F4E79"/>
                <w:sz w:val="15"/>
              </w:rPr>
              <w:t>Minimum case validity</w:t>
            </w:r>
          </w:p>
        </w:tc>
        <w:tc>
          <w:tcPr>
            <w:tcW w:type="dxa" w:w="5184"/>
            <w:vAlign w:val="center"/>
          </w:tcPr>
          <w:p>
            <w:pPr>
              <w:spacing w:after="0"/>
            </w:pPr>
            <w:r/>
            <w:r>
              <w:rPr>
                <w:rFonts w:ascii="Aptos" w:hAnsi="Aptos"/>
                <w:b w:val="0"/>
                <w:sz w:val="15"/>
              </w:rPr>
              <w:t>The suspect product, adverse event, chronology, and emergency admission are described. Identifiable patient and reporter details are not present in the summary, so validity cannot be fully confirmed.</w:t>
            </w:r>
          </w:p>
        </w:tc>
      </w:tr>
      <w:tr>
        <w:tc>
          <w:tcPr>
            <w:tcW w:type="dxa" w:w="5184"/>
            <w:vAlign w:val="center"/>
            <w:shd w:fill="D9EAF7"/>
          </w:tcPr>
          <w:p>
            <w:pPr>
              <w:spacing w:after="0"/>
            </w:pPr>
            <w:r/>
            <w:r>
              <w:rPr>
                <w:rFonts w:ascii="Aptos" w:hAnsi="Aptos"/>
                <w:b/>
                <w:color w:val="1F4E79"/>
                <w:sz w:val="15"/>
              </w:rPr>
              <w:t>Seriousness and criterion</w:t>
            </w:r>
          </w:p>
        </w:tc>
        <w:tc>
          <w:tcPr>
            <w:tcW w:type="dxa" w:w="5184"/>
            <w:vAlign w:val="center"/>
          </w:tcPr>
          <w:p>
            <w:pPr>
              <w:spacing w:after="0"/>
            </w:pPr>
            <w:r/>
            <w:r>
              <w:rPr>
                <w:rFonts w:ascii="Aptos" w:hAnsi="Aptos"/>
                <w:b w:val="0"/>
                <w:sz w:val="15"/>
              </w:rPr>
              <w:t>Potentially serious; the case reports emergency admission. Confirm whether the patient was admitted as an inpatient or whether the event was life-threatening or otherwise medically important. Emergency-department attendance alone does not automatically establish hospitalisation seriousness.</w:t>
            </w:r>
          </w:p>
        </w:tc>
      </w:tr>
      <w:tr>
        <w:tc>
          <w:tcPr>
            <w:tcW w:type="dxa" w:w="5184"/>
            <w:vAlign w:val="center"/>
            <w:shd w:fill="D9EAF7"/>
          </w:tcPr>
          <w:p>
            <w:pPr>
              <w:spacing w:after="0"/>
            </w:pPr>
            <w:r/>
            <w:r>
              <w:rPr>
                <w:rFonts w:ascii="Aptos" w:hAnsi="Aptos"/>
                <w:b/>
                <w:color w:val="1F4E79"/>
                <w:sz w:val="15"/>
              </w:rPr>
              <w:t>Severity</w:t>
            </w:r>
          </w:p>
        </w:tc>
        <w:tc>
          <w:tcPr>
            <w:tcW w:type="dxa" w:w="5184"/>
            <w:vAlign w:val="center"/>
          </w:tcPr>
          <w:p>
            <w:pPr>
              <w:spacing w:after="0"/>
            </w:pPr>
            <w:r/>
            <w:r>
              <w:rPr>
                <w:rFonts w:ascii="Aptos" w:hAnsi="Aptos"/>
                <w:b w:val="0"/>
                <w:sz w:val="15"/>
              </w:rPr>
              <w:t>Not formally graded. Loss of consciousness may be clinically significant, but severity must not be assigned without supporting information.</w:t>
            </w:r>
          </w:p>
        </w:tc>
      </w:tr>
      <w:tr>
        <w:tc>
          <w:tcPr>
            <w:tcW w:type="dxa" w:w="5184"/>
            <w:vAlign w:val="center"/>
            <w:shd w:fill="D9EAF7"/>
          </w:tcPr>
          <w:p>
            <w:pPr>
              <w:spacing w:after="0"/>
            </w:pPr>
            <w:r/>
            <w:r>
              <w:rPr>
                <w:rFonts w:ascii="Aptos" w:hAnsi="Aptos"/>
                <w:b/>
                <w:color w:val="1F4E79"/>
                <w:sz w:val="15"/>
              </w:rPr>
              <w:t>Expectedness</w:t>
            </w:r>
          </w:p>
        </w:tc>
        <w:tc>
          <w:tcPr>
            <w:tcW w:type="dxa" w:w="5184"/>
            <w:vAlign w:val="center"/>
          </w:tcPr>
          <w:p>
            <w:pPr>
              <w:spacing w:after="0"/>
            </w:pPr>
            <w:r/>
            <w:r>
              <w:rPr>
                <w:rFonts w:ascii="Aptos" w:hAnsi="Aptos"/>
                <w:b w:val="0"/>
                <w:sz w:val="15"/>
              </w:rPr>
              <w:t>Unexpected against the supplied fictional reference. Loss of consciousness is not listed among the expected Velunex reactions.</w:t>
            </w:r>
          </w:p>
        </w:tc>
      </w:tr>
      <w:tr>
        <w:tc>
          <w:tcPr>
            <w:tcW w:type="dxa" w:w="5184"/>
            <w:vAlign w:val="center"/>
            <w:shd w:fill="D9EAF7"/>
          </w:tcPr>
          <w:p>
            <w:pPr>
              <w:spacing w:after="0"/>
            </w:pPr>
            <w:r/>
            <w:r>
              <w:rPr>
                <w:rFonts w:ascii="Aptos" w:hAnsi="Aptos"/>
                <w:b/>
                <w:color w:val="1F4E79"/>
                <w:sz w:val="15"/>
              </w:rPr>
              <w:t>Causality reasoning</w:t>
            </w:r>
          </w:p>
        </w:tc>
        <w:tc>
          <w:tcPr>
            <w:tcW w:type="dxa" w:w="5184"/>
            <w:vAlign w:val="center"/>
          </w:tcPr>
          <w:p>
            <w:pPr>
              <w:spacing w:after="0"/>
            </w:pPr>
            <w:r/>
            <w:r>
              <w:rPr>
                <w:rFonts w:ascii="Aptos" w:hAnsi="Aptos"/>
                <w:b w:val="0"/>
                <w:sz w:val="15"/>
              </w:rPr>
              <w:t>Unassessable pending additional information. The event occurred after product use, but temporal association alone is insufficient. Unknown concomitant products and test results prevent evaluation of alternative causes and clinical plausibility.</w:t>
            </w:r>
          </w:p>
        </w:tc>
      </w:tr>
      <w:tr>
        <w:tc>
          <w:tcPr>
            <w:tcW w:type="dxa" w:w="5184"/>
            <w:vAlign w:val="center"/>
            <w:shd w:fill="D9EAF7"/>
          </w:tcPr>
          <w:p>
            <w:pPr>
              <w:spacing w:after="0"/>
            </w:pPr>
            <w:r/>
            <w:r>
              <w:rPr>
                <w:rFonts w:ascii="Aptos" w:hAnsi="Aptos"/>
                <w:b/>
                <w:color w:val="1F4E79"/>
                <w:sz w:val="15"/>
              </w:rPr>
              <w:t>Missing information</w:t>
            </w:r>
          </w:p>
        </w:tc>
        <w:tc>
          <w:tcPr>
            <w:tcW w:type="dxa" w:w="5184"/>
            <w:vAlign w:val="center"/>
          </w:tcPr>
          <w:p>
            <w:pPr>
              <w:spacing w:after="0"/>
            </w:pPr>
            <w:r/>
            <w:r>
              <w:rPr>
                <w:rFonts w:ascii="Aptos" w:hAnsi="Aptos"/>
                <w:b w:val="0"/>
                <w:sz w:val="15"/>
              </w:rPr>
              <w:t>Patient/reporter validity elements; exact event and dosing times; duration and recovery; inpatient status and admission reason; vital signs and test results; medical history; concomitant products; treatment and outcome; product discontinuation and any alternative causes.</w:t>
            </w:r>
          </w:p>
        </w:tc>
      </w:tr>
      <w:tr>
        <w:tc>
          <w:tcPr>
            <w:tcW w:type="dxa" w:w="5184"/>
            <w:vAlign w:val="center"/>
            <w:shd w:fill="D9EAF7"/>
          </w:tcPr>
          <w:p>
            <w:pPr>
              <w:spacing w:after="0"/>
            </w:pPr>
            <w:r/>
            <w:r>
              <w:rPr>
                <w:rFonts w:ascii="Aptos" w:hAnsi="Aptos"/>
                <w:b/>
                <w:color w:val="1F4E79"/>
                <w:sz w:val="15"/>
              </w:rPr>
              <w:t>Follow-up questions/actions</w:t>
            </w:r>
          </w:p>
        </w:tc>
        <w:tc>
          <w:tcPr>
            <w:tcW w:type="dxa" w:w="5184"/>
            <w:vAlign w:val="center"/>
          </w:tcPr>
          <w:p>
            <w:pPr>
              <w:spacing w:after="0"/>
            </w:pPr>
            <w:r/>
            <w:r>
              <w:rPr>
                <w:rFonts w:ascii="Aptos" w:hAnsi="Aptos"/>
                <w:b w:val="0"/>
                <w:sz w:val="15"/>
              </w:rPr>
              <w:t>Obtain emergency/hospital records, diagnostic findings and test results, duration and outcome, medication/product history, exact chronology, Velunex dose and stop date, and confirmation of inpatient admission or other seriousness criteria.</w:t>
            </w:r>
          </w:p>
        </w:tc>
      </w:tr>
    </w:tbl>
    <w:p>
      <w:pPr>
        <w:pStyle w:val="Heading1"/>
      </w:pPr>
      <w:r>
        <w:t>4. Consolidated assessment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pPr>
              <w:spacing w:after="0"/>
            </w:pPr>
            <w:r/>
            <w:r>
              <w:rPr>
                <w:rFonts w:ascii="Aptos" w:hAnsi="Aptos"/>
                <w:b/>
                <w:color w:val="FFFFFF"/>
                <w:sz w:val="15"/>
              </w:rPr>
              <w:t>Case</w:t>
            </w:r>
          </w:p>
        </w:tc>
        <w:tc>
          <w:tcPr>
            <w:tcW w:type="dxa" w:w="2074"/>
            <w:vAlign w:val="center"/>
            <w:shd w:fill="1F4E79"/>
          </w:tcPr>
          <w:p>
            <w:pPr>
              <w:spacing w:after="0"/>
            </w:pPr>
            <w:r/>
            <w:r>
              <w:rPr>
                <w:rFonts w:ascii="Aptos" w:hAnsi="Aptos"/>
                <w:b/>
                <w:color w:val="FFFFFF"/>
                <w:sz w:val="15"/>
              </w:rPr>
              <w:t>Seriousness</w:t>
            </w:r>
          </w:p>
        </w:tc>
        <w:tc>
          <w:tcPr>
            <w:tcW w:type="dxa" w:w="2074"/>
            <w:vAlign w:val="center"/>
            <w:shd w:fill="1F4E79"/>
          </w:tcPr>
          <w:p>
            <w:pPr>
              <w:spacing w:after="0"/>
            </w:pPr>
            <w:r/>
            <w:r>
              <w:rPr>
                <w:rFonts w:ascii="Aptos" w:hAnsi="Aptos"/>
                <w:b/>
                <w:color w:val="FFFFFF"/>
                <w:sz w:val="15"/>
              </w:rPr>
              <w:t>Severity</w:t>
            </w:r>
          </w:p>
        </w:tc>
        <w:tc>
          <w:tcPr>
            <w:tcW w:type="dxa" w:w="2074"/>
            <w:vAlign w:val="center"/>
            <w:shd w:fill="1F4E79"/>
          </w:tcPr>
          <w:p>
            <w:pPr>
              <w:spacing w:after="0"/>
            </w:pPr>
            <w:r/>
            <w:r>
              <w:rPr>
                <w:rFonts w:ascii="Aptos" w:hAnsi="Aptos"/>
                <w:b/>
                <w:color w:val="FFFFFF"/>
                <w:sz w:val="15"/>
              </w:rPr>
              <w:t>Expectedness</w:t>
            </w:r>
          </w:p>
        </w:tc>
        <w:tc>
          <w:tcPr>
            <w:tcW w:type="dxa" w:w="2074"/>
            <w:vAlign w:val="center"/>
            <w:shd w:fill="1F4E79"/>
          </w:tcPr>
          <w:p>
            <w:pPr>
              <w:spacing w:after="0"/>
            </w:pPr>
            <w:r/>
            <w:r>
              <w:rPr>
                <w:rFonts w:ascii="Aptos" w:hAnsi="Aptos"/>
                <w:b/>
                <w:color w:val="FFFFFF"/>
                <w:sz w:val="15"/>
              </w:rPr>
              <w:t>Provisional causality</w:t>
            </w:r>
          </w:p>
        </w:tc>
      </w:tr>
      <w:tr>
        <w:tc>
          <w:tcPr>
            <w:tcW w:type="dxa" w:w="2074"/>
            <w:vAlign w:val="center"/>
          </w:tcPr>
          <w:p>
            <w:pPr>
              <w:spacing w:after="0"/>
            </w:pPr>
            <w:r/>
            <w:r>
              <w:rPr>
                <w:rFonts w:ascii="Aptos" w:hAnsi="Aptos"/>
                <w:b w:val="0"/>
                <w:sz w:val="14"/>
              </w:rPr>
              <w:t>PV-201 Dizziness</w:t>
            </w:r>
          </w:p>
        </w:tc>
        <w:tc>
          <w:tcPr>
            <w:tcW w:type="dxa" w:w="2074"/>
            <w:vAlign w:val="center"/>
          </w:tcPr>
          <w:p>
            <w:pPr>
              <w:spacing w:after="0"/>
            </w:pPr>
            <w:r/>
            <w:r>
              <w:rPr>
                <w:rFonts w:ascii="Aptos" w:hAnsi="Aptos"/>
                <w:b w:val="0"/>
                <w:sz w:val="14"/>
              </w:rPr>
              <w:t>Non-serious on supplied facts</w:t>
            </w:r>
          </w:p>
        </w:tc>
        <w:tc>
          <w:tcPr>
            <w:tcW w:type="dxa" w:w="2074"/>
            <w:vAlign w:val="center"/>
          </w:tcPr>
          <w:p>
            <w:pPr>
              <w:spacing w:after="0"/>
            </w:pPr>
            <w:r/>
            <w:r>
              <w:rPr>
                <w:rFonts w:ascii="Aptos" w:hAnsi="Aptos"/>
                <w:b w:val="0"/>
                <w:sz w:val="14"/>
              </w:rPr>
              <w:t>Not stated</w:t>
            </w:r>
          </w:p>
        </w:tc>
        <w:tc>
          <w:tcPr>
            <w:tcW w:type="dxa" w:w="2074"/>
            <w:vAlign w:val="center"/>
          </w:tcPr>
          <w:p>
            <w:pPr>
              <w:spacing w:after="0"/>
            </w:pPr>
            <w:r/>
            <w:r>
              <w:rPr>
                <w:rFonts w:ascii="Aptos" w:hAnsi="Aptos"/>
                <w:b w:val="0"/>
                <w:sz w:val="14"/>
              </w:rPr>
              <w:t>Expected</w:t>
            </w:r>
          </w:p>
        </w:tc>
        <w:tc>
          <w:tcPr>
            <w:tcW w:type="dxa" w:w="2074"/>
            <w:vAlign w:val="center"/>
          </w:tcPr>
          <w:p>
            <w:pPr>
              <w:spacing w:after="0"/>
            </w:pPr>
            <w:r/>
            <w:r>
              <w:rPr>
                <w:rFonts w:ascii="Aptos" w:hAnsi="Aptos"/>
                <w:b w:val="0"/>
                <w:sz w:val="14"/>
              </w:rPr>
              <w:t>Possible; limited evidence</w:t>
            </w:r>
          </w:p>
        </w:tc>
      </w:tr>
      <w:tr>
        <w:tc>
          <w:tcPr>
            <w:tcW w:type="dxa" w:w="2074"/>
            <w:vAlign w:val="center"/>
          </w:tcPr>
          <w:p>
            <w:pPr>
              <w:spacing w:after="0"/>
            </w:pPr>
            <w:r/>
            <w:r>
              <w:rPr>
                <w:rFonts w:ascii="Aptos" w:hAnsi="Aptos"/>
                <w:b w:val="0"/>
                <w:sz w:val="14"/>
              </w:rPr>
              <w:t>PV-202 Appendicitis</w:t>
            </w:r>
          </w:p>
        </w:tc>
        <w:tc>
          <w:tcPr>
            <w:tcW w:type="dxa" w:w="2074"/>
            <w:vAlign w:val="center"/>
          </w:tcPr>
          <w:p>
            <w:pPr>
              <w:spacing w:after="0"/>
            </w:pPr>
            <w:r/>
            <w:r>
              <w:rPr>
                <w:rFonts w:ascii="Aptos" w:hAnsi="Aptos"/>
                <w:b w:val="0"/>
                <w:sz w:val="14"/>
              </w:rPr>
              <w:t>Serious: hospitalisation reported</w:t>
            </w:r>
          </w:p>
        </w:tc>
        <w:tc>
          <w:tcPr>
            <w:tcW w:type="dxa" w:w="2074"/>
            <w:vAlign w:val="center"/>
          </w:tcPr>
          <w:p>
            <w:pPr>
              <w:spacing w:after="0"/>
            </w:pPr>
            <w:r/>
            <w:r>
              <w:rPr>
                <w:rFonts w:ascii="Aptos" w:hAnsi="Aptos"/>
                <w:b w:val="0"/>
                <w:sz w:val="14"/>
              </w:rPr>
              <w:t>Not stated</w:t>
            </w:r>
          </w:p>
        </w:tc>
        <w:tc>
          <w:tcPr>
            <w:tcW w:type="dxa" w:w="2074"/>
            <w:vAlign w:val="center"/>
          </w:tcPr>
          <w:p>
            <w:pPr>
              <w:spacing w:after="0"/>
            </w:pPr>
            <w:r/>
            <w:r>
              <w:rPr>
                <w:rFonts w:ascii="Aptos" w:hAnsi="Aptos"/>
                <w:b w:val="0"/>
                <w:sz w:val="14"/>
              </w:rPr>
              <w:t>Unexpected</w:t>
            </w:r>
          </w:p>
        </w:tc>
        <w:tc>
          <w:tcPr>
            <w:tcW w:type="dxa" w:w="2074"/>
            <w:vAlign w:val="center"/>
          </w:tcPr>
          <w:p>
            <w:pPr>
              <w:spacing w:after="0"/>
            </w:pPr>
            <w:r/>
            <w:r>
              <w:rPr>
                <w:rFonts w:ascii="Aptos" w:hAnsi="Aptos"/>
                <w:b w:val="0"/>
                <w:sz w:val="14"/>
              </w:rPr>
              <w:t>Unassessable / conditional</w:t>
            </w:r>
          </w:p>
        </w:tc>
      </w:tr>
      <w:tr>
        <w:tc>
          <w:tcPr>
            <w:tcW w:type="dxa" w:w="2074"/>
            <w:vAlign w:val="center"/>
          </w:tcPr>
          <w:p>
            <w:pPr>
              <w:spacing w:after="0"/>
            </w:pPr>
            <w:r/>
            <w:r>
              <w:rPr>
                <w:rFonts w:ascii="Aptos" w:hAnsi="Aptos"/>
                <w:b w:val="0"/>
                <w:sz w:val="14"/>
              </w:rPr>
              <w:t>PV-203 Mild rash</w:t>
            </w:r>
          </w:p>
        </w:tc>
        <w:tc>
          <w:tcPr>
            <w:tcW w:type="dxa" w:w="2074"/>
            <w:vAlign w:val="center"/>
          </w:tcPr>
          <w:p>
            <w:pPr>
              <w:spacing w:after="0"/>
            </w:pPr>
            <w:r/>
            <w:r>
              <w:rPr>
                <w:rFonts w:ascii="Aptos" w:hAnsi="Aptos"/>
                <w:b w:val="0"/>
                <w:sz w:val="14"/>
              </w:rPr>
              <w:t>Non-serious on supplied facts</w:t>
            </w:r>
          </w:p>
        </w:tc>
        <w:tc>
          <w:tcPr>
            <w:tcW w:type="dxa" w:w="2074"/>
            <w:vAlign w:val="center"/>
          </w:tcPr>
          <w:p>
            <w:pPr>
              <w:spacing w:after="0"/>
            </w:pPr>
            <w:r/>
            <w:r>
              <w:rPr>
                <w:rFonts w:ascii="Aptos" w:hAnsi="Aptos"/>
                <w:b w:val="0"/>
                <w:sz w:val="14"/>
              </w:rPr>
              <w:t>Mild</w:t>
            </w:r>
          </w:p>
        </w:tc>
        <w:tc>
          <w:tcPr>
            <w:tcW w:type="dxa" w:w="2074"/>
            <w:vAlign w:val="center"/>
          </w:tcPr>
          <w:p>
            <w:pPr>
              <w:spacing w:after="0"/>
            </w:pPr>
            <w:r/>
            <w:r>
              <w:rPr>
                <w:rFonts w:ascii="Aptos" w:hAnsi="Aptos"/>
                <w:b w:val="0"/>
                <w:sz w:val="14"/>
              </w:rPr>
              <w:t>Expected</w:t>
            </w:r>
          </w:p>
        </w:tc>
        <w:tc>
          <w:tcPr>
            <w:tcW w:type="dxa" w:w="2074"/>
            <w:vAlign w:val="center"/>
          </w:tcPr>
          <w:p>
            <w:pPr>
              <w:spacing w:after="0"/>
            </w:pPr>
            <w:r/>
            <w:r>
              <w:rPr>
                <w:rFonts w:ascii="Aptos" w:hAnsi="Aptos"/>
                <w:b w:val="0"/>
                <w:sz w:val="14"/>
              </w:rPr>
              <w:t>Possible; dechallenge supports</w:t>
            </w:r>
          </w:p>
        </w:tc>
      </w:tr>
      <w:tr>
        <w:tc>
          <w:tcPr>
            <w:tcW w:type="dxa" w:w="2074"/>
            <w:vAlign w:val="center"/>
          </w:tcPr>
          <w:p>
            <w:pPr>
              <w:spacing w:after="0"/>
            </w:pPr>
            <w:r/>
            <w:r>
              <w:rPr>
                <w:rFonts w:ascii="Aptos" w:hAnsi="Aptos"/>
                <w:b w:val="0"/>
                <w:sz w:val="14"/>
              </w:rPr>
              <w:t>PV-204 Loss of consciousness</w:t>
            </w:r>
          </w:p>
        </w:tc>
        <w:tc>
          <w:tcPr>
            <w:tcW w:type="dxa" w:w="2074"/>
            <w:vAlign w:val="center"/>
          </w:tcPr>
          <w:p>
            <w:pPr>
              <w:spacing w:after="0"/>
            </w:pPr>
            <w:r/>
            <w:r>
              <w:rPr>
                <w:rFonts w:ascii="Aptos" w:hAnsi="Aptos"/>
                <w:b w:val="0"/>
                <w:sz w:val="14"/>
              </w:rPr>
              <w:t>Potentially serious; verify inpatient/life-threat criterion</w:t>
            </w:r>
          </w:p>
        </w:tc>
        <w:tc>
          <w:tcPr>
            <w:tcW w:type="dxa" w:w="2074"/>
            <w:vAlign w:val="center"/>
          </w:tcPr>
          <w:p>
            <w:pPr>
              <w:spacing w:after="0"/>
            </w:pPr>
            <w:r/>
            <w:r>
              <w:rPr>
                <w:rFonts w:ascii="Aptos" w:hAnsi="Aptos"/>
                <w:b w:val="0"/>
                <w:sz w:val="14"/>
              </w:rPr>
              <w:t>Not stated</w:t>
            </w:r>
          </w:p>
        </w:tc>
        <w:tc>
          <w:tcPr>
            <w:tcW w:type="dxa" w:w="2074"/>
            <w:vAlign w:val="center"/>
          </w:tcPr>
          <w:p>
            <w:pPr>
              <w:spacing w:after="0"/>
            </w:pPr>
            <w:r/>
            <w:r>
              <w:rPr>
                <w:rFonts w:ascii="Aptos" w:hAnsi="Aptos"/>
                <w:b w:val="0"/>
                <w:sz w:val="14"/>
              </w:rPr>
              <w:t>Unexpected</w:t>
            </w:r>
          </w:p>
        </w:tc>
        <w:tc>
          <w:tcPr>
            <w:tcW w:type="dxa" w:w="2074"/>
            <w:vAlign w:val="center"/>
          </w:tcPr>
          <w:p>
            <w:pPr>
              <w:spacing w:after="0"/>
            </w:pPr>
            <w:r/>
            <w:r>
              <w:rPr>
                <w:rFonts w:ascii="Aptos" w:hAnsi="Aptos"/>
                <w:b w:val="0"/>
                <w:sz w:val="14"/>
              </w:rPr>
              <w:t>Unassessable pending data</w:t>
            </w:r>
          </w:p>
        </w:tc>
      </w:tr>
    </w:tbl>
    <w:p>
      <w:pPr>
        <w:pStyle w:val="Heading1"/>
      </w:pPr>
      <w:r>
        <w:t>5. Quality-control checklist</w:t>
      </w:r>
    </w:p>
    <w:p>
      <w:r>
        <w:t>☐ All case facts match the supplied source summaries PV-201 to PV-204.</w:t>
      </w:r>
    </w:p>
    <w:p>
      <w:r>
        <w:t>☐ The fictional Velunex expectedness list was used consistently.</w:t>
      </w:r>
    </w:p>
    <w:p>
      <w:r>
        <w:t>☐ Validity is not claimed as confirmed when patient/reporter elements are missing.</w:t>
      </w:r>
    </w:p>
    <w:p>
      <w:r>
        <w:t>☐ Seriousness is based on outcome criteria, not symptom intensity alone.</w:t>
      </w:r>
    </w:p>
    <w:p>
      <w:r>
        <w:t>☐ Severity is recorded only when supplied; unknown details remain unknown.</w:t>
      </w:r>
    </w:p>
    <w:p>
      <w:r>
        <w:t>☐ Causality language is cautious and does not claim proof.</w:t>
      </w:r>
    </w:p>
    <w:p>
      <w:r>
        <w:t>☐ Missing data and follow-up questions are documented for each case.</w:t>
      </w:r>
    </w:p>
    <w:p>
      <w:r>
        <w:t>☐ No real patient information has been added.</w:t>
      </w:r>
    </w:p>
    <w:p>
      <w:pPr>
        <w:pStyle w:val="Heading1"/>
      </w:pPr>
      <w:r>
        <w:t>6. Conclusion</w:t>
      </w:r>
    </w:p>
    <w:p>
      <w:r>
        <w:t>Using the supplied fictional reference, dizziness (PV-201) and a mild self-limiting rash (PV-203) are expected events; appendicitis (PV-202) and loss of consciousness (PV-204) are unexpected. PV-202 is serious because hospitalisation is reported. PV-204 requires clarification of inpatient admission and/or other seriousness criteria. Causality remains provisional or unassessable where evidence is limited. All four summaries lack identifiable patient and reporter details, so minimum case validity cannot be fully confirmed from the summaries alone. Follow-up is required before making firmer assessments.</w:t>
      </w:r>
    </w:p>
    <w:p>
      <w:pPr>
        <w:pStyle w:val="Heading1"/>
      </w:pPr>
      <w:r>
        <w:t>References</w:t>
      </w:r>
    </w:p>
    <w:p>
      <w:pPr>
        <w:pStyle w:val="ListBullet"/>
      </w:pPr>
      <w:r>
        <w:t>EdVyro Internship Task Source Library: Fictional Safety Case and Expectedness Reference (Velunex; PV-201 to PV-204).</w:t>
      </w:r>
    </w:p>
    <w:p>
      <w:pPr>
        <w:pStyle w:val="ListBullet"/>
      </w:pPr>
      <w:r>
        <w:t>WHO–UMC causality assessment system — use as a qualitative framework for likelihood assessment.</w:t>
      </w:r>
    </w:p>
    <w:p>
      <w:pPr>
        <w:pStyle w:val="ListBullet"/>
      </w:pPr>
      <w:r>
        <w:t>ICH E2A: Clinical Safety Data Management — Definitions and Standards for Expedited Reporting.</w:t>
      </w:r>
    </w:p>
    <w:p>
      <w:pPr>
        <w:pStyle w:val="ListBullet"/>
      </w:pPr>
      <w:r>
        <w:t>FDA: What is a Serious Adverse Event?</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Educational simulation only | EdVyro Task 04 | Fictional cases; not for real safety reporting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