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7324D"/>
          <w:sz w:val="56"/>
        </w:rPr>
        <w:t>SAFETY SIGNAL</w:t>
        <w:br/>
        <w:t>REVIEW CAPSTONE</w:t>
      </w:r>
    </w:p>
    <w:p>
      <w:pPr>
        <w:jc w:val="center"/>
      </w:pPr>
      <w:r>
        <w:rPr>
          <w:color w:val="526579"/>
          <w:sz w:val="24"/>
        </w:rPr>
        <w:t>Pharmacovigilance | Synthetic adverse-reaction dataset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Project detail</w:t>
            </w:r>
          </w:p>
        </w:tc>
        <w:tc>
          <w:tcPr>
            <w:tcW w:type="dxa" w:w="676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Dataset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adverse_drug_reactions_sample.csv</w:t>
            </w:r>
          </w:p>
        </w:tc>
      </w:tr>
      <w:tr>
        <w:tc>
          <w:tcPr>
            <w:tcW w:type="dxa" w:w="288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Records reviewed</w:t>
            </w:r>
          </w:p>
        </w:tc>
        <w:tc>
          <w:tcPr>
            <w:tcW w:type="dxa" w:w="676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 type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Synthetic training data; not for real safety reporting</w:t>
            </w:r>
          </w:p>
        </w:tc>
      </w:tr>
      <w:tr>
        <w:tc>
          <w:tcPr>
            <w:tcW w:type="dxa" w:w="288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Prepared</w:t>
            </w:r>
          </w:p>
        </w:tc>
        <w:tc>
          <w:tcPr>
            <w:tcW w:type="dxa" w:w="676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23 October 2026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Scope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Descriptive review and hypothesis generation only</w:t>
            </w:r>
          </w:p>
        </w:tc>
      </w:tr>
    </w:tbl>
    <w:p>
      <w:pPr>
        <w:spacing w:after="20"/>
      </w:pPr>
    </w:p>
    <w:p>
      <w:pPr>
        <w:spacing w:before="300"/>
        <w:jc w:val="center"/>
      </w:pPr>
      <w:r>
        <w:rPr>
          <w:i/>
          <w:color w:val="526579"/>
          <w:sz w:val="20"/>
        </w:rPr>
        <w:t>Important: This small dataset has no exposure denominator, comparator group, verified medical records, or reporting dates. Findings cannot estimate incidence or establish causality.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review covers 8 synthetic reports involving eight different suspected products. Three reports recorded hospitalization as an outcome, and one report was labelled life-threatening. The dataset has no separate formal seriousness assessment field; outcome and severity should not be treated as interchangeable.</w:t>
      </w:r>
    </w:p>
    <w:p>
      <w:r>
        <w:t>Potential pattern for follow-up: two reports describe bleeding-related reactions—“Gastric Ulcer Bleed” with ibuprofen (ADR-9004) and “Uncontrolled Hemorrhage” with warfarin (ADR-9007). Both warrant case-level review, but this is hypothesis-generating only, not evidence that either product caused the event or that a shared signal is established.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360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Observed result</w:t>
            </w:r>
          </w:p>
        </w:tc>
        <w:tc>
          <w:tcPr>
            <w:tcW w:type="dxa" w:w="403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Reports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8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Small descriptive sample</w:t>
            </w:r>
          </w:p>
        </w:tc>
      </w:tr>
      <w:tr>
        <w:tc>
          <w:tcPr>
            <w:tcW w:type="dxa" w:w="201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Severity labels</w:t>
            </w:r>
          </w:p>
        </w:tc>
        <w:tc>
          <w:tcPr>
            <w:tcW w:type="dxa" w:w="360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 mild; 2 moderate; 2 severe; 1 life-threatening</w:t>
            </w:r>
          </w:p>
        </w:tc>
        <w:tc>
          <w:tcPr>
            <w:tcW w:type="dxa" w:w="403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Recorded intensity labels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Outcomes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 recovered; 1 recovering; 3 hospitalized; 1 not recovered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Not equivalent to seriousness</w:t>
            </w:r>
          </w:p>
        </w:tc>
      </w:tr>
      <w:tr>
        <w:tc>
          <w:tcPr>
            <w:tcW w:type="dxa" w:w="201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Reaction onset</w:t>
            </w:r>
          </w:p>
        </w:tc>
        <w:tc>
          <w:tcPr>
            <w:tcW w:type="dxa" w:w="360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1–30 days; median 8.5</w:t>
            </w:r>
          </w:p>
        </w:tc>
        <w:tc>
          <w:tcPr>
            <w:tcW w:type="dxa" w:w="403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Onset timing, not reporting trend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Potential pattern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 bleeding-related reports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Needs verification and context</w:t>
            </w:r>
          </w:p>
        </w:tc>
      </w:tr>
    </w:tbl>
    <w:p>
      <w:pPr>
        <w:spacing w:after="20"/>
      </w:pPr>
    </w:p>
    <w:p>
      <w:pPr>
        <w:pStyle w:val="Heading1"/>
      </w:pPr>
      <w:r>
        <w:t>2. Dataset and Method</w:t>
      </w:r>
    </w:p>
    <w:p>
      <w:r>
        <w:t>Source: user-provided synthetic CSV with ReportID, PatientAge, PatientGender, SuspectedDrug, Indication, AdverseReaction, ReactionOnsetDays, Severity, Outcome, and ReporterType. All eight rows were included; no rows were removed or imputed.</w:t>
      </w:r>
    </w:p>
    <w:p>
      <w:r>
        <w:t>Method: descriptive counts and proportions, onset range and median, and a qualitative review of reaction terms for a possible recurring clinical theme. No statistical testing, disproportionality analysis, causal inference, or incidence estimation was performed.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Data-quality check</w:t>
            </w:r>
          </w:p>
        </w:tc>
        <w:tc>
          <w:tcPr>
            <w:tcW w:type="dxa" w:w="604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Rows / columns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8 / 10</w:t>
            </w:r>
          </w:p>
        </w:tc>
      </w:tr>
      <w:tr>
        <w:tc>
          <w:tcPr>
            <w:tcW w:type="dxa" w:w="360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Missing values</w:t>
            </w:r>
          </w:p>
        </w:tc>
        <w:tc>
          <w:tcPr>
            <w:tcW w:type="dxa" w:w="604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 cells missing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Unique report IDs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8 of 8</w:t>
            </w:r>
          </w:p>
        </w:tc>
      </w:tr>
      <w:tr>
        <w:tc>
          <w:tcPr>
            <w:tcW w:type="dxa" w:w="360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Unique suspected products</w:t>
            </w:r>
          </w:p>
        </w:tc>
        <w:tc>
          <w:tcPr>
            <w:tcW w:type="dxa" w:w="604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8 of 8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Reporting dates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Not supplied</w:t>
            </w:r>
          </w:p>
        </w:tc>
      </w:tr>
      <w:tr>
        <w:tc>
          <w:tcPr>
            <w:tcW w:type="dxa" w:w="360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Exposure denominator / comparator</w:t>
            </w:r>
          </w:p>
        </w:tc>
        <w:tc>
          <w:tcPr>
            <w:tcW w:type="dxa" w:w="604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Not supplied</w:t>
            </w:r>
          </w:p>
        </w:tc>
      </w:tr>
    </w:tbl>
    <w:p>
      <w:pPr>
        <w:spacing w:after="20"/>
      </w:pPr>
    </w:p>
    <w:p>
      <w:pPr>
        <w:pStyle w:val="Heading1"/>
      </w:pPr>
      <w:r>
        <w:t>3. Descriptive Findings</w:t>
      </w:r>
    </w:p>
    <w:p>
      <w:pPr>
        <w:pStyle w:val="Heading2"/>
      </w:pPr>
      <w:r>
        <w:t>Severity labels</w:t>
      </w:r>
    </w:p>
    <w:p>
      <w:r>
        <w:drawing>
          <wp:inline xmlns:a="http://schemas.openxmlformats.org/drawingml/2006/main" xmlns:pic="http://schemas.openxmlformats.org/drawingml/2006/picture">
            <wp:extent cx="5669280" cy="2779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Three reports were labelled mild, two moderate, two severe, and one life-threatening. Severity is the recorded intensity label; regulatory seriousness requires separate assessment.</w:t>
      </w:r>
    </w:p>
    <w:p>
      <w:pPr>
        <w:pStyle w:val="Heading2"/>
      </w:pPr>
      <w:r>
        <w:t>Recorded outcomes</w:t>
      </w:r>
    </w:p>
    <w:p>
      <w:r>
        <w:drawing>
          <wp:inline xmlns:a="http://schemas.openxmlformats.org/drawingml/2006/main" xmlns:pic="http://schemas.openxmlformats.org/drawingml/2006/picture">
            <wp:extent cx="5669280" cy="27791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co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Three reports recorded hospitalization, three recovery, one recovering, and one not recovered. The dataset does not provide enough detail to independently validate every seriousness criterion.</w:t>
      </w:r>
    </w:p>
    <w:p>
      <w:pPr>
        <w:pStyle w:val="Heading1"/>
      </w:pPr>
      <w:r>
        <w:t>4. Reaction-Onset Timing and Case Listing</w:t>
      </w:r>
    </w:p>
    <w:p>
      <w:r>
        <w:drawing>
          <wp:inline xmlns:a="http://schemas.openxmlformats.org/drawingml/2006/main" xmlns:pic="http://schemas.openxmlformats.org/drawingml/2006/picture">
            <wp:extent cx="5669280" cy="2945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s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45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Reported onset ranges from 1 to 30 days, with median 8.5 days. No report dates or longitudinal time series are supplied, so a calendar reporting trend cannot be assessed.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224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Report ID</w:t>
            </w:r>
          </w:p>
        </w:tc>
        <w:tc>
          <w:tcPr>
            <w:tcW w:type="dxa" w:w="1584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Suspected drug</w:t>
            </w:r>
          </w:p>
        </w:tc>
        <w:tc>
          <w:tcPr>
            <w:tcW w:type="dxa" w:w="259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Reaction</w:t>
            </w:r>
          </w:p>
        </w:tc>
        <w:tc>
          <w:tcPr>
            <w:tcW w:type="dxa" w:w="1152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Onset (days)</w:t>
            </w:r>
          </w:p>
        </w:tc>
        <w:tc>
          <w:tcPr>
            <w:tcW w:type="dxa" w:w="144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Severity</w:t>
            </w:r>
          </w:p>
        </w:tc>
        <w:tc>
          <w:tcPr>
            <w:tcW w:type="dxa" w:w="16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Outcome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ADR-9001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Amoxicillin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Skin Rash &amp; Hives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Mild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Recovered</w:t>
            </w:r>
          </w:p>
        </w:tc>
      </w:tr>
      <w:tr>
        <w:tc>
          <w:tcPr>
            <w:tcW w:type="dxa" w:w="12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ADR-9002</w:t>
            </w:r>
          </w:p>
        </w:tc>
        <w:tc>
          <w:tcPr>
            <w:tcW w:type="dxa" w:w="15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Atorvastatin</w:t>
            </w:r>
          </w:p>
        </w:tc>
        <w:tc>
          <w:tcPr>
            <w:tcW w:type="dxa" w:w="259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Severe Muscle Myalgia</w:t>
            </w:r>
          </w:p>
        </w:tc>
        <w:tc>
          <w:tcPr>
            <w:tcW w:type="dxa" w:w="115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14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65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Recovering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ADR-9003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Ciprofloxacin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Tendonitis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Severe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Hospitalized</w:t>
            </w:r>
          </w:p>
        </w:tc>
      </w:tr>
      <w:tr>
        <w:tc>
          <w:tcPr>
            <w:tcW w:type="dxa" w:w="12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ADR-9004</w:t>
            </w:r>
          </w:p>
        </w:tc>
        <w:tc>
          <w:tcPr>
            <w:tcW w:type="dxa" w:w="15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Ibuprofen</w:t>
            </w:r>
          </w:p>
        </w:tc>
        <w:tc>
          <w:tcPr>
            <w:tcW w:type="dxa" w:w="259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Gastric Ulcer Bleed</w:t>
            </w:r>
          </w:p>
        </w:tc>
        <w:tc>
          <w:tcPr>
            <w:tcW w:type="dxa" w:w="115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Severe</w:t>
            </w:r>
          </w:p>
        </w:tc>
        <w:tc>
          <w:tcPr>
            <w:tcW w:type="dxa" w:w="165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Hospitalized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ADR-9005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Lisinopril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Persistent Dry Cough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Mild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Recovered</w:t>
            </w:r>
          </w:p>
        </w:tc>
      </w:tr>
      <w:tr>
        <w:tc>
          <w:tcPr>
            <w:tcW w:type="dxa" w:w="12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ADR-9006</w:t>
            </w:r>
          </w:p>
        </w:tc>
        <w:tc>
          <w:tcPr>
            <w:tcW w:type="dxa" w:w="15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Metformin</w:t>
            </w:r>
          </w:p>
        </w:tc>
        <w:tc>
          <w:tcPr>
            <w:tcW w:type="dxa" w:w="259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Nausea &amp; Diarrhea</w:t>
            </w:r>
          </w:p>
        </w:tc>
        <w:tc>
          <w:tcPr>
            <w:tcW w:type="dxa" w:w="115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Mild</w:t>
            </w:r>
          </w:p>
        </w:tc>
        <w:tc>
          <w:tcPr>
            <w:tcW w:type="dxa" w:w="165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Recovered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ADR-9007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Warfarin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Uncontrolled Hemorrhage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Life-Threatening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Hospitalized</w:t>
            </w:r>
          </w:p>
        </w:tc>
      </w:tr>
      <w:tr>
        <w:tc>
          <w:tcPr>
            <w:tcW w:type="dxa" w:w="122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ADR-9008</w:t>
            </w:r>
          </w:p>
        </w:tc>
        <w:tc>
          <w:tcPr>
            <w:tcW w:type="dxa" w:w="15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Paclitaxel</w:t>
            </w:r>
          </w:p>
        </w:tc>
        <w:tc>
          <w:tcPr>
            <w:tcW w:type="dxa" w:w="259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Peripheral Neuropathy</w:t>
            </w:r>
          </w:p>
        </w:tc>
        <w:tc>
          <w:tcPr>
            <w:tcW w:type="dxa" w:w="1152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30</w:t>
            </w:r>
          </w:p>
        </w:tc>
        <w:tc>
          <w:tcPr>
            <w:tcW w:type="dxa" w:w="144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  <w:tc>
          <w:tcPr>
            <w:tcW w:type="dxa" w:w="165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Not Recovered</w:t>
            </w:r>
          </w:p>
        </w:tc>
      </w:tr>
    </w:tbl>
    <w:p>
      <w:pPr>
        <w:spacing w:after="20"/>
      </w:pPr>
    </w:p>
    <w:p>
      <w:r>
        <w:t>Case listing reproduces supplied fields and does not independently validate diagnoses, exposure, or causality.</w:t>
      </w:r>
    </w:p>
    <w:p>
      <w:pPr>
        <w:pStyle w:val="Heading1"/>
      </w:pPr>
      <w:r>
        <w:t>5. Potential Signal Assessment</w:t>
      </w:r>
    </w:p>
    <w:p>
      <w:r>
        <w:t>Observation: two reports contain bleeding-related terms: ADR-9004 (ibuprofen; “Gastric Ulcer Bleed”; severe; hospitalized) and ADR-9007 (warfarin; “Uncontrolled Hemorrhage”; life-threatening; hospitalized). ADR-9007 is the highest-priority individual record based on supplied severity and outcome fields.</w:t>
      </w:r>
    </w:p>
    <w:p>
      <w:pPr>
        <w:pStyle w:val="Heading2"/>
      </w:pPr>
      <w:r>
        <w:t>Why this is not a confirmed signal</w:t>
      </w:r>
    </w:p>
    <w:p>
      <w:pPr>
        <w:pStyle w:val="ListBullet"/>
        <w:spacing w:after="40"/>
      </w:pPr>
      <w:r>
        <w:t>Only two bleeding-related reports appear in this selected eight-record sample.</w:t>
      </w:r>
    </w:p>
    <w:p>
      <w:pPr>
        <w:pStyle w:val="ListBullet"/>
        <w:spacing w:after="40"/>
      </w:pPr>
      <w:r>
        <w:t>The reports involve different suspected products and different indications.</w:t>
      </w:r>
    </w:p>
    <w:p>
      <w:pPr>
        <w:pStyle w:val="ListBullet"/>
        <w:spacing w:after="40"/>
      </w:pPr>
      <w:r>
        <w:t>No exposure denominator, comparator, background rate, or reporting-period information is available.</w:t>
      </w:r>
    </w:p>
    <w:p>
      <w:pPr>
        <w:pStyle w:val="ListBullet"/>
        <w:spacing w:after="40"/>
      </w:pPr>
      <w:r>
        <w:t>Concomitant medicines, dose, duration, medical history, laboratory results, and verified diagnoses are not supplied.</w:t>
      </w:r>
    </w:p>
    <w:p>
      <w:pPr>
        <w:pStyle w:val="ListBullet"/>
        <w:spacing w:after="40"/>
      </w:pPr>
      <w:r>
        <w:t>The label “SuspectedDrug” does not establish causality.</w:t>
      </w:r>
    </w:p>
    <w:p>
      <w:pPr>
        <w:pStyle w:val="Heading2"/>
      </w:pPr>
      <w:r>
        <w:t>Alternative explanations to investigate</w:t>
      </w:r>
    </w:p>
    <w:p>
      <w:pPr>
        <w:pStyle w:val="ListBullet"/>
        <w:spacing w:after="40"/>
      </w:pPr>
      <w:r>
        <w:t>Underlying condition or comorbidities may contribute to the event.</w:t>
      </w:r>
    </w:p>
    <w:p>
      <w:pPr>
        <w:pStyle w:val="ListBullet"/>
        <w:spacing w:after="40"/>
      </w:pPr>
      <w:r>
        <w:t>Concomitant products or interactions may be relevant.</w:t>
      </w:r>
    </w:p>
    <w:p>
      <w:pPr>
        <w:pStyle w:val="ListBullet"/>
        <w:spacing w:after="40"/>
      </w:pPr>
      <w:r>
        <w:t>Dose, duration, adherence, overdose, or medication-use error may be relevant.</w:t>
      </w:r>
    </w:p>
    <w:p>
      <w:pPr>
        <w:pStyle w:val="ListBullet"/>
        <w:spacing w:after="40"/>
      </w:pPr>
      <w:r>
        <w:t>The reported event term may need clarification or clinical confirmation.</w:t>
      </w:r>
    </w:p>
    <w:p>
      <w:pPr>
        <w:pStyle w:val="ListBullet"/>
        <w:spacing w:after="40"/>
      </w:pPr>
      <w:r>
        <w:t>Selection and reporting effects may explain why these cases appear in this small sample.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676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Potential signal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Bleeding-related reports warrant follow-up review</w:t>
            </w:r>
          </w:p>
        </w:tc>
      </w:tr>
      <w:tr>
        <w:tc>
          <w:tcPr>
            <w:tcW w:type="dxa" w:w="288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Evidence strength</w:t>
            </w:r>
          </w:p>
        </w:tc>
        <w:tc>
          <w:tcPr>
            <w:tcW w:type="dxa" w:w="676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Very limited; descriptive observation only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Causality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Cannot be determined from this dataset</w:t>
            </w:r>
          </w:p>
        </w:tc>
      </w:tr>
      <w:tr>
        <w:tc>
          <w:tcPr>
            <w:tcW w:type="dxa" w:w="2880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</w:t>
            </w:r>
          </w:p>
        </w:tc>
        <w:tc>
          <w:tcPr>
            <w:tcW w:type="dxa" w:w="676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Hypothesis for further evaluation; not confirmed</w:t>
            </w:r>
          </w:p>
        </w:tc>
      </w:tr>
    </w:tbl>
    <w:p>
      <w:pPr>
        <w:spacing w:after="20"/>
      </w:pPr>
    </w:p>
    <w:p>
      <w:pPr>
        <w:pStyle w:val="Heading1"/>
      </w:pPr>
      <w:r>
        <w:t>6. Follow-up Evidence and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5184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Information to request</w:t>
            </w:r>
          </w:p>
        </w:tc>
        <w:tc>
          <w:tcPr>
            <w:tcW w:type="dxa" w:w="3456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Confirm event details, diagnosis, dates, clinical course, and outcome for ADR-9007 and ADR-9004.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Verify reported events</w:t>
            </w:r>
          </w:p>
        </w:tc>
      </w:tr>
      <w:tr>
        <w:tc>
          <w:tcPr>
            <w:tcW w:type="dxa" w:w="100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  <w:tc>
          <w:tcPr>
            <w:tcW w:type="dxa" w:w="51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Relevant medical history, indication details, and prior bleeding/GI history.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Assess alternatives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Concomitant medicines, OTC products, supplements, and recent changes.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Explore co-exposures</w:t>
            </w:r>
          </w:p>
        </w:tc>
      </w:tr>
      <w:tr>
        <w:tc>
          <w:tcPr>
            <w:tcW w:type="dxa" w:w="100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  <w:tc>
          <w:tcPr>
            <w:tcW w:type="dxa" w:w="51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Dose, route, start/stop dates, adherence, medication errors, and overdose information.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Clarify exposure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Relevant laboratory results and clinical findings, if available.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 interpretation</w:t>
            </w:r>
          </w:p>
        </w:tc>
      </w:tr>
      <w:tr>
        <w:tc>
          <w:tcPr>
            <w:tcW w:type="dxa" w:w="1008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Medium</w:t>
            </w:r>
          </w:p>
        </w:tc>
        <w:tc>
          <w:tcPr>
            <w:tcW w:type="dxa" w:w="5184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Dechallenge/rechallenge details; keep absent data as unknown.</w:t>
            </w:r>
          </w:p>
        </w:tc>
        <w:tc>
          <w:tcPr>
            <w:tcW w:type="dxa" w:w="3456"/>
            <w:vAlign w:val="center"/>
            <w:shd w:fill="F1F5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Clarify chronology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Medium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Sufficient reporter/source details for follow-up under privacy procedures.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Improve completeness</w:t>
            </w:r>
          </w:p>
        </w:tc>
      </w:tr>
    </w:tbl>
    <w:p>
      <w:pPr>
        <w:spacing w:after="20"/>
      </w:pPr>
    </w:p>
    <w:p>
      <w:pPr>
        <w:pStyle w:val="Heading2"/>
      </w:pPr>
      <w:r>
        <w:t>Risk-minimization questions</w:t>
      </w:r>
    </w:p>
    <w:p>
      <w:pPr>
        <w:pStyle w:val="ListBullet"/>
        <w:spacing w:after="40"/>
      </w:pPr>
      <w:r>
        <w:t>Do verified case details suggest preventable medication-use factors?</w:t>
      </w:r>
    </w:p>
    <w:p>
      <w:pPr>
        <w:pStyle w:val="ListBullet"/>
        <w:spacing w:after="40"/>
      </w:pPr>
      <w:r>
        <w:t>Are current product information and local risk communications appropriate for the verified evidence?</w:t>
      </w:r>
    </w:p>
    <w:p>
      <w:pPr>
        <w:pStyle w:val="ListBullet"/>
        <w:spacing w:after="40"/>
      </w:pPr>
      <w:r>
        <w:t>Would targeted education or a prescribing/dispensing safeguard be justified after expert review?</w:t>
      </w:r>
    </w:p>
    <w:p>
      <w:pPr>
        <w:pStyle w:val="ListBullet"/>
        <w:spacing w:after="40"/>
      </w:pPr>
      <w:r>
        <w:t>What measurable outcome would show whether any action is working?</w:t>
      </w:r>
    </w:p>
    <w:p>
      <w:r>
        <w:t>Any action should be based on verified evidence, applicable product information, and qualified pharmacovigilance/medical review—not this training sample alone.</w:t>
      </w:r>
    </w:p>
    <w:p>
      <w:pPr>
        <w:pStyle w:val="Heading1"/>
      </w:pPr>
      <w:r>
        <w:t>7. Limitations and Responsible Interpretation</w:t>
      </w:r>
    </w:p>
    <w:p>
      <w:pPr>
        <w:pStyle w:val="ListBullet"/>
        <w:spacing w:after="40"/>
      </w:pPr>
      <w:r>
        <w:t>Synthetic, very small dataset (n=8); not representative of a real population.</w:t>
      </w:r>
    </w:p>
    <w:p>
      <w:pPr>
        <w:pStyle w:val="ListBullet"/>
        <w:spacing w:after="40"/>
      </w:pPr>
      <w:r>
        <w:t>No exposure denominator, comparator group, or background event rates.</w:t>
      </w:r>
    </w:p>
    <w:p>
      <w:pPr>
        <w:pStyle w:val="ListBullet"/>
        <w:spacing w:after="40"/>
      </w:pPr>
      <w:r>
        <w:t>No report dates; reporting trends over time cannot be assessed.</w:t>
      </w:r>
    </w:p>
    <w:p>
      <w:pPr>
        <w:pStyle w:val="ListBullet"/>
        <w:spacing w:after="40"/>
      </w:pPr>
      <w:r>
        <w:t>No separate seriousness field; hospitalization is an outcome label, not a complete seriousness assessment by itself.</w:t>
      </w:r>
    </w:p>
    <w:p>
      <w:pPr>
        <w:pStyle w:val="ListBullet"/>
        <w:spacing w:after="40"/>
      </w:pPr>
      <w:r>
        <w:t>No case narratives, source documents, concomitant medicines, laboratory data, dechallenge/rechallenge, or verified diagnoses.</w:t>
      </w:r>
    </w:p>
    <w:p>
      <w:pPr>
        <w:pStyle w:val="ListBullet"/>
        <w:spacing w:after="40"/>
      </w:pPr>
      <w:r>
        <w:t>One report per suspected product; product-level comparisons are not meaningful.</w:t>
      </w:r>
    </w:p>
    <w:p>
      <w:pPr>
        <w:pStyle w:val="ListBullet"/>
        <w:spacing w:after="40"/>
      </w:pPr>
      <w:r>
        <w:t>Descriptive counts cannot establish causality, incidence, relative risk, or a confirmed safety signal.</w:t>
      </w:r>
    </w:p>
    <w:p>
      <w:pPr>
        <w:pStyle w:val="Heading1"/>
      </w:pPr>
      <w:r>
        <w:t>8. Conclusion</w:t>
      </w:r>
    </w:p>
    <w:p>
      <w:r>
        <w:t>The eight-record synthetic dataset contains three hospitalization outcomes and one life-threatening severity label. Two reports describe bleeding-related events and merit focused case-level follow-up as a hypothesis-generating pattern. The dataset is too small and lacks clinical, exposure, comparator, and reporting-time information needed to confirm a signal or infer causation.</w:t>
      </w:r>
    </w:p>
    <w:p>
      <w:r>
        <w:t>Recommended next step: verify the two bleeding-related case records, obtain missing clinical and medication-use context, and reassess only after evidence review.</w:t>
      </w:r>
    </w:p>
    <w:p>
      <w:pPr>
        <w:pStyle w:val="Heading1"/>
      </w:pPr>
      <w:r>
        <w:t>9. Resume-Ready Project Description</w:t>
      </w:r>
    </w:p>
    <w:p>
      <w:r>
        <w:rPr>
          <w:b/>
        </w:rPr>
        <w:t>Pharmacovigilance Practice Project | Safety Signal Review</w:t>
        <w:br/>
      </w:r>
      <w:r>
        <w:t>Self-directed training project using synthetic data</w:t>
        <w:br/>
      </w:r>
    </w:p>
    <w:p>
      <w:pPr>
        <w:pStyle w:val="ListBullet"/>
        <w:spacing w:after="40"/>
      </w:pPr>
      <w:r>
        <w:t>Reviewed an 8-record synthetic adverse-reaction dataset and summarized severity labels, outcomes, and reaction-onset timing using descriptive analysis.</w:t>
      </w:r>
    </w:p>
    <w:p>
      <w:pPr>
        <w:pStyle w:val="ListBullet"/>
        <w:spacing w:after="40"/>
      </w:pPr>
      <w:r>
        <w:t>Created charts and case-level tables to communicate safety-data patterns and data limitations.</w:t>
      </w:r>
    </w:p>
    <w:p>
      <w:pPr>
        <w:pStyle w:val="ListBullet"/>
        <w:spacing w:after="40"/>
      </w:pPr>
      <w:r>
        <w:t>Flagged two bleeding-related reports for follow-up assessment while documenting alternative explanations and missing evidence.</w:t>
      </w:r>
    </w:p>
    <w:p>
      <w:pPr>
        <w:pStyle w:val="ListBullet"/>
        <w:spacing w:after="40"/>
      </w:pPr>
      <w:r>
        <w:t>Applied cautious pharmacovigilance reasoning by distinguishing severity from seriousness and avoiding unsupported causality claims.</w:t>
      </w:r>
    </w:p>
    <w:p>
      <w:pPr>
        <w:pStyle w:val="Heading2"/>
      </w:pPr>
      <w:r>
        <w:t>Suggested ATS keywords</w:t>
      </w:r>
    </w:p>
    <w:p>
      <w:r>
        <w:t>Pharmacovigilance • Adverse Event Review • Safety Signal Detection (training) • Case Triage • Seriousness vs Severity • Descriptive Data Analysis • Safety Data Interpretation • Follow-up Questions • Risk Minimization • Data Quality Review • Report Writing</w:t>
      </w:r>
    </w:p>
    <w:p>
      <w:pPr>
        <w:pStyle w:val="Heading1"/>
      </w:pPr>
      <w:r>
        <w:t>10. References and Scope Note</w:t>
      </w:r>
    </w:p>
    <w:p>
      <w:r>
        <w:t>Primary source: EdVyro “Safety Signal Review Capstone” brief and the supplied adverse-reaction aggregate CSV. This report uses synthetic data only and is not medical advice or a real safety report.</w:t>
      </w:r>
    </w:p>
    <w:p>
      <w:pPr>
        <w:pStyle w:val="ListBullet"/>
        <w:spacing w:after="40"/>
      </w:pPr>
      <w:r>
        <w:t>ICH E2A: Clinical Safety Data Management — https://database.ich.org/sites/default/files/E2A_Guideline.pdf</w:t>
      </w:r>
    </w:p>
    <w:p>
      <w:pPr>
        <w:pStyle w:val="ListBullet"/>
        <w:spacing w:after="40"/>
      </w:pPr>
      <w:r>
        <w:t>WHO–UMC causality assessment system — https://who-umc.org/media/u4gjgxvv/who-umc-causality-assessment_new-logo.pdf</w:t>
      </w:r>
    </w:p>
    <w:p>
      <w:pPr>
        <w:pStyle w:val="ListBullet"/>
        <w:spacing w:after="40"/>
      </w:pPr>
      <w:r>
        <w:t>FDA: What is a Serious Adverse Event? — https://www.fda.gov/safety/reporting-serious-problems-fda/what-serious-adverse-event</w:t>
      </w:r>
    </w:p>
    <w:sectPr w:rsidR="00FC693F" w:rsidRPr="0006063C" w:rsidSect="00034616"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EdVyro | Pharmacovigilance training project | Synthetic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3578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