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Causality, Seriousness and Expectedness Assessment</w:t>
      </w:r>
    </w:p>
    <w:p>
      <w:pPr>
        <w:jc w:val="center"/>
      </w:pPr>
      <w:r>
        <w:t>Pharmacovigilance Training Project | Fictional case only</w:t>
      </w:r>
    </w:p>
    <w:p>
      <w:pPr>
        <w:pStyle w:val="Heading1"/>
      </w:pPr>
      <w:r>
        <w:t>1. Objective</w:t>
      </w:r>
    </w:p>
    <w:p>
      <w:r>
        <w:t>Practice documenting causality, seriousness, and expectedness assessments using limited source information. This exercise is educational and is not a real case assessment or regulatory decision.</w:t>
      </w:r>
    </w:p>
    <w:p>
      <w:pPr>
        <w:pStyle w:val="Heading1"/>
      </w:pPr>
      <w:r>
        <w:t>2. Fictional Source Case</w:t>
      </w:r>
    </w:p>
    <w:p>
      <w:r>
        <w:t>A fictional adult patient aged 34 (sex not reported) experienced a skin rash after taking a fictional medicine called “Medorin”. A pharmacist reported the event. The dose, route, indication, treatment start date, event onset date, outcome, clinical details, medical history, concomitant medicines, and product reference safety information were not provided.</w:t>
      </w:r>
    </w:p>
    <w:p>
      <w:pPr>
        <w:pStyle w:val="Heading1"/>
      </w:pPr>
      <w:r>
        <w:t>3. Causality Assessment</w:t>
      </w:r>
    </w:p>
    <w:p>
      <w:r>
        <w:t>Meaning: assess whether the available evidence supports a relationship between the suspect product and the event. Temporal association alone does not establish causation.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Factor</w:t>
            </w:r>
          </w:p>
        </w:tc>
        <w:tc>
          <w:tcPr>
            <w:tcW w:type="dxa" w:w="2880"/>
          </w:tcPr>
          <w:p>
            <w:r>
              <w:t>Available information</w:t>
            </w:r>
          </w:p>
        </w:tc>
        <w:tc>
          <w:tcPr>
            <w:tcW w:type="dxa" w:w="2880"/>
          </w:tcPr>
          <w:p>
            <w:r>
              <w:t>Assessment / limitation</w:t>
            </w:r>
          </w:p>
        </w:tc>
      </w:tr>
      <w:tr>
        <w:tc>
          <w:tcPr>
            <w:tcW w:type="dxa" w:w="2880"/>
          </w:tcPr>
          <w:p>
            <w:r>
              <w:t>Time to onset</w:t>
            </w:r>
          </w:p>
        </w:tc>
        <w:tc>
          <w:tcPr>
            <w:tcW w:type="dxa" w:w="2880"/>
          </w:tcPr>
          <w:p>
            <w:r>
              <w:t>Not reported</w:t>
            </w:r>
          </w:p>
        </w:tc>
        <w:tc>
          <w:tcPr>
            <w:tcW w:type="dxa" w:w="2880"/>
          </w:tcPr>
          <w:p>
            <w:r>
              <w:t>Cannot assess timing.</w:t>
            </w:r>
          </w:p>
        </w:tc>
      </w:tr>
      <w:tr>
        <w:tc>
          <w:tcPr>
            <w:tcW w:type="dxa" w:w="2880"/>
          </w:tcPr>
          <w:p>
            <w:r>
              <w:t>Dechallenge (event after stopping product)</w:t>
            </w:r>
          </w:p>
        </w:tc>
        <w:tc>
          <w:tcPr>
            <w:tcW w:type="dxa" w:w="2880"/>
          </w:tcPr>
          <w:p>
            <w:r>
              <w:t>Not reported</w:t>
            </w:r>
          </w:p>
        </w:tc>
        <w:tc>
          <w:tcPr>
            <w:tcW w:type="dxa" w:w="2880"/>
          </w:tcPr>
          <w:p>
            <w:r>
              <w:t>Cannot assess.</w:t>
            </w:r>
          </w:p>
        </w:tc>
      </w:tr>
      <w:tr>
        <w:tc>
          <w:tcPr>
            <w:tcW w:type="dxa" w:w="2880"/>
          </w:tcPr>
          <w:p>
            <w:r>
              <w:t>Rechallenge (event after restarting product)</w:t>
            </w:r>
          </w:p>
        </w:tc>
        <w:tc>
          <w:tcPr>
            <w:tcW w:type="dxa" w:w="2880"/>
          </w:tcPr>
          <w:p>
            <w:r>
              <w:t>Not reported</w:t>
            </w:r>
          </w:p>
        </w:tc>
        <w:tc>
          <w:tcPr>
            <w:tcW w:type="dxa" w:w="2880"/>
          </w:tcPr>
          <w:p>
            <w:r>
              <w:t>Cannot assess; do not recommend rechallenge.</w:t>
            </w:r>
          </w:p>
        </w:tc>
      </w:tr>
      <w:tr>
        <w:tc>
          <w:tcPr>
            <w:tcW w:type="dxa" w:w="2880"/>
          </w:tcPr>
          <w:p>
            <w:r>
              <w:t>Alternative causes / medical history</w:t>
            </w:r>
          </w:p>
        </w:tc>
        <w:tc>
          <w:tcPr>
            <w:tcW w:type="dxa" w:w="2880"/>
          </w:tcPr>
          <w:p>
            <w:r>
              <w:t>Not reported</w:t>
            </w:r>
          </w:p>
        </w:tc>
        <w:tc>
          <w:tcPr>
            <w:tcW w:type="dxa" w:w="2880"/>
          </w:tcPr>
          <w:p>
            <w:r>
              <w:t>Cannot assess competing explanations.</w:t>
            </w:r>
          </w:p>
        </w:tc>
      </w:tr>
      <w:tr>
        <w:tc>
          <w:tcPr>
            <w:tcW w:type="dxa" w:w="2880"/>
          </w:tcPr>
          <w:p>
            <w:r>
              <w:t>Concomitant medicines</w:t>
            </w:r>
          </w:p>
        </w:tc>
        <w:tc>
          <w:tcPr>
            <w:tcW w:type="dxa" w:w="2880"/>
          </w:tcPr>
          <w:p>
            <w:r>
              <w:t>Not reported</w:t>
            </w:r>
          </w:p>
        </w:tc>
        <w:tc>
          <w:tcPr>
            <w:tcW w:type="dxa" w:w="2880"/>
          </w:tcPr>
          <w:p>
            <w:r>
              <w:t>Cannot assess other potential causes.</w:t>
            </w:r>
          </w:p>
        </w:tc>
      </w:tr>
      <w:tr>
        <w:tc>
          <w:tcPr>
            <w:tcW w:type="dxa" w:w="2880"/>
          </w:tcPr>
          <w:p>
            <w:r>
              <w:t>Clinical details / investigations</w:t>
            </w:r>
          </w:p>
        </w:tc>
        <w:tc>
          <w:tcPr>
            <w:tcW w:type="dxa" w:w="2880"/>
          </w:tcPr>
          <w:p>
            <w:r>
              <w:t>Not reported</w:t>
            </w:r>
          </w:p>
        </w:tc>
        <w:tc>
          <w:tcPr>
            <w:tcW w:type="dxa" w:w="2880"/>
          </w:tcPr>
          <w:p>
            <w:r>
              <w:t>Evidence is insufficient for a conclusion.</w:t>
            </w:r>
          </w:p>
        </w:tc>
      </w:tr>
    </w:tbl>
    <w:p>
      <w:r>
        <w:t>Training conclusion: causality is unassessable / insufficient information in this fictional example. Do not label the event “related” solely because it occurred after the medicine was taken. Follow the applicable company procedure and document the rationale.</w:t>
      </w:r>
    </w:p>
    <w:p>
      <w:pPr>
        <w:pStyle w:val="Heading1"/>
      </w:pPr>
      <w:r>
        <w:t>4. Seriousness Assessment</w:t>
      </w:r>
    </w:p>
    <w:p>
      <w:r>
        <w:t>Regulatory seriousness is based on outcome criteria, not simply how intense an event sounds. Common serious-event criteria include death, life-threatening event, inpatient hospitalization or prolongation of existing hospitalization, persistent or significant disability/incapacity, congenital anomaly/birth defect, and other medically important events.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Information in source</w:t>
            </w:r>
          </w:p>
        </w:tc>
        <w:tc>
          <w:tcPr>
            <w:tcW w:type="dxa" w:w="2880"/>
          </w:tcPr>
          <w:p>
            <w:r>
              <w:t>Result</w:t>
            </w:r>
          </w:p>
        </w:tc>
      </w:tr>
      <w:tr>
        <w:tc>
          <w:tcPr>
            <w:tcW w:type="dxa" w:w="2880"/>
          </w:tcPr>
          <w:p>
            <w:r>
              <w:t>Death</w:t>
            </w:r>
          </w:p>
        </w:tc>
        <w:tc>
          <w:tcPr>
            <w:tcW w:type="dxa" w:w="2880"/>
          </w:tcPr>
          <w:p>
            <w:r>
              <w:t>Not reported</w:t>
            </w:r>
          </w:p>
        </w:tc>
        <w:tc>
          <w:tcPr>
            <w:tcW w:type="dxa" w:w="2880"/>
          </w:tcPr>
          <w:p>
            <w:r>
              <w:t>Unknown</w:t>
            </w:r>
          </w:p>
        </w:tc>
      </w:tr>
      <w:tr>
        <w:tc>
          <w:tcPr>
            <w:tcW w:type="dxa" w:w="2880"/>
          </w:tcPr>
          <w:p>
            <w:r>
              <w:t>Life-threatening</w:t>
            </w:r>
          </w:p>
        </w:tc>
        <w:tc>
          <w:tcPr>
            <w:tcW w:type="dxa" w:w="2880"/>
          </w:tcPr>
          <w:p>
            <w:r>
              <w:t>Not reported</w:t>
            </w:r>
          </w:p>
        </w:tc>
        <w:tc>
          <w:tcPr>
            <w:tcW w:type="dxa" w:w="2880"/>
          </w:tcPr>
          <w:p>
            <w:r>
              <w:t>Unknown</w:t>
            </w:r>
          </w:p>
        </w:tc>
      </w:tr>
      <w:tr>
        <w:tc>
          <w:tcPr>
            <w:tcW w:type="dxa" w:w="2880"/>
          </w:tcPr>
          <w:p>
            <w:r>
              <w:t>Hospitalization / prolonged hospitalization</w:t>
            </w:r>
          </w:p>
        </w:tc>
        <w:tc>
          <w:tcPr>
            <w:tcW w:type="dxa" w:w="2880"/>
          </w:tcPr>
          <w:p>
            <w:r>
              <w:t>Not reported</w:t>
            </w:r>
          </w:p>
        </w:tc>
        <w:tc>
          <w:tcPr>
            <w:tcW w:type="dxa" w:w="2880"/>
          </w:tcPr>
          <w:p>
            <w:r>
              <w:t>Unknown</w:t>
            </w:r>
          </w:p>
        </w:tc>
      </w:tr>
      <w:tr>
        <w:tc>
          <w:tcPr>
            <w:tcW w:type="dxa" w:w="2880"/>
          </w:tcPr>
          <w:p>
            <w:r>
              <w:t>Persistent or significant disability/incapacity</w:t>
            </w:r>
          </w:p>
        </w:tc>
        <w:tc>
          <w:tcPr>
            <w:tcW w:type="dxa" w:w="2880"/>
          </w:tcPr>
          <w:p>
            <w:r>
              <w:t>Not reported</w:t>
            </w:r>
          </w:p>
        </w:tc>
        <w:tc>
          <w:tcPr>
            <w:tcW w:type="dxa" w:w="2880"/>
          </w:tcPr>
          <w:p>
            <w:r>
              <w:t>Unknown</w:t>
            </w:r>
          </w:p>
        </w:tc>
      </w:tr>
      <w:tr>
        <w:tc>
          <w:tcPr>
            <w:tcW w:type="dxa" w:w="2880"/>
          </w:tcPr>
          <w:p>
            <w:r>
              <w:t>Congenital anomaly/birth defect</w:t>
            </w:r>
          </w:p>
        </w:tc>
        <w:tc>
          <w:tcPr>
            <w:tcW w:type="dxa" w:w="2880"/>
          </w:tcPr>
          <w:p>
            <w:r>
              <w:t>Not reported</w:t>
            </w:r>
          </w:p>
        </w:tc>
        <w:tc>
          <w:tcPr>
            <w:tcW w:type="dxa" w:w="2880"/>
          </w:tcPr>
          <w:p>
            <w:r>
              <w:t>Unknown / not assessable</w:t>
            </w:r>
          </w:p>
        </w:tc>
      </w:tr>
      <w:tr>
        <w:tc>
          <w:tcPr>
            <w:tcW w:type="dxa" w:w="2880"/>
          </w:tcPr>
          <w:p>
            <w:r>
              <w:t>Other medically important event</w:t>
            </w:r>
          </w:p>
        </w:tc>
        <w:tc>
          <w:tcPr>
            <w:tcW w:type="dxa" w:w="2880"/>
          </w:tcPr>
          <w:p>
            <w:r>
              <w:t>Clinical details not provided</w:t>
            </w:r>
          </w:p>
        </w:tc>
        <w:tc>
          <w:tcPr>
            <w:tcW w:type="dxa" w:w="2880"/>
          </w:tcPr>
          <w:p>
            <w:r>
              <w:t>Cannot determine</w:t>
            </w:r>
          </w:p>
        </w:tc>
      </w:tr>
    </w:tbl>
    <w:p>
      <w:r>
        <w:t>Training conclusion: seriousness cannot be determined from the supplied information. Request follow-up. Do not classify the case as non-serious merely because the source does not mention hospitalization or other criteria.</w:t>
      </w:r>
    </w:p>
    <w:p>
      <w:pPr>
        <w:pStyle w:val="Heading1"/>
      </w:pPr>
      <w:r>
        <w:t>5. Expectedness / Listedness Assessment</w:t>
      </w:r>
    </w:p>
    <w:p>
      <w:r>
        <w:t>Expectedness is assessed against the applicable reference safety information (RSI), such as the relevant approved product information or Company Core Data Sheet, according to the applicable reporting framework and procedure. Compare the reported nature, specificity, and severity of the event with the reference information.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Required item</w:t>
            </w:r>
          </w:p>
        </w:tc>
        <w:tc>
          <w:tcPr>
            <w:tcW w:type="dxa" w:w="2880"/>
          </w:tcPr>
          <w:p>
            <w:r>
              <w:t>Available information</w:t>
            </w:r>
          </w:p>
        </w:tc>
        <w:tc>
          <w:tcPr>
            <w:tcW w:type="dxa" w:w="2880"/>
          </w:tcPr>
          <w:p>
            <w:r>
              <w:t>Result</w:t>
            </w:r>
          </w:p>
        </w:tc>
      </w:tr>
      <w:tr>
        <w:tc>
          <w:tcPr>
            <w:tcW w:type="dxa" w:w="2880"/>
          </w:tcPr>
          <w:p>
            <w:r>
              <w:t>Applicable product RSI / version</w:t>
            </w:r>
          </w:p>
        </w:tc>
        <w:tc>
          <w:tcPr>
            <w:tcW w:type="dxa" w:w="2880"/>
          </w:tcPr>
          <w:p>
            <w:r>
              <w:t>Not provided</w:t>
            </w:r>
          </w:p>
        </w:tc>
        <w:tc>
          <w:tcPr>
            <w:tcW w:type="dxa" w:w="2880"/>
          </w:tcPr>
          <w:p>
            <w:r>
              <w:t>Cannot assess</w:t>
            </w:r>
          </w:p>
        </w:tc>
      </w:tr>
      <w:tr>
        <w:tc>
          <w:tcPr>
            <w:tcW w:type="dxa" w:w="2880"/>
          </w:tcPr>
          <w:p>
            <w:r>
              <w:t>Reported event term</w:t>
            </w:r>
          </w:p>
        </w:tc>
        <w:tc>
          <w:tcPr>
            <w:tcW w:type="dxa" w:w="2880"/>
          </w:tcPr>
          <w:p>
            <w:r>
              <w:t>Skin rash</w:t>
            </w:r>
          </w:p>
        </w:tc>
        <w:tc>
          <w:tcPr>
            <w:tcW w:type="dxa" w:w="2880"/>
          </w:tcPr>
          <w:p>
            <w:r>
              <w:t>Available but broad</w:t>
            </w:r>
          </w:p>
        </w:tc>
      </w:tr>
      <w:tr>
        <w:tc>
          <w:tcPr>
            <w:tcW w:type="dxa" w:w="2880"/>
          </w:tcPr>
          <w:p>
            <w:r>
              <w:t>Matching listed event and specificity</w:t>
            </w:r>
          </w:p>
        </w:tc>
        <w:tc>
          <w:tcPr>
            <w:tcW w:type="dxa" w:w="2880"/>
          </w:tcPr>
          <w:p>
            <w:r>
              <w:t>No RSI supplied</w:t>
            </w:r>
          </w:p>
        </w:tc>
        <w:tc>
          <w:tcPr>
            <w:tcW w:type="dxa" w:w="2880"/>
          </w:tcPr>
          <w:p>
            <w:r>
              <w:t>Cannot compare</w:t>
            </w:r>
          </w:p>
        </w:tc>
      </w:tr>
      <w:tr>
        <w:tc>
          <w:tcPr>
            <w:tcW w:type="dxa" w:w="2880"/>
          </w:tcPr>
          <w:p>
            <w:r>
              <w:t>Severity comparison</w:t>
            </w:r>
          </w:p>
        </w:tc>
        <w:tc>
          <w:tcPr>
            <w:tcW w:type="dxa" w:w="2880"/>
          </w:tcPr>
          <w:p>
            <w:r>
              <w:t>Severity not reported</w:t>
            </w:r>
          </w:p>
        </w:tc>
        <w:tc>
          <w:tcPr>
            <w:tcW w:type="dxa" w:w="2880"/>
          </w:tcPr>
          <w:p>
            <w:r>
              <w:t>Cannot assess</w:t>
            </w:r>
          </w:p>
        </w:tc>
      </w:tr>
    </w:tbl>
    <w:p>
      <w:r>
        <w:t>Training conclusion: expectedness is unassessable because the relevant RSI is unavailable. Do not assume the event is expected or unexpected. “Unexpected” generally means the nature, severity, or specificity is inconsistent with the applicable reference safety information; exact rules depend on the reporting framework.</w:t>
      </w:r>
    </w:p>
    <w:p>
      <w:pPr>
        <w:pStyle w:val="Heading1"/>
      </w:pPr>
      <w:r>
        <w:t>6. Overall Assessment Summary</w:t>
      </w:r>
    </w:p>
    <w:tbl>
      <w:tblPr>
        <w:tblStyle w:val="LightShading-Accent1"/>
        <w:tblW w:type="auto" w:w="0"/>
        <w:tblLook w:firstColumn="1" w:firstRow="1" w:lastColumn="0" w:lastRow="0" w:noHBand="0" w:noVBand="1" w:val="04A0"/>
      </w:tblPr>
      <w:tblGrid>
        <w:gridCol w:w="4320"/>
        <w:gridCol w:w="4320"/>
      </w:tblGrid>
      <w:tr>
        <w:tc>
          <w:tcPr>
            <w:tcW w:type="dxa" w:w="4320"/>
          </w:tcPr>
          <w:p>
            <w:r>
              <w:t>Assessment</w:t>
            </w:r>
          </w:p>
        </w:tc>
        <w:tc>
          <w:tcPr>
            <w:tcW w:type="dxa" w:w="4320"/>
          </w:tcPr>
          <w:p>
            <w:r>
              <w:t>Training result</w:t>
            </w:r>
          </w:p>
        </w:tc>
      </w:tr>
      <w:tr>
        <w:tc>
          <w:tcPr>
            <w:tcW w:type="dxa" w:w="4320"/>
          </w:tcPr>
          <w:p>
            <w:r>
              <w:t>Causality</w:t>
            </w:r>
          </w:p>
        </w:tc>
        <w:tc>
          <w:tcPr>
            <w:tcW w:type="dxa" w:w="4320"/>
          </w:tcPr>
          <w:p>
            <w:r>
              <w:t>Unassessable / insufficient information</w:t>
            </w:r>
          </w:p>
        </w:tc>
      </w:tr>
      <w:tr>
        <w:tc>
          <w:tcPr>
            <w:tcW w:type="dxa" w:w="4320"/>
          </w:tcPr>
          <w:p>
            <w:r>
              <w:t>Seriousness</w:t>
            </w:r>
          </w:p>
        </w:tc>
        <w:tc>
          <w:tcPr>
            <w:tcW w:type="dxa" w:w="4320"/>
          </w:tcPr>
          <w:p>
            <w:r>
              <w:t>Unknown; follow-up required</w:t>
            </w:r>
          </w:p>
        </w:tc>
      </w:tr>
      <w:tr>
        <w:tc>
          <w:tcPr>
            <w:tcW w:type="dxa" w:w="4320"/>
          </w:tcPr>
          <w:p>
            <w:r>
              <w:t>Expectedness</w:t>
            </w:r>
          </w:p>
        </w:tc>
        <w:tc>
          <w:tcPr>
            <w:tcW w:type="dxa" w:w="4320"/>
          </w:tcPr>
          <w:p>
            <w:r>
              <w:t>Unassessable; applicable RSI not supplied</w:t>
            </w:r>
          </w:p>
        </w:tc>
      </w:tr>
    </w:tbl>
    <w:p>
      <w:pPr>
        <w:pStyle w:val="Heading1"/>
      </w:pPr>
      <w:r>
        <w:t>7. Follow-up Questions</w:t>
      </w:r>
    </w:p>
    <w:p>
      <w:pPr>
        <w:pStyle w:val="ListBullet"/>
      </w:pPr>
      <w:r>
        <w:t>What were the product dose, route, indication, start date, and stop date?</w:t>
      </w:r>
    </w:p>
    <w:p>
      <w:pPr>
        <w:pStyle w:val="ListBullet"/>
      </w:pPr>
      <w:r>
        <w:t>When did the rash start and what was its clinical description and severity?</w:t>
      </w:r>
    </w:p>
    <w:p>
      <w:pPr>
        <w:pStyle w:val="ListBullet"/>
      </w:pPr>
      <w:r>
        <w:t>Did the event result in death, life-threatening condition, hospitalization, disability, congenital anomaly, or another medically important condition?</w:t>
      </w:r>
    </w:p>
    <w:p>
      <w:pPr>
        <w:pStyle w:val="ListBullet"/>
      </w:pPr>
      <w:r>
        <w:t>What was the outcome, and was treatment required?</w:t>
      </w:r>
    </w:p>
    <w:p>
      <w:pPr>
        <w:pStyle w:val="ListBullet"/>
      </w:pPr>
      <w:r>
        <w:t>Were there other medicines, medical conditions, or alternative explanations?</w:t>
      </w:r>
    </w:p>
    <w:p>
      <w:pPr>
        <w:pStyle w:val="ListBullet"/>
      </w:pPr>
      <w:r>
        <w:t>What is the applicable current reference safety information (RSI) for the suspect product?</w:t>
      </w:r>
    </w:p>
    <w:p>
      <w:pPr>
        <w:pStyle w:val="Heading1"/>
      </w:pPr>
      <w:r>
        <w:t>8. Quality and Compliance Notes</w:t>
      </w:r>
    </w:p>
    <w:p>
      <w:r>
        <w:t>Use only the information in the source. Mark unknown information clearly, preserve the source wording, document the rationale for each assessment, and request follow-up when feasible. Follow the organization’s SOP and applicable regulatory reporting requirements. This fictional training file is not a substitute for qualified case review.</w:t>
      </w:r>
    </w:p>
    <w:p>
      <w:pPr>
        <w:pStyle w:val="Heading1"/>
      </w:pPr>
      <w:r>
        <w:t>References for further study</w:t>
      </w:r>
    </w:p>
    <w:p>
      <w:r>
        <w:t>ICH E2A – Clinical Safety Data Management: Definitions and Standards for Expedited Reporting: https://www.ich.org/</w:t>
      </w:r>
    </w:p>
    <w:p>
      <w:r>
        <w:t>European Medicines Agency – Good Pharmacovigilance Practices (GVP): https://www.ema.europa.eu/en/human-regulatory-overview/post-authorisation/pharmacovigilance-post-authorisation/good-pharmacovigilance-practices</w:t>
      </w:r>
    </w:p>
    <w:p>
      <w:r>
        <w:t>MedDRA official website: https://www.meddra.org/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