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220.0" w:type="dxa"/>
              <w:left w:w="200.0" w:type="dxa"/>
              <w:bottom w:w="220.0" w:type="dxa"/>
              <w:right w:w="200.0" w:type="dxa"/>
            </w:tcMar>
          </w:tcPr>
          <w:p w:rsidR="00000000" w:rsidDel="00000000" w:rsidP="00000000" w:rsidRDefault="00000000" w:rsidRPr="00000000" w14:paraId="0000000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8860b"/>
                <w:sz w:val="21"/>
                <w:szCs w:val="21"/>
                <w:rtl w:val="0"/>
              </w:rPr>
              <w:t>Pendidikan Agama Islam dan Budi Pekerti  •  Elemen Al-Qur'an hadits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A.  IDENTITAS DAN TUJUAN PEMBELAJARAN</w:t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Al-Qur'an hadits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4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Keimanan — Q.S. al-Baqarah/2: 285; Tajwid Alif Lam (Qamariyah dan Syamsiyah)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Membaca, menghafal, menulis, dan menjelaskan ayat Al-Qur'an tentang pentingnya iman, takwa, toleransi, cinta tanah air, semangat keilmuan, dan sabar dalam menghadapi musibah dan ujian beserta hadits terkait.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Memahami ayat Al-Qur'an dan hadits terkait dengan pentingnya iman dalam kehidupan seorang Muslim.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B.  KRITERIA KETERCAPAIAN TUJUAN PEMBELAJARAN (KKTP)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1 — Membaca secara tartil Q.S. al-Baqarah/2: 285 sesuai kaidah ilmu tajwid, terutama bacaan Alif Lam Qamariyah dan Alif Lam Syamsiyah.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Rubrik  </w:t>
      </w: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Kelancaran, ketepatan makhraj, dan penerapan hukum bacaan Alif Lam Qamariyah/Syamsiyah pada Q.S. al-Baqarah/2:285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dengan banyak kesalahan pada makhraj dan hukum bacaan Alif Lam; belum lancar dan sering dibantu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cukup lancar, namun masih terdapat beberapa kesalahan pada penerapan hukum bacaan Alif 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lancar, makhraj tepat, hukum bacaan Alif Lam diterapkan benar pada sebagian besar ayat.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tartil dan lancar, makhraj sangat tepat, seluruh hukum bacaan Alif Lam diterapkan benar dan konsisten.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2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membaca (talaqqi) ulang; murid pada kategori Sangat Baik dapat menjadi tutor sebaya.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2 — Menjelaskan hukum bacaan tajwid Alif Lam Syamsiyah dan Qamariyah pada ayat terkait dengan benar.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Deskripsi Kriteria  </w:t>
      </w: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Menyebutkan pengertian Alif Lam Syamsiyah dan Alif Lam Qamariyah dengan tepat.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b57" w:space="0" w:sz="4" w:val="single"/>
              <w:left w:color="1f3b57" w:space="0" w:sz="4" w:val="single"/>
              <w:bottom w:color="1f3b57" w:space="0" w:sz="4" w:val="single"/>
              <w:right w:color="1f3b5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b57" w:space="0" w:sz="4" w:val="single"/>
              <w:left w:color="1f3b57" w:space="0" w:sz="4" w:val="single"/>
              <w:bottom w:color="1f3b57" w:space="0" w:sz="4" w:val="single"/>
              <w:right w:color="1f3b5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huruf-huruf Syamsiyah dan Qamariyah dengan benar.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Menunjukkan minimal dua contoh penerapan hukum bacaan Alif Lam Syamsiyah dan Qamariyah pada Q.S. al-Baqarah/2:285.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cara membaca (dilebur/dibaca jelas) sesuai jenis hukum bacaannya.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kriteria yang belum tercapai.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>IKTP 3 — Menganalisis makna yang terkandung pada Q.S. al-Baqarah/2: 285 beserta hadits terkait dengan perilaku seorang Muslim.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Interval Nilai  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Menguraikan makna pokok kandungan Q.S. al-Baqarah/2:285.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>Mengaitkan makna ayat dengan hadits terkait tentang keimanan.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>Menganalisis hubungan makna ayat dan hadits dengan perilaku sehari-hari seorang Muslim.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hasil analisis secara logis dan sistematis.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4 — Menggeneralisasi nilai-nilai keimanan yang dapat dijadikan pedoman hidup berdasarkan Q.S. al-Baqarah/2: 285.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Rubrik  </w:t>
      </w: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2217"/>
        <w:gridCol w:w="2217"/>
        <w:gridCol w:w="2216"/>
        <w:tblGridChange w:id="0">
          <w:tblGrid>
            <w:gridCol w:w="2700"/>
            <w:gridCol w:w="2217"/>
            <w:gridCol w:w="2217"/>
            <w:gridCol w:w="221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Mulai Memahami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Memahami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Memahami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Menggeneralisasi nilai-nilai keimanan sebagai pedoman hidup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menyebutkan nilai-nilai keimanan dalam ayat, namun belum mampu mengaitkannya sebagai pedoman hidup.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menggeneralisasi nilai-nilai keimanan dan mengaitkannya secara sederhana sebagai pedoman hidup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menggeneralisasi nilai-nilai keimanan secara mendalam dan merumuskan penerapannya sebagai pedoman hidup secara konkret dan konsisten.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7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berada minimal pada tahap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Memahami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tahap Mulai Memahami diberikan pendampingan tambahan melalui diskusi terbimbing.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spacing w:after="20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Kesimpulan Akhir Ketercapaian Tujuan Pembelajaran</w:t>
      </w: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7A">
            <w:pPr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Murid dinyatakan mencapai Tujuan Pembelajaran “Memahami ayat Al-Qur'an dan hadits terkait dengan pentingnya iman dalam kehidupan seorang Muslim” apabila minimal 3 dari 4 IKTP di atas berada pada kategori tercapai/baik/memahami sesuai pendekatan masing-masing.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spacing w:after="30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900" w:top="90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>KKTP PAI dan Budi Pekerti — Elemen Al-Qur'an hadits — Kelas VII</w:t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