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260.0" w:type="dxa"/>
              <w:left w:w="220.0" w:type="dxa"/>
              <w:bottom w:w="260.0" w:type="dxa"/>
              <w:right w:w="220.0" w:type="dxa"/>
            </w:tcMar>
          </w:tcPr>
          <w:p w:rsidR="00000000" w:rsidDel="00000000" w:rsidP="00000000" w:rsidRDefault="00000000" w:rsidRPr="00000000" w14:paraId="00000003">
            <w:pPr>
              <w:spacing w:after="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3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a521"/>
                <w:sz w:val="21"/>
                <w:szCs w:val="21"/>
                <w:rtl w:val="0"/>
              </w:rPr>
              <w:t xml:space="preserve">Pendidikan Agama Islam dan Budi Pekerti  •  Elemen Al-Qur'an Hadis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IX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IDENTITAS DAN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SMP Negeri 1 Kebonagung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Al-Qur'an Hadis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IX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4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Semangat Keilmuan — Q.S. al-Mujadalah/58: 11 dan az-Zumar/39: 9; Tajwid Waqaf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Membaca, menghafal, menulis, dan menjelaskan ayat Al-Qur'an tentang pentingnya iman, takwa, toleransi, cinta tanah air, semangat keilmuan, dan sabar dalam menghadapi musibah dan ujian beserta hadis terkait.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Memahami ayat Al-Qur'an dan hadis terkait dengan pentingnya semangat keilmuan.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spacing w:after="14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spacing w:after="180" w:before="140" w:lineRule="auto"/>
        <w:ind w:left="595" w:right="595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Membaca Q.S. al-Mujadalah/58: 11 dan az-Zumar/39: 9 sesuai kaidah ilmu tajwid, terutama bacaan waqaf.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Kelancaran, ketepatan makhraj, dan penerapan tanda waqaf pada Q.S. al-Mujadalah/58:11 dan az-Zumar/39:9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dengan banyak kesalahan pada makhraj dan penerapan tanda waqaf; belum lancar dan sering dibantu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cukup lancar, namun masih terdapat beberapa kesalahan dalam berhenti/melanjutkan bacaan sesuai tanda waqaf.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lancar, makhraj tepat, tanda waqaf diterapkan benar pada sebagian besar ayat.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tartil dan lancar, makhraj sangat tepat, seluruh tanda waqaf diterapkan benar dan konsisten.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membaca (talaqqi) ulang; murid pada kategori Sangat Baik dapat menjadi tutor sebaya.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Menjelaskan jenis-jenis waqaf dan fungsinya dalam membaca Al-Qur'an.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DESKRIPSI KRITERIA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pengertian waqaf dan fungsinya dalam membaca Al-Qur'an.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waqaf lazim (tanda mim) beserta cara penerapannya.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waqaf jaiz (tanda jim) beserta cara penerapannya.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waqaf mamnu’ (tanda la) beserta cara penerapannya.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jenis-jenis waqaf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Menerapkan makna yang terkandung dalam Q.S. al-Mujadalah/58: 11 dan az-Zumar/39: 9 beserta hadis terkait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 NILAI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Menguraikan makna pokok kandungan Q.S. al-Mujadalah/58:11 tentang keutamaan orang berilmu.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Menguraikan makna pokok kandungan Q.S. az-Zumar/39:9 tentang perbedaan orang berilmu dan tidak berilmu.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Mengaitkan makna kedua ayat dengan hadis terkait tentang menuntut ilmu.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Menerapkan semangat keilmuan dalam kegiatan belajar sehari-hari di sekolah maupun di rumah.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Merumuskan langkah-langkah konkret untuk menumbuhkan semangat keilmuan dalam diri dan lingkungan sekitar.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2217"/>
        <w:gridCol w:w="2217"/>
        <w:gridCol w:w="2216"/>
        <w:tblGridChange w:id="0">
          <w:tblGrid>
            <w:gridCol w:w="2700"/>
            <w:gridCol w:w="2217"/>
            <w:gridCol w:w="2217"/>
            <w:gridCol w:w="221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Mulai Memahami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Memahami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Memahami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Kualitas langkah-langkah konkret untuk menumbuhkan semangat keilmuan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Dapat menyebutkan langkah sederhana, namun belum konkret/aplikatif untuk menumbuhkan semangat keilmuan.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Dapat merumuskan langkah yang cukup konkret untuk menumbuhkan semangat keilmuan dalam diri sendiri.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Dapat merumuskan langkah yang konkret, aplikatif, dan mencakup penumbuhan semangat keilmuan pada diri maupun lingkungan sekitar secara menyeluruh.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berada minimal pada tahap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Memahami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tahap Mulai Memahami diberikan pendampingan tambahan melalui diskusi terbimbing.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keepNext w:val="0"/>
        <w:keepLines w:val="0"/>
        <w:spacing w:after="2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KESIMPULAN AKHIR KETERCAPAIAN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Murid dinyatakan mencapai Tujuan Pembelajaran “Memahami ayat Al-Qur'an dan hadis terkait dengan pentingnya semangat keilmuan”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dari 4 IKTP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 di atas berada pada kategori tercapai/baik/memahami sesuai pendekatan masing-masing.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keepNext w:val="0"/>
        <w:keepLines w:val="0"/>
        <w:spacing w:after="3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75"/>
        <w:gridCol w:w="4675"/>
        <w:tblGridChange w:id="0">
          <w:tblGrid>
            <w:gridCol w:w="4675"/>
            <w:gridCol w:w="46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4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Demak, Juli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spacing w:after="2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Mengetahui,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spacing w:after="7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Kepala SMP Negeri 1 Kebonagung,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Priyantono, S.Pd., M.Pd.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5b6b7a"/>
                <w:sz w:val="17"/>
                <w:szCs w:val="17"/>
                <w:rtl w:val="0"/>
              </w:rPr>
              <w:t xml:space="preserve">NIP. 196902251994031005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spacing w:after="20" w:before="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spacing w:after="7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Guru Mata Pelajaran PAI dan Budi Pekerti,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Syaekudin, S.Ag., M.Pd.I.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5b6b7a"/>
                <w:sz w:val="17"/>
                <w:szCs w:val="17"/>
                <w:rtl w:val="0"/>
              </w:rPr>
              <w:t xml:space="preserve">NIP. 197209052005011004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850" w:top="85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F">
    <w:pPr>
      <w:pBdr>
        <w:top w:color="cccccc" w:space="0" w:sz="4" w:val="single"/>
      </w:pBdr>
      <w:spacing w:before="80" w:lineRule="auto"/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Al-Qur'an Hadis — Kelas IX    |    Halaman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