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220.0" w:type="dxa"/>
              <w:left w:w="200.0" w:type="dxa"/>
              <w:bottom w:w="220.0" w:type="dxa"/>
              <w:right w:w="200.0" w:type="dxa"/>
            </w:tcMar>
          </w:tcPr>
          <w:p w:rsidR="00000000" w:rsidDel="00000000" w:rsidP="00000000" w:rsidRDefault="00000000" w:rsidRPr="00000000" w14:paraId="0000000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b8860b"/>
                <w:sz w:val="21"/>
                <w:szCs w:val="21"/>
                <w:rtl w:val="0"/>
              </w:rPr>
              <w:t xml:space="preserve">Pendidikan Agama Islam dan Budi Pekerti  •  Elemen Fikih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1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A.  IDENTITAS DAN TUJUAN PEMBELAJARAN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Ketentuan Sujud (Sahwi, Tilawah, dan Syukur)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Menerapkan ketentuan sujud di luar rukun sholat, rukhsah dalam ibadah, kewajiban terhadap jenazah, haji dan umrah, penyembelihan hewan, kurban, akikah, dan wakaf.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ketentuan macam-macam sujud.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b8860b" w:space="0" w:sz="12" w:val="single"/>
        </w:pBdr>
        <w:shd w:fill="1f3b57" w:val="clear"/>
        <w:spacing w:after="14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22"/>
          <w:szCs w:val="22"/>
          <w:rtl w:val="0"/>
        </w:rPr>
        <w:t xml:space="preserve">  B.  KRITERIA KETERCAPAIAN TUJUAN PEMBELAJARAN (KKTP)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1 — Mengklasifikasikan macam-macam sujud (sahwi, tilawah, syukur) dan rukun-rukunnya.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Deskripsi Kriteria  </w:t>
      </w: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sujud sahwi, sujud tilawah, dan sujud syukur.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b57" w:space="0" w:sz="4" w:val="single"/>
              <w:left w:color="1f3b57" w:space="0" w:sz="4" w:val="single"/>
              <w:bottom w:color="1f3b57" w:space="0" w:sz="4" w:val="single"/>
              <w:right w:color="1f3b5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Menyebutkan sebab-sebab dilakukannya masing-masing jenis sujud.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rukun/tata cara masing-masing sujud dengan benar.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Membedakan ketiga jenis sujud berdasarkan sebab dan pelaksanaannya.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klasifikasi sujud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2 — Mempraktikkan tata cara masing-masing jenis sujud.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Rubrik  </w:t>
      </w: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Ketepatan gerakan, bacaan, dan tata cara praktik sujud sahwi, tilawah, dan syukur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mempraktikkan gerakan dan bacaan sujud dengan benar; memerlukan banyak bimbingan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salah satu jenis sujud dengan benar, namun masih terdapat kesalahan pada gerakan/bacaan jenis sujud lainnya.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ketiga jenis sujud dengan gerakan dan bacaan yang benar, meski belum sepenuhnya lancar.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mempraktikkan ketiga jenis sujud dengan gerakan, bacaan, dan tata cara yang benar, tertib, dan lancar.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latihan ulang (drilling) tata cara sujud;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IKTP 3 — Mengaitkan konsep sujud sahwi, tilawah, dan syukur dalam isu yang nyata.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hd w:fill="b8860b" w:val="clear"/>
        <w:spacing w:after="16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6283d"/>
          <w:sz w:val="19"/>
          <w:szCs w:val="19"/>
          <w:rtl w:val="0"/>
        </w:rPr>
        <w:t xml:space="preserve">  Pendekatan KKTP: </w:t>
      </w:r>
      <w:r w:rsidDel="00000000" w:rsidR="00000000" w:rsidRPr="00000000">
        <w:rPr>
          <w:rFonts w:ascii="Arial" w:cs="Arial" w:eastAsia="Arial" w:hAnsi="Arial"/>
          <w:b w:val="1"/>
          <w:bCs w:val="1"/>
          <w:color w:val="ffffff"/>
          <w:sz w:val="19"/>
          <w:szCs w:val="19"/>
          <w:rtl w:val="0"/>
        </w:rPr>
        <w:t xml:space="preserve">Interval Nilai  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situasi nyata yang memerlukan sujud sahwi (misal lupa rakaat atau lupa tasyahud).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situasi nyata yang memerlukan sujud tilawah (mendengar/membaca ayat sajdah).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Mengidentifikasi situasi nyata yang memerlukan sujud syukur (mendapat nikmat/terhindar dari musibah).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Mengaitkan hikmah masing-masing sujud dengan penguatan sikap sabar dan syukur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2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bottom w:color="dce6f1" w:space="0" w:sz="6" w:val="single"/>
        </w:pBdr>
        <w:spacing w:after="10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b57"/>
          <w:sz w:val="21"/>
          <w:szCs w:val="21"/>
          <w:rtl w:val="0"/>
        </w:rPr>
        <w:t xml:space="preserve">Kesimpulan Akhir Ketercapaian Tujuan Pembelajaran</w:t>
      </w: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8860b" w:space="0" w:sz="6" w:val="single"/>
              <w:left w:color="b8860b" w:space="0" w:sz="6" w:val="single"/>
              <w:bottom w:color="b8860b" w:space="0" w:sz="6" w:val="single"/>
              <w:right w:color="b8860b" w:space="0" w:sz="6" w:val="single"/>
            </w:tcBorders>
            <w:shd w:fill="eff4fa" w:val="clear"/>
            <w:tcMar>
              <w:top w:w="120.0" w:type="dxa"/>
              <w:left w:w="160.0" w:type="dxa"/>
              <w:bottom w:w="120.0" w:type="dxa"/>
              <w:right w:w="160.0" w:type="dxa"/>
            </w:tcMar>
          </w:tcPr>
          <w:p w:rsidR="00000000" w:rsidDel="00000000" w:rsidP="00000000" w:rsidRDefault="00000000" w:rsidRPr="00000000" w14:paraId="0000006E">
            <w:pPr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ketentuan macam-macam sujud”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30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Fikih — Kelas VII</w:t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