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PROGRAM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rtl w:val="0"/>
        </w:rPr>
        <w:t xml:space="preserve">Pendidikan Agama Islam dan Budi Pekerti  •  Kelas VII / Fase D  •  Semester 1 (Ganjil)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Rencana Minggu Efektif (RME) — Juli s.d. Desember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>Alokasi minggu elemen Al-Qur'an hadits mengacu pada dokumen IKTP CP 046 (Revisi) karena kolom Alokasi Waktu pada dokumen IKTP CP 020_2026 Semester 1 untuk elemen ini kosong; empat elemen lainnya bersumber langsung dari dokumen IKTP CP 020_2026 Semester 1.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500"/>
        <w:gridCol w:w="2050"/>
        <w:gridCol w:w="2244"/>
        <w:gridCol w:w="2244"/>
        <w:tblGridChange w:id="0">
          <w:tblGrid>
            <w:gridCol w:w="1600"/>
            <w:gridCol w:w="1500"/>
            <w:gridCol w:w="2050"/>
            <w:gridCol w:w="2244"/>
            <w:gridCol w:w="22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Banyak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Tidak Efektif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Intrakurikuler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Kokurikuler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Matriks Distribusi Minggu</w:t>
      </w:r>
      <w:r w:rsidDel="00000000" w:rsidR="00000000" w:rsidRPr="00000000">
        <w:rPr>
          <w:rtl w:val="0"/>
        </w:rPr>
      </w:r>
    </w:p>
    <w:tbl>
      <w:tblPr>
        <w:tblStyle w:val="Table3"/>
        <w:tblW w:w="14003.999999999993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"/>
        <w:gridCol w:w="1450"/>
        <w:gridCol w:w="4300"/>
        <w:gridCol w:w="50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88"/>
        <w:tblGridChange w:id="0">
          <w:tblGrid>
            <w:gridCol w:w="420"/>
            <w:gridCol w:w="1450"/>
            <w:gridCol w:w="4300"/>
            <w:gridCol w:w="500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88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5"/>
                <w:szCs w:val="15"/>
                <w:rtl w:val="0"/>
              </w:rPr>
              <w:t xml:space="preserve">Keterangan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Membaca QS al-Baqarah/2: 285 dengan tartil sesuai hukum bacaan tajwid Alif Lam Syamsiyah dan Qamariyah.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Menghafal QS al-Baqarah/2: 285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Menuliskan ayat dan terjemahan QS al-Baqarah/2: 285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>4. Menguraikan kandungan makna QS al-Baqarah/2: 285 dan hadits terkait mengenai pentingnya iman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>1. Menjelaskan makna iman kepada Alloh Subhanahu Wata'ala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Mendeskripsikan sifat-sifat Allah melalui al-Asmā' al-Ḥusnā (al-'Alīm, al-Khabīr, al-Samī', dan al-Baṣīr).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nilai-nilai Asmaul Husna tersebut melalui perilaku yang meneguhkan iman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konsep ikhlas dalam beribadah dan bermuamalah.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Memberikan contoh perilaku ikhlas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Mempraktikkan sikap ikhlas dalam menyelesaikan tugas dan berinteraksi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>1. Membedakan jenis-jenis sujud di luar sholat (sujud syukur, sujud sahwi, dan sujud tilawah).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Menjelaskan tata cara dan ketentuan masing-masing sujud.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Mendemonstrasikan praktik sujud syukur, sahwi, dan tilawah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Menguraikan sejarah singkat berdirinya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Mengidentifikasi tokoh-tokoh khalifah dan prestasi yang dicapai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nilai-nilai kepemimpinan dan keteladanan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Cadangan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4"/>
                <w:szCs w:val="14"/>
                <w:rtl w:val="0"/>
              </w:rPr>
              <w:t xml:space="preserve">Penilaian/Pengayaan/Remedial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Legenda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73"/>
        <w:gridCol w:w="8727"/>
        <w:tblGridChange w:id="0">
          <w:tblGrid>
            <w:gridCol w:w="873"/>
            <w:gridCol w:w="8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pelaksanaan pembelajaran elemen (intrakurikuler)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6"/>
                <w:szCs w:val="16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Kokurikuler (Kurikulum Berbasis Cinta)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6"/>
                <w:szCs w:val="16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tidak efektif (libur / MPLS / PTS / PAS / PAT, di luar minggu pembelajaran)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Catatan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 Semester ini merupakan turunan langsung dari Program Tahunan Kelas VII Semester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17 minggu efektif intrakurikuler tersedia (RME); 16 minggu digunakan untuk 5 elemen, 1 minggu cadangan pada akhir Desember untuk Penilaian Akhir Semester (PAS)/pengayaan/remedial.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Minggu kokurikuler (September-November) dialokasikan terpisah untuk kegiatan Kokurikuler (Kurikulum Berbasis Cinta), di luar distribusi elemen intrakurikuler.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9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Semester — PAI dan Budi Pekerti — Kelas VII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