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September 27,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September 27,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5.0.1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September 27,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.3018867924528"/>
        <w:gridCol w:w="4768.301886792453"/>
        <w:gridCol w:w="2095.698113207547"/>
        <w:gridCol w:w="2095.698113207547"/>
        <w:tblGridChange w:id="0">
          <w:tblGrid>
            <w:gridCol w:w="400.3018867924528"/>
            <w:gridCol w:w="4768.301886792453"/>
            <w:gridCol w:w="2095.698113207547"/>
            <w:gridCol w:w="2095.698113207547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Native sign-in in Sunbird Mobile app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Mobile app to have in-app google sign-in pages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434343"/>
              </w:rPr>
            </w:pP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ED-76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9.252929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Cloud Service Provider Implementation</w:t>
            </w:r>
            <w:r w:rsidDel="00000000" w:rsidR="00000000" w:rsidRPr="00000000">
              <w:rPr>
                <w:color w:val="434343"/>
                <w:rtl w:val="0"/>
              </w:rPr>
              <w:br w:type="textWrapping"/>
              <w:t xml:space="preserve">A cloud agnostic development strategy is necessary for the Sunbird platform to be compatible across multiple providers.</w:t>
              <w:br w:type="textWrapping"/>
              <w:br w:type="textWrapping"/>
              <w:t xml:space="preserve">Implementation completed for the following capabilities: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a) ResourceHelper 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b) Reports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color w:val="434343"/>
              </w:rPr>
            </w:pPr>
            <w:hyperlink r:id="rId9">
              <w:r w:rsidDel="00000000" w:rsidR="00000000" w:rsidRPr="00000000">
                <w:rPr>
                  <w:color w:val="1155cc"/>
                  <w:rtl w:val="0"/>
                </w:rPr>
                <w:t xml:space="preserve">ED-216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 from other building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Sunbird Inquiry -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https://inquiry.sunbird.org/use/release-notes/inquiry-release-v5.1.0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ED-127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Telemetry event was not getting generated with the  notification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ED-200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elements in the player were not appropriate when tested with NVDA announcements.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quiry.sunbird.org/use/release-notes/inquiry-release-v5.1.0" TargetMode="External"/><Relationship Id="rId10" Type="http://schemas.openxmlformats.org/officeDocument/2006/relationships/hyperlink" Target="https://inquiry.sunbird.org/use/release-notes/inquiry-release-v5.0.0-live" TargetMode="External"/><Relationship Id="rId13" Type="http://schemas.openxmlformats.org/officeDocument/2006/relationships/hyperlink" Target="https://project-sunbird.atlassian.net/browse/ED-200" TargetMode="External"/><Relationship Id="rId12" Type="http://schemas.openxmlformats.org/officeDocument/2006/relationships/hyperlink" Target="https://project-sunbird.atlassian.net/browse/ED-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216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project-sunbird.atlassian.net/browse/ED-7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