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青禾科技 · 门店数字化方案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青禾科技</w:t>
            </w:r>
          </w:p>
        </w:tc>
      </w:tr>
      <w:tr>
        <w:tc>
          <w:tcPr>
            <w:tcW w:type="dxa" w:w="4320"/>
          </w:tcPr>
          <w:p>
            <w:r>
              <w:t>总报价</w:t>
            </w:r>
          </w:p>
        </w:tc>
        <w:tc>
          <w:tcPr>
            <w:tcW w:type="dxa" w:w="4320"/>
          </w:tcPr>
          <w:p>
            <w:r>
              <w:t>48,000 元（含首年维护）</w:t>
            </w:r>
          </w:p>
        </w:tc>
      </w:tr>
      <w:tr>
        <w:tc>
          <w:tcPr>
            <w:tcW w:type="dxa" w:w="4320"/>
          </w:tcPr>
          <w:p>
            <w:r>
              <w:t>实施周期</w:t>
            </w:r>
          </w:p>
        </w:tc>
        <w:tc>
          <w:tcPr>
            <w:tcW w:type="dxa" w:w="4320"/>
          </w:tcPr>
          <w:p>
            <w:r>
              <w:t>6 周</w:t>
            </w:r>
          </w:p>
        </w:tc>
      </w:tr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订单管理、库存预警、会员积分、数据看板</w:t>
            </w:r>
          </w:p>
        </w:tc>
      </w:tr>
      <w:tr>
        <w:tc>
          <w:tcPr>
            <w:tcW w:type="dxa" w:w="4320"/>
          </w:tcPr>
          <w:p>
            <w:r>
              <w:t>维护费用</w:t>
            </w:r>
          </w:p>
        </w:tc>
        <w:tc>
          <w:tcPr>
            <w:tcW w:type="dxa" w:w="4320"/>
          </w:tcPr>
          <w:p>
            <w:r>
              <w:t>首年免费，次年起每年 6,000 元</w:t>
            </w:r>
          </w:p>
        </w:tc>
      </w:tr>
      <w:tr>
        <w:tc>
          <w:tcPr>
            <w:tcW w:type="dxa" w:w="4320"/>
          </w:tcPr>
          <w:p>
            <w:r>
              <w:t>付款方式</w:t>
            </w:r>
          </w:p>
        </w:tc>
        <w:tc>
          <w:tcPr>
            <w:tcW w:type="dxa" w:w="4320"/>
          </w:tcPr>
          <w:p>
            <w:r>
              <w:t>签约 50%，验收 50%</w:t>
            </w:r>
          </w:p>
        </w:tc>
      </w:tr>
    </w:tbl>
    <w:p>
      <w:pPr>
        <w:pStyle w:val="Heading2"/>
      </w:pPr>
      <w:r>
        <w:t>补充说明</w:t>
      </w:r>
    </w:p>
    <w:p>
      <w:pPr>
        <w:pStyle w:val="ListBullet"/>
      </w:pPr>
      <w:r>
        <w:t>风险：需要门店提供历史数据清洗；数据不完整时工期可能延长 2 周。</w:t>
      </w:r>
    </w:p>
    <w:p>
      <w:pPr>
        <w:pStyle w:val="ListBullet"/>
      </w:pPr>
      <w:r>
        <w:t>培训：上线前提供 2 次线下培训。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