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Problem: Growth and Inflation Move Together in the Data</w:t>
      </w:r>
    </w:p>
    <w:p w:rsidR="00000000" w:rsidDel="00000000" w:rsidP="00000000" w:rsidRDefault="00000000" w:rsidRPr="00000000" w14:paraId="00000002">
      <w:pPr>
        <w:rPr/>
      </w:pPr>
      <w:r w:rsidDel="00000000" w:rsidR="00000000" w:rsidRPr="00000000">
        <w:rPr>
          <w:rtl w:val="0"/>
        </w:rPr>
        <w:t xml:space="preserve">When KMeans clustered your 284 months of economic data into 4 groups, it found this pattern in the centroids:</w:t>
      </w:r>
    </w:p>
    <w:p w:rsidR="00000000" w:rsidDel="00000000" w:rsidP="00000000" w:rsidRDefault="00000000" w:rsidRPr="00000000" w14:paraId="00000003">
      <w:pPr>
        <w:rPr/>
      </w:pPr>
      <w:r w:rsidDel="00000000" w:rsidR="00000000" w:rsidRPr="00000000">
        <w:rPr>
          <w:rtl w:val="0"/>
        </w:rPr>
        <w:t xml:space="preserve">Cluster 0: GDP=3.5%,  CPI=5.1%   (highest growth, highest inflation)</w:t>
      </w:r>
    </w:p>
    <w:p w:rsidR="00000000" w:rsidDel="00000000" w:rsidP="00000000" w:rsidRDefault="00000000" w:rsidRPr="00000000" w14:paraId="00000004">
      <w:pPr>
        <w:rPr/>
      </w:pPr>
      <w:r w:rsidDel="00000000" w:rsidR="00000000" w:rsidRPr="00000000">
        <w:rPr>
          <w:rtl w:val="0"/>
        </w:rPr>
        <w:t xml:space="preserve">Cluster 1: GDP=2.5%,  CPI=2.1%   (2nd growth,     2nd inflation)</w:t>
      </w:r>
    </w:p>
    <w:p w:rsidR="00000000" w:rsidDel="00000000" w:rsidP="00000000" w:rsidRDefault="00000000" w:rsidRPr="00000000" w14:paraId="00000005">
      <w:pPr>
        <w:rPr/>
      </w:pPr>
      <w:r w:rsidDel="00000000" w:rsidR="00000000" w:rsidRPr="00000000">
        <w:rPr>
          <w:rtl w:val="0"/>
        </w:rPr>
        <w:t xml:space="preserve">Cluster 2: GDP=-2.7%, CPI=0.4%   (lowest growth,  lowest inflation)</w:t>
      </w:r>
    </w:p>
    <w:p w:rsidR="00000000" w:rsidDel="00000000" w:rsidP="00000000" w:rsidRDefault="00000000" w:rsidRPr="00000000" w14:paraId="00000006">
      <w:pPr>
        <w:rPr/>
      </w:pPr>
      <w:r w:rsidDel="00000000" w:rsidR="00000000" w:rsidRPr="00000000">
        <w:rPr>
          <w:rtl w:val="0"/>
        </w:rPr>
        <w:t xml:space="preserve">Cluster 3: GDP=1.8%,  CPI=2.0%   (3rd growth,     3rd inflation)</w:t>
      </w:r>
    </w:p>
    <w:p w:rsidR="00000000" w:rsidDel="00000000" w:rsidP="00000000" w:rsidRDefault="00000000" w:rsidRPr="00000000" w14:paraId="00000007">
      <w:pPr>
        <w:rPr/>
      </w:pPr>
      <w:r w:rsidDel="00000000" w:rsidR="00000000" w:rsidRPr="00000000">
        <w:rPr>
          <w:rtl w:val="0"/>
        </w:rPr>
        <w:t xml:space="preserve">Notice the pattern — the growth ranking and inflation ranking are identical for every cluster. The cluster with the highest GDP also has the highest inflation. The cluster with the lowest GDP also has the lowest inflation. They move in lockstep.</w:t>
      </w:r>
    </w:p>
    <w:p w:rsidR="00000000" w:rsidDel="00000000" w:rsidP="00000000" w:rsidRDefault="00000000" w:rsidRPr="00000000" w14:paraId="00000008">
      <w:pPr>
        <w:rPr/>
      </w:pPr>
      <w:r w:rsidDel="00000000" w:rsidR="00000000" w:rsidRPr="00000000">
        <w:rPr>
          <w:rtl w:val="0"/>
        </w:rPr>
        <w:t xml:space="preserve">This makes economic sense when you think about it. In the 2000–2024 period, the US economy mostly experienced either: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Good times: growth up, inflation up together (expansion)</w:t>
      </w:r>
    </w:p>
    <w:p w:rsidR="00000000" w:rsidDel="00000000" w:rsidP="00000000" w:rsidRDefault="00000000" w:rsidRPr="00000000" w14:paraId="0000000B">
      <w:pPr>
        <w:rPr/>
      </w:pPr>
      <w:r w:rsidDel="00000000" w:rsidR="00000000" w:rsidRPr="00000000">
        <w:rPr>
          <w:rtl w:val="0"/>
        </w:rPr>
        <w:t xml:space="preserve">Bad times: growth down, inflation down together (recession/crisis)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two periods that would create "off-diagonal" regimes — high growth + low inflation (Goldilocks) and low growth + high inflation (Stagflation) — are relatively rare in your dataset. Goldilocks describes the mid-2010s recovery briefly, and true Stagflation (like the 1970s) barely appears in 2000–2024 data.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During the labeling phase, we observed that KMeans clusters exhibited collinear growth and inflation rankings — the highest-growth cluster also had the highest inflation across all four clusters. This reflects the economic reality of the 2000–2024 period, which lacked prolonged true stagflation or a sustained Goldilocks environment with clearly diverging growth and inflation paths. To address this, we modified our labeling procedure to first rank clusters by GDP growth, split into high-growth and low-growth pairs, then assign inflation-based labels within each pair. This ensures all four theoretical regimes are represented while preserving economic interpretability.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 should be noted that XLY (Consumer Discretionary) contains Amazon and Tesla as its largest constituents, both of which exhibit growth characteristics more typical of technology companies. This classification quirk under the GICS system means XLY's strong historical performance may partly reflect tech-like growth rather than pure consumer spending patterns, which should be considered when interpreting regime-based sector rotation signals.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XLK looks weaker pre-2018 than post-2018</w:t>
      </w:r>
      <w:r w:rsidDel="00000000" w:rsidR="00000000" w:rsidRPr="00000000">
        <w:rPr>
          <w:rtl w:val="0"/>
        </w:rPr>
        <w:t xml:space="preserve"> because Google and Facebook were inside it, inflating its returns. After 2018 they left, so XLK is now mostly Microsoft, Apple, Nvidia, and semiconductor companies.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XLC only exists from 2018</w:t>
      </w:r>
      <w:r w:rsidDel="00000000" w:rsidR="00000000" w:rsidRPr="00000000">
        <w:rPr>
          <w:rtl w:val="0"/>
        </w:rPr>
        <w:t xml:space="preserve"> which is why your data shows NaN or missing values for XLC before that date. In your notebook you handle this gracefully — sectors with missing data just get excluded from selection for those months, which is the correct approach.</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The real tech concentration</w:t>
      </w:r>
      <w:r w:rsidDel="00000000" w:rsidR="00000000" w:rsidRPr="00000000">
        <w:rPr>
          <w:rtl w:val="0"/>
        </w:rPr>
        <w:t xml:space="preserve"> of the S&amp;P 500 is actually spread across three ETFs — XLK (pure tech), XLC (Google, Meta, Netflix), and XLY (Amazon, Tesla). Together these three explain most of the S&amp;P 500's outperformance over the last decade, which is also why SPY itself has been so hard to beat — it's heavily weighted toward all three of these high-growth sectors automatically.</w:t>
      </w:r>
    </w:p>
    <w:p w:rsidR="00000000" w:rsidDel="00000000" w:rsidP="00000000" w:rsidRDefault="00000000" w:rsidRPr="00000000" w14:paraId="00000017">
      <w:pPr>
        <w:spacing w:after="240" w:before="240" w:lineRule="auto"/>
        <w:rPr/>
      </w:pPr>
      <w:r w:rsidDel="00000000" w:rsidR="00000000" w:rsidRPr="00000000">
        <w:rPr>
          <w:rtl w:val="0"/>
        </w:rPr>
        <w:t xml:space="preserve">This is another good sentence for your paper:</w:t>
      </w:r>
    </w:p>
    <w:p w:rsidR="00000000" w:rsidDel="00000000" w:rsidP="00000000" w:rsidRDefault="00000000" w:rsidRPr="00000000" w14:paraId="00000018">
      <w:pPr>
        <w:spacing w:after="240" w:before="240" w:lineRule="auto"/>
        <w:ind w:left="600" w:right="600" w:firstLine="0"/>
        <w:rPr>
          <w:i w:val="1"/>
          <w:iCs w:val="1"/>
        </w:rPr>
      </w:pPr>
      <w:r w:rsidDel="00000000" w:rsidR="00000000" w:rsidRPr="00000000">
        <w:rPr>
          <w:i w:val="1"/>
          <w:iCs w:val="1"/>
          <w:rtl w:val="0"/>
        </w:rPr>
        <w:t xml:space="preserve">The 2018 GICS reclassification that created XLC by moving Alphabet and Meta out of XLK introduces a structural break in sector composition mid-sample. XLC is consequently excluded from analysis prior to its 2018 inception, and the changing composition of XLK should be noted as a limitation when comparing pre- and post-2018 regime performance.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