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399E8">
      <w:pPr>
        <w:jc w:val="center"/>
        <w:rPr>
          <w:rFonts w:hint="eastAsia" w:ascii="宋体" w:hAnsi="宋体" w:eastAsia="宋体"/>
          <w:b/>
          <w:bCs/>
          <w:sz w:val="36"/>
          <w:szCs w:val="36"/>
        </w:rPr>
      </w:pPr>
      <w:r>
        <w:rPr>
          <w:rFonts w:hint="eastAsia" w:ascii="宋体" w:hAnsi="宋体" w:eastAsia="宋体"/>
          <w:b/>
          <w:bCs/>
          <w:sz w:val="36"/>
          <w:szCs w:val="36"/>
        </w:rPr>
        <w:t>虚假财经新闻、投资者情绪与股价波动</w:t>
      </w:r>
    </w:p>
    <w:p w14:paraId="245427F5">
      <w:pPr>
        <w:jc w:val="center"/>
        <w:rPr>
          <w:rFonts w:hint="eastAsia" w:ascii="宋体" w:hAnsi="宋体" w:eastAsia="宋体"/>
          <w:sz w:val="21"/>
          <w:szCs w:val="21"/>
        </w:rPr>
      </w:pPr>
      <w:r>
        <w:rPr>
          <w:rFonts w:hint="eastAsia" w:ascii="宋体" w:hAnsi="宋体" w:eastAsia="宋体"/>
          <w:sz w:val="21"/>
          <w:szCs w:val="21"/>
        </w:rPr>
        <w:t>作者：刘若水</w:t>
      </w:r>
      <w:r>
        <w:rPr>
          <w:rStyle w:val="26"/>
          <w:rFonts w:hint="eastAsia" w:ascii="宋体" w:hAnsi="宋体" w:eastAsia="宋体"/>
          <w:sz w:val="21"/>
          <w:szCs w:val="21"/>
        </w:rPr>
        <w:footnoteReference w:id="0"/>
      </w:r>
      <w:r>
        <w:rPr>
          <w:rFonts w:hint="eastAsia" w:ascii="宋体" w:hAnsi="宋体" w:eastAsia="宋体"/>
          <w:sz w:val="21"/>
          <w:szCs w:val="21"/>
        </w:rPr>
        <w:t xml:space="preserve"> 方艺华</w:t>
      </w:r>
      <w:r>
        <w:rPr>
          <w:rStyle w:val="26"/>
          <w:rFonts w:hint="eastAsia" w:ascii="宋体" w:hAnsi="宋体" w:eastAsia="宋体"/>
          <w:sz w:val="21"/>
          <w:szCs w:val="21"/>
        </w:rPr>
        <w:footnoteReference w:id="1"/>
      </w:r>
      <w:r>
        <w:rPr>
          <w:rFonts w:hint="eastAsia" w:ascii="宋体" w:hAnsi="宋体" w:eastAsia="宋体"/>
          <w:sz w:val="21"/>
          <w:szCs w:val="21"/>
        </w:rPr>
        <w:t xml:space="preserve"> 指导教师：章宁</w:t>
      </w:r>
      <w:r>
        <w:rPr>
          <w:rStyle w:val="26"/>
          <w:rFonts w:hint="eastAsia" w:ascii="宋体" w:hAnsi="宋体" w:eastAsia="宋体"/>
          <w:sz w:val="21"/>
          <w:szCs w:val="21"/>
        </w:rPr>
        <w:footnoteReference w:id="2"/>
      </w:r>
      <w:r>
        <w:rPr>
          <w:rFonts w:hint="eastAsia" w:ascii="宋体" w:hAnsi="宋体" w:eastAsia="宋体"/>
          <w:sz w:val="21"/>
          <w:szCs w:val="21"/>
        </w:rPr>
        <w:t xml:space="preserve"> 院校：中央财经大学</w:t>
      </w:r>
    </w:p>
    <w:p w14:paraId="4B8DB134">
      <w:pPr>
        <w:rPr>
          <w:rFonts w:hint="eastAsia" w:ascii="宋体" w:hAnsi="宋体" w:eastAsia="宋体"/>
          <w:sz w:val="21"/>
          <w:szCs w:val="21"/>
        </w:rPr>
      </w:pPr>
      <w:r>
        <w:rPr>
          <w:rFonts w:hint="eastAsia" w:ascii="宋体" w:hAnsi="宋体" w:eastAsia="宋体"/>
          <w:b/>
          <w:bCs/>
          <w:sz w:val="24"/>
          <w:szCs w:val="24"/>
        </w:rPr>
        <w:t>摘 要</w:t>
      </w:r>
      <w:r>
        <w:rPr>
          <w:rFonts w:hint="eastAsia" w:ascii="宋体" w:hAnsi="宋体" w:eastAsia="宋体"/>
          <w:sz w:val="21"/>
          <w:szCs w:val="21"/>
        </w:rPr>
        <w:t xml:space="preserve"> 虚假财经新闻对股票市场造成巨大影响，但这影响常与传闻混为一谈。基于手工收集的金融市场独特虚假财经新闻数据，本文首先采用基准回归，研究了财经新闻的文本情绪对股票累计异常收益率的影响。其次采用双重差分，研究了虚假财经新闻与真实财经新闻在对股价异常收益率上的差异。本文还基于新闻发布前后东方财富股吧中投资者的情绪分数进行中介效应检验。研究表明，财经新闻的情绪与股票的累计异常收益率呈正相关，而相较于真实财经新闻，虚假财经新闻对股票异常收益率的影响更为显著，且呈负相关。进一步分析，来自权威媒体的虚假财经新闻对股票的异常收益率影响更显著，不同情绪测度方法会影响财经新闻情绪对股票累计异常收益率的显著性。本文的创新点在于利用多种情绪测度工具，从传统的词典法到大语言模型Deepseek实现了新闻文本情绪测度,以及利用双重差分估计了新闻“虚假性”的影响。本文深化了虚假财经新闻与真实财经新闻对金融市场的影响的区别和多种情绪测度方法用于财经新闻情绪分析的相关研究，对于公司规避金融风险和促进资本市场稳健发展具有重要指导意义。</w:t>
      </w:r>
    </w:p>
    <w:p w14:paraId="15D3F182">
      <w:pPr>
        <w:rPr>
          <w:rFonts w:hint="eastAsia" w:ascii="宋体" w:hAnsi="宋体" w:eastAsia="宋体"/>
          <w:sz w:val="21"/>
          <w:szCs w:val="21"/>
        </w:rPr>
      </w:pPr>
      <w:r>
        <w:rPr>
          <w:rFonts w:hint="eastAsia" w:ascii="宋体" w:hAnsi="宋体" w:eastAsia="宋体"/>
          <w:b/>
          <w:bCs/>
          <w:sz w:val="24"/>
          <w:szCs w:val="24"/>
        </w:rPr>
        <w:t>关键词</w:t>
      </w:r>
      <w:r>
        <w:rPr>
          <w:rFonts w:hint="eastAsia" w:ascii="宋体" w:hAnsi="宋体" w:eastAsia="宋体"/>
          <w:sz w:val="21"/>
          <w:szCs w:val="21"/>
        </w:rPr>
        <w:t xml:space="preserve"> 虚假财经新闻 双重差分 Deepseek 股价冲击 情感分析</w:t>
      </w:r>
    </w:p>
    <w:p w14:paraId="7EE4C4FD">
      <w:pPr>
        <w:jc w:val="center"/>
        <w:rPr>
          <w:rFonts w:ascii="Times New Roman" w:hAnsi="Times New Roman" w:eastAsia="宋体" w:cs="Times New Roman"/>
          <w:sz w:val="21"/>
          <w:szCs w:val="21"/>
        </w:rPr>
      </w:pPr>
    </w:p>
    <w:p w14:paraId="29662A07">
      <w:pPr>
        <w:jc w:val="center"/>
        <w:rPr>
          <w:rFonts w:ascii="Times New Roman" w:hAnsi="Times New Roman" w:eastAsia="宋体" w:cs="Times New Roman"/>
          <w:b/>
          <w:bCs/>
          <w:sz w:val="36"/>
          <w:szCs w:val="36"/>
        </w:rPr>
      </w:pPr>
      <w:r>
        <w:rPr>
          <w:rFonts w:hint="eastAsia" w:ascii="Times New Roman" w:hAnsi="Times New Roman" w:eastAsia="宋体" w:cs="Times New Roman"/>
          <w:b/>
          <w:bCs/>
          <w:sz w:val="36"/>
          <w:szCs w:val="36"/>
        </w:rPr>
        <w:t>Fake Finance News, Investor Sentiment, and Stock Price Volatility</w:t>
      </w:r>
    </w:p>
    <w:p w14:paraId="4F671BCB">
      <w:pPr>
        <w:outlineLvl w:val="0"/>
        <w:rPr>
          <w:rFonts w:ascii="Times New Roman" w:hAnsi="Times New Roman" w:eastAsia="宋体" w:cs="Times New Roman"/>
          <w:b/>
          <w:bCs/>
          <w:sz w:val="24"/>
          <w:szCs w:val="24"/>
        </w:rPr>
      </w:pPr>
      <w:bookmarkStart w:id="0" w:name="_Toc31076"/>
      <w:bookmarkStart w:id="1" w:name="_Toc195468649"/>
      <w:bookmarkStart w:id="2" w:name="_Toc12090"/>
      <w:bookmarkStart w:id="3" w:name="_Toc1456"/>
      <w:r>
        <w:rPr>
          <w:rFonts w:ascii="Times New Roman" w:hAnsi="Times New Roman" w:eastAsia="宋体" w:cs="Times New Roman"/>
          <w:b/>
          <w:bCs/>
          <w:sz w:val="24"/>
          <w:szCs w:val="24"/>
        </w:rPr>
        <w:t>Abstract</w:t>
      </w:r>
      <w:bookmarkEnd w:id="0"/>
      <w:bookmarkEnd w:id="1"/>
      <w:bookmarkEnd w:id="2"/>
      <w:bookmarkEnd w:id="3"/>
    </w:p>
    <w:p w14:paraId="41A21F00">
      <w:pPr>
        <w:rPr>
          <w:rFonts w:ascii="Times New Roman" w:hAnsi="Times New Roman" w:eastAsia="宋体" w:cs="Times New Roman"/>
          <w:b/>
          <w:bCs/>
          <w:sz w:val="24"/>
          <w:szCs w:val="24"/>
        </w:rPr>
      </w:pPr>
      <w:r>
        <w:rPr>
          <w:rFonts w:hint="eastAsia" w:ascii="Times New Roman" w:hAnsi="Times New Roman" w:eastAsia="宋体" w:cs="Times New Roman"/>
          <w:sz w:val="21"/>
          <w:szCs w:val="21"/>
        </w:rPr>
        <w:t>Fake finance news exerts a significant influence on the stock market, yet this impact is often conflated with that of unverified rumors. Based on a hand-collected dataset of uniquely identified fake finance news in the capital market, this paper first employs benchmark regressions to examine the impact of textual sentiment on the cumulative abnormal return (CAR) of stocks. Second, a difference-in-differences (DID) approach is applied to compare the effect of fake versus true finance news on abnormal returns. Furthermore, a mediation analysis is conducted based on investor sentiment scores from Eastmoney’s Guba forum before and after news releases. The results show that sentiment falsity in finance news is positively correlated with stock CAR, and the impact of fake finance news on abnormal returns is more significant and negative than that of true news. Further analysis reveals that fake news from authoritative media sources exerts a stronger influence on abnormal returns. Additionally, the choice of sentiment measurement method significantly affects the observed relationship between news sentiment and CAR. This study contributes by employing diverse sentiment measurement techniques—from traditional dictionary-based methods to large language models such as Deepseek—and by estimating the effect of news falsity using a DID framework. The findings deepen the understanding of how fake versus true finance news differently impacts the financial market and highlight the methodological relevance of sentiment analysis in financial text mining. These insights offer important implications for corporate risk management and the healthy development of capital markets.</w:t>
      </w:r>
    </w:p>
    <w:p w14:paraId="038C1E31">
      <w:pPr>
        <w:rPr>
          <w:rFonts w:ascii="Times New Roman" w:hAnsi="Times New Roman" w:eastAsia="宋体" w:cs="Times New Roman"/>
          <w:sz w:val="21"/>
          <w:szCs w:val="21"/>
        </w:rPr>
      </w:pPr>
      <w:r>
        <w:rPr>
          <w:rFonts w:ascii="Times New Roman" w:hAnsi="Times New Roman" w:eastAsia="宋体" w:cs="Times New Roman"/>
          <w:b/>
          <w:bCs/>
          <w:sz w:val="24"/>
          <w:szCs w:val="24"/>
        </w:rPr>
        <w:t>Keywords</w:t>
      </w:r>
      <w:r>
        <w:rPr>
          <w:rFonts w:hint="eastAsia" w:ascii="Times New Roman" w:hAnsi="Times New Roman" w:eastAsia="宋体" w:cs="Times New Roman"/>
          <w:sz w:val="21"/>
          <w:szCs w:val="21"/>
        </w:rPr>
        <w:t xml:space="preserve">  Fake Finance News, DID, Deepseek, Stock Price Volatility, Sentimental Analysis</w:t>
      </w:r>
    </w:p>
    <w:p w14:paraId="316EF373">
      <w:pPr>
        <w:rPr>
          <w:rFonts w:ascii="Times New Roman" w:hAnsi="Times New Roman" w:eastAsia="宋体" w:cs="Times New Roman"/>
          <w:sz w:val="21"/>
          <w:szCs w:val="21"/>
        </w:rPr>
      </w:pPr>
    </w:p>
    <w:p w14:paraId="087E5EB8">
      <w:pPr>
        <w:rPr>
          <w:rFonts w:ascii="Times New Roman" w:hAnsi="Times New Roman" w:eastAsia="宋体" w:cs="Times New Roman"/>
          <w:sz w:val="21"/>
          <w:szCs w:val="21"/>
        </w:rPr>
      </w:pPr>
    </w:p>
    <w:p w14:paraId="73046772">
      <w:pPr>
        <w:jc w:val="center"/>
        <w:rPr>
          <w:rFonts w:ascii="Times New Roman" w:hAnsi="Times New Roman" w:eastAsia="宋体" w:cs="Times New Roman"/>
          <w:b/>
          <w:bCs/>
          <w:sz w:val="24"/>
          <w:szCs w:val="24"/>
        </w:rPr>
        <w:sectPr>
          <w:footerReference r:id="rId5" w:type="default"/>
          <w:pgSz w:w="11906" w:h="16838"/>
          <w:pgMar w:top="2098" w:right="1531" w:bottom="1985" w:left="1531" w:header="851" w:footer="992" w:gutter="0"/>
          <w:cols w:space="425" w:num="1"/>
          <w:docGrid w:type="lines" w:linePitch="312" w:charSpace="0"/>
        </w:sectPr>
      </w:pPr>
    </w:p>
    <w:sdt>
      <w:sdtPr>
        <w:rPr>
          <w:rFonts w:ascii="宋体" w:hAnsi="宋体" w:eastAsia="宋体"/>
          <w:sz w:val="21"/>
        </w:rPr>
        <w:id w:val="147479876"/>
        <w15:color w:val="DBDBDB"/>
        <w:docPartObj>
          <w:docPartGallery w:val="Table of Contents"/>
          <w:docPartUnique/>
        </w:docPartObj>
      </w:sdtPr>
      <w:sdtEndPr>
        <w:rPr>
          <w:rFonts w:hint="eastAsia" w:ascii="Times New Roman" w:hAnsi="Times New Roman" w:eastAsia="宋体" w:cs="Times New Roman"/>
          <w:bCs/>
          <w:sz w:val="28"/>
          <w:szCs w:val="24"/>
        </w:rPr>
      </w:sdtEndPr>
      <w:sdtContent>
        <w:p w14:paraId="0B017FDF">
          <w:pPr>
            <w:jc w:val="center"/>
            <w:rPr>
              <w:rFonts w:hint="eastAsia"/>
            </w:rPr>
          </w:pPr>
          <w:r>
            <w:rPr>
              <w:rFonts w:ascii="宋体" w:hAnsi="宋体" w:eastAsia="宋体"/>
              <w:sz w:val="21"/>
            </w:rPr>
            <w:t>目录</w:t>
          </w:r>
        </w:p>
        <w:p w14:paraId="53934070">
          <w:pPr>
            <w:pStyle w:val="17"/>
            <w:tabs>
              <w:tab w:val="right" w:leader="dot" w:pos="8844"/>
            </w:tabs>
            <w:rPr>
              <w:rFonts w:hint="eastAsia"/>
            </w:rPr>
          </w:pPr>
          <w:r>
            <w:rPr>
              <w:rFonts w:hint="eastAsia" w:ascii="Times New Roman" w:hAnsi="Times New Roman" w:eastAsia="宋体"/>
              <w:b/>
              <w:bCs/>
              <w:sz w:val="24"/>
              <w:szCs w:val="24"/>
            </w:rPr>
            <w:fldChar w:fldCharType="begin"/>
          </w:r>
          <w:r>
            <w:instrText xml:space="preserve">TOC \o "1-2" \h \u </w:instrText>
          </w:r>
          <w:r>
            <w:rPr>
              <w:rFonts w:hint="eastAsia" w:ascii="Times New Roman" w:hAnsi="Times New Roman" w:eastAsia="宋体"/>
              <w:b/>
              <w:bCs/>
              <w:sz w:val="24"/>
              <w:szCs w:val="24"/>
            </w:rPr>
            <w:fldChar w:fldCharType="separate"/>
          </w:r>
          <w:r>
            <w:fldChar w:fldCharType="begin"/>
          </w:r>
          <w:r>
            <w:instrText xml:space="preserve"> HYPERLINK \l "_Toc106" </w:instrText>
          </w:r>
          <w:r>
            <w:fldChar w:fldCharType="separate"/>
          </w:r>
          <w:r>
            <w:rPr>
              <w:rFonts w:hint="eastAsia" w:ascii="Times New Roman" w:hAnsi="Times New Roman" w:eastAsia="宋体"/>
              <w:bCs/>
              <w:szCs w:val="24"/>
            </w:rPr>
            <w:t>引言</w:t>
          </w:r>
          <w:r>
            <w:tab/>
          </w:r>
          <w:r>
            <w:fldChar w:fldCharType="begin"/>
          </w:r>
          <w:r>
            <w:instrText xml:space="preserve"> PAGEREF _Toc106 \h </w:instrText>
          </w:r>
          <w:r>
            <w:fldChar w:fldCharType="separate"/>
          </w:r>
          <w:r>
            <w:rPr>
              <w:rFonts w:hint="eastAsia"/>
            </w:rPr>
            <w:t>4</w:t>
          </w:r>
          <w:r>
            <w:fldChar w:fldCharType="end"/>
          </w:r>
          <w:r>
            <w:fldChar w:fldCharType="end"/>
          </w:r>
        </w:p>
        <w:p w14:paraId="531BEBE4">
          <w:pPr>
            <w:pStyle w:val="17"/>
            <w:tabs>
              <w:tab w:val="right" w:leader="dot" w:pos="8844"/>
            </w:tabs>
            <w:rPr>
              <w:rFonts w:hint="eastAsia"/>
            </w:rPr>
          </w:pPr>
          <w:r>
            <w:fldChar w:fldCharType="begin"/>
          </w:r>
          <w:r>
            <w:instrText xml:space="preserve"> HYPERLINK \l "_Toc27284" </w:instrText>
          </w:r>
          <w:r>
            <w:fldChar w:fldCharType="separate"/>
          </w:r>
          <w:r>
            <w:rPr>
              <w:rFonts w:hint="eastAsia" w:ascii="Times New Roman" w:hAnsi="Times New Roman" w:eastAsia="宋体"/>
              <w:bCs/>
              <w:szCs w:val="24"/>
            </w:rPr>
            <w:t>一、理论分析与研究假设</w:t>
          </w:r>
          <w:r>
            <w:tab/>
          </w:r>
          <w:r>
            <w:fldChar w:fldCharType="begin"/>
          </w:r>
          <w:r>
            <w:instrText xml:space="preserve"> PAGEREF _Toc27284 \h </w:instrText>
          </w:r>
          <w:r>
            <w:fldChar w:fldCharType="separate"/>
          </w:r>
          <w:r>
            <w:rPr>
              <w:rFonts w:hint="eastAsia"/>
            </w:rPr>
            <w:t>7</w:t>
          </w:r>
          <w:r>
            <w:fldChar w:fldCharType="end"/>
          </w:r>
          <w:r>
            <w:fldChar w:fldCharType="end"/>
          </w:r>
        </w:p>
        <w:p w14:paraId="7135768C">
          <w:pPr>
            <w:pStyle w:val="20"/>
            <w:tabs>
              <w:tab w:val="right" w:leader="dot" w:pos="8844"/>
            </w:tabs>
            <w:rPr>
              <w:rFonts w:hint="eastAsia"/>
            </w:rPr>
          </w:pPr>
          <w:r>
            <w:fldChar w:fldCharType="begin"/>
          </w:r>
          <w:r>
            <w:instrText xml:space="preserve"> HYPERLINK \l "_Toc24790" </w:instrText>
          </w:r>
          <w:r>
            <w:fldChar w:fldCharType="separate"/>
          </w:r>
          <w:r>
            <w:rPr>
              <w:rFonts w:hint="eastAsia" w:ascii="Times New Roman" w:hAnsi="Times New Roman" w:eastAsia="宋体"/>
              <w:bCs/>
              <w:szCs w:val="24"/>
            </w:rPr>
            <w:t>（一）财经新闻媒体情绪与股价异常收益率</w:t>
          </w:r>
          <w:r>
            <w:tab/>
          </w:r>
          <w:r>
            <w:fldChar w:fldCharType="begin"/>
          </w:r>
          <w:r>
            <w:instrText xml:space="preserve"> PAGEREF _Toc24790 \h </w:instrText>
          </w:r>
          <w:r>
            <w:fldChar w:fldCharType="separate"/>
          </w:r>
          <w:r>
            <w:rPr>
              <w:rFonts w:hint="eastAsia"/>
            </w:rPr>
            <w:t>7</w:t>
          </w:r>
          <w:r>
            <w:fldChar w:fldCharType="end"/>
          </w:r>
          <w:r>
            <w:fldChar w:fldCharType="end"/>
          </w:r>
        </w:p>
        <w:p w14:paraId="2B11C834">
          <w:pPr>
            <w:pStyle w:val="20"/>
            <w:tabs>
              <w:tab w:val="right" w:leader="dot" w:pos="8844"/>
            </w:tabs>
            <w:rPr>
              <w:rFonts w:hint="eastAsia"/>
            </w:rPr>
          </w:pPr>
          <w:r>
            <w:fldChar w:fldCharType="begin"/>
          </w:r>
          <w:r>
            <w:instrText xml:space="preserve"> HYPERLINK \l "_Toc13823" </w:instrText>
          </w:r>
          <w:r>
            <w:fldChar w:fldCharType="separate"/>
          </w:r>
          <w:r>
            <w:rPr>
              <w:rFonts w:hint="eastAsia" w:ascii="Times New Roman" w:hAnsi="Times New Roman" w:eastAsia="宋体"/>
              <w:bCs/>
              <w:szCs w:val="24"/>
            </w:rPr>
            <w:t>（二）虚假财经新闻与股价异常收益</w:t>
          </w:r>
          <w:r>
            <w:tab/>
          </w:r>
          <w:r>
            <w:fldChar w:fldCharType="begin"/>
          </w:r>
          <w:r>
            <w:instrText xml:space="preserve"> PAGEREF _Toc13823 \h </w:instrText>
          </w:r>
          <w:r>
            <w:fldChar w:fldCharType="separate"/>
          </w:r>
          <w:r>
            <w:rPr>
              <w:rFonts w:hint="eastAsia"/>
            </w:rPr>
            <w:t>8</w:t>
          </w:r>
          <w:r>
            <w:fldChar w:fldCharType="end"/>
          </w:r>
          <w:r>
            <w:fldChar w:fldCharType="end"/>
          </w:r>
        </w:p>
        <w:p w14:paraId="643A49BB">
          <w:pPr>
            <w:pStyle w:val="20"/>
            <w:tabs>
              <w:tab w:val="right" w:leader="dot" w:pos="8844"/>
            </w:tabs>
            <w:rPr>
              <w:rFonts w:hint="eastAsia"/>
            </w:rPr>
          </w:pPr>
          <w:r>
            <w:fldChar w:fldCharType="begin"/>
          </w:r>
          <w:r>
            <w:instrText xml:space="preserve"> HYPERLINK \l "_Toc19491" </w:instrText>
          </w:r>
          <w:r>
            <w:fldChar w:fldCharType="separate"/>
          </w:r>
          <w:r>
            <w:rPr>
              <w:rFonts w:hint="eastAsia" w:ascii="Times New Roman" w:hAnsi="Times New Roman" w:eastAsia="宋体"/>
              <w:bCs/>
              <w:szCs w:val="24"/>
            </w:rPr>
            <w:t>（三）投资者影响股价异常收益的作用机制</w:t>
          </w:r>
          <w:r>
            <w:tab/>
          </w:r>
          <w:r>
            <w:fldChar w:fldCharType="begin"/>
          </w:r>
          <w:r>
            <w:instrText xml:space="preserve"> PAGEREF _Toc19491 \h </w:instrText>
          </w:r>
          <w:r>
            <w:fldChar w:fldCharType="separate"/>
          </w:r>
          <w:r>
            <w:rPr>
              <w:rFonts w:hint="eastAsia"/>
            </w:rPr>
            <w:t>8</w:t>
          </w:r>
          <w:r>
            <w:fldChar w:fldCharType="end"/>
          </w:r>
          <w:r>
            <w:fldChar w:fldCharType="end"/>
          </w:r>
        </w:p>
        <w:p w14:paraId="2B2B78C8">
          <w:pPr>
            <w:pStyle w:val="17"/>
            <w:tabs>
              <w:tab w:val="right" w:leader="dot" w:pos="8844"/>
            </w:tabs>
            <w:rPr>
              <w:rFonts w:hint="eastAsia"/>
            </w:rPr>
          </w:pPr>
          <w:r>
            <w:fldChar w:fldCharType="begin"/>
          </w:r>
          <w:r>
            <w:instrText xml:space="preserve"> HYPERLINK \l "_Toc20620" </w:instrText>
          </w:r>
          <w:r>
            <w:fldChar w:fldCharType="separate"/>
          </w:r>
          <w:r>
            <w:rPr>
              <w:rFonts w:hint="eastAsia" w:ascii="Times New Roman" w:hAnsi="Times New Roman" w:eastAsia="宋体"/>
              <w:bCs/>
              <w:szCs w:val="24"/>
            </w:rPr>
            <w:t>二、研究设计</w:t>
          </w:r>
          <w:r>
            <w:tab/>
          </w:r>
          <w:r>
            <w:fldChar w:fldCharType="begin"/>
          </w:r>
          <w:r>
            <w:instrText xml:space="preserve"> PAGEREF _Toc20620 \h </w:instrText>
          </w:r>
          <w:r>
            <w:fldChar w:fldCharType="separate"/>
          </w:r>
          <w:r>
            <w:rPr>
              <w:rFonts w:hint="eastAsia"/>
            </w:rPr>
            <w:t>11</w:t>
          </w:r>
          <w:r>
            <w:fldChar w:fldCharType="end"/>
          </w:r>
          <w:r>
            <w:fldChar w:fldCharType="end"/>
          </w:r>
        </w:p>
        <w:p w14:paraId="3DC54F12">
          <w:pPr>
            <w:pStyle w:val="20"/>
            <w:tabs>
              <w:tab w:val="right" w:leader="dot" w:pos="8844"/>
            </w:tabs>
            <w:rPr>
              <w:rFonts w:hint="eastAsia"/>
            </w:rPr>
          </w:pPr>
          <w:r>
            <w:fldChar w:fldCharType="begin"/>
          </w:r>
          <w:r>
            <w:instrText xml:space="preserve"> HYPERLINK \l "_Toc6082" </w:instrText>
          </w:r>
          <w:r>
            <w:fldChar w:fldCharType="separate"/>
          </w:r>
          <w:r>
            <w:rPr>
              <w:rFonts w:hint="eastAsia" w:ascii="Times New Roman" w:hAnsi="Times New Roman" w:eastAsia="宋体"/>
              <w:bCs/>
              <w:szCs w:val="24"/>
            </w:rPr>
            <w:t>（一）数据来源</w:t>
          </w:r>
          <w:r>
            <w:tab/>
          </w:r>
          <w:r>
            <w:fldChar w:fldCharType="begin"/>
          </w:r>
          <w:r>
            <w:instrText xml:space="preserve"> PAGEREF _Toc6082 \h </w:instrText>
          </w:r>
          <w:r>
            <w:fldChar w:fldCharType="separate"/>
          </w:r>
          <w:r>
            <w:rPr>
              <w:rFonts w:hint="eastAsia"/>
            </w:rPr>
            <w:t>11</w:t>
          </w:r>
          <w:r>
            <w:fldChar w:fldCharType="end"/>
          </w:r>
          <w:r>
            <w:fldChar w:fldCharType="end"/>
          </w:r>
        </w:p>
        <w:p w14:paraId="55774B24">
          <w:pPr>
            <w:pStyle w:val="20"/>
            <w:tabs>
              <w:tab w:val="right" w:leader="dot" w:pos="8844"/>
            </w:tabs>
            <w:rPr>
              <w:rFonts w:hint="eastAsia"/>
            </w:rPr>
          </w:pPr>
          <w:r>
            <w:fldChar w:fldCharType="begin"/>
          </w:r>
          <w:r>
            <w:instrText xml:space="preserve"> HYPERLINK \l "_Toc2560" </w:instrText>
          </w:r>
          <w:r>
            <w:fldChar w:fldCharType="separate"/>
          </w:r>
          <w:r>
            <w:rPr>
              <w:rFonts w:hint="eastAsia" w:ascii="Times New Roman" w:hAnsi="Times New Roman" w:eastAsia="宋体"/>
              <w:bCs/>
              <w:szCs w:val="24"/>
            </w:rPr>
            <w:t>（二）变量解释</w:t>
          </w:r>
          <w:r>
            <w:tab/>
          </w:r>
          <w:r>
            <w:fldChar w:fldCharType="begin"/>
          </w:r>
          <w:r>
            <w:instrText xml:space="preserve"> PAGEREF _Toc2560 \h </w:instrText>
          </w:r>
          <w:r>
            <w:fldChar w:fldCharType="separate"/>
          </w:r>
          <w:r>
            <w:rPr>
              <w:rFonts w:hint="eastAsia"/>
            </w:rPr>
            <w:t>11</w:t>
          </w:r>
          <w:r>
            <w:fldChar w:fldCharType="end"/>
          </w:r>
          <w:r>
            <w:fldChar w:fldCharType="end"/>
          </w:r>
        </w:p>
        <w:p w14:paraId="5C8A899B">
          <w:pPr>
            <w:pStyle w:val="20"/>
            <w:tabs>
              <w:tab w:val="right" w:leader="dot" w:pos="8844"/>
            </w:tabs>
            <w:rPr>
              <w:rFonts w:hint="eastAsia"/>
            </w:rPr>
          </w:pPr>
          <w:r>
            <w:fldChar w:fldCharType="begin"/>
          </w:r>
          <w:r>
            <w:instrText xml:space="preserve"> HYPERLINK \l "_Toc19474" </w:instrText>
          </w:r>
          <w:r>
            <w:fldChar w:fldCharType="separate"/>
          </w:r>
          <w:r>
            <w:rPr>
              <w:rFonts w:hint="eastAsia" w:ascii="Times New Roman" w:hAnsi="Times New Roman" w:eastAsia="宋体"/>
              <w:bCs/>
              <w:szCs w:val="24"/>
            </w:rPr>
            <w:t>（三）情绪测度</w:t>
          </w:r>
          <w:r>
            <w:tab/>
          </w:r>
          <w:r>
            <w:fldChar w:fldCharType="begin"/>
          </w:r>
          <w:r>
            <w:instrText xml:space="preserve"> PAGEREF _Toc19474 \h </w:instrText>
          </w:r>
          <w:r>
            <w:fldChar w:fldCharType="separate"/>
          </w:r>
          <w:r>
            <w:rPr>
              <w:rFonts w:hint="eastAsia"/>
            </w:rPr>
            <w:t>13</w:t>
          </w:r>
          <w:r>
            <w:fldChar w:fldCharType="end"/>
          </w:r>
          <w:r>
            <w:fldChar w:fldCharType="end"/>
          </w:r>
        </w:p>
        <w:p w14:paraId="49CDDDDE">
          <w:pPr>
            <w:pStyle w:val="20"/>
            <w:tabs>
              <w:tab w:val="right" w:leader="dot" w:pos="8844"/>
            </w:tabs>
            <w:rPr>
              <w:rFonts w:hint="eastAsia"/>
            </w:rPr>
          </w:pPr>
          <w:r>
            <w:fldChar w:fldCharType="begin"/>
          </w:r>
          <w:r>
            <w:instrText xml:space="preserve"> HYPERLINK \l "_Toc10793" </w:instrText>
          </w:r>
          <w:r>
            <w:fldChar w:fldCharType="separate"/>
          </w:r>
          <w:r>
            <w:rPr>
              <w:rFonts w:hint="eastAsia" w:ascii="Times New Roman" w:hAnsi="Times New Roman" w:eastAsia="宋体"/>
              <w:bCs/>
              <w:szCs w:val="24"/>
            </w:rPr>
            <w:t>（四）模型设计</w:t>
          </w:r>
          <w:r>
            <w:tab/>
          </w:r>
          <w:r>
            <w:fldChar w:fldCharType="begin"/>
          </w:r>
          <w:r>
            <w:instrText xml:space="preserve"> PAGEREF _Toc10793 \h </w:instrText>
          </w:r>
          <w:r>
            <w:fldChar w:fldCharType="separate"/>
          </w:r>
          <w:r>
            <w:rPr>
              <w:rFonts w:hint="eastAsia"/>
            </w:rPr>
            <w:t>14</w:t>
          </w:r>
          <w:r>
            <w:fldChar w:fldCharType="end"/>
          </w:r>
          <w:r>
            <w:fldChar w:fldCharType="end"/>
          </w:r>
        </w:p>
        <w:p w14:paraId="79C57053">
          <w:pPr>
            <w:pStyle w:val="17"/>
            <w:tabs>
              <w:tab w:val="right" w:leader="dot" w:pos="8844"/>
            </w:tabs>
            <w:rPr>
              <w:rFonts w:hint="eastAsia"/>
            </w:rPr>
          </w:pPr>
          <w:r>
            <w:fldChar w:fldCharType="begin"/>
          </w:r>
          <w:r>
            <w:instrText xml:space="preserve"> HYPERLINK \l "_Toc5872" </w:instrText>
          </w:r>
          <w:r>
            <w:fldChar w:fldCharType="separate"/>
          </w:r>
          <w:r>
            <w:rPr>
              <w:rFonts w:hint="eastAsia" w:ascii="Times New Roman" w:hAnsi="Times New Roman" w:eastAsia="宋体"/>
              <w:bCs/>
              <w:szCs w:val="24"/>
            </w:rPr>
            <w:t>三、实证结果分析</w:t>
          </w:r>
          <w:r>
            <w:tab/>
          </w:r>
          <w:r>
            <w:fldChar w:fldCharType="begin"/>
          </w:r>
          <w:r>
            <w:instrText xml:space="preserve"> PAGEREF _Toc5872 \h </w:instrText>
          </w:r>
          <w:r>
            <w:fldChar w:fldCharType="separate"/>
          </w:r>
          <w:r>
            <w:rPr>
              <w:rFonts w:hint="eastAsia"/>
            </w:rPr>
            <w:t>18</w:t>
          </w:r>
          <w:r>
            <w:fldChar w:fldCharType="end"/>
          </w:r>
          <w:r>
            <w:fldChar w:fldCharType="end"/>
          </w:r>
        </w:p>
        <w:p w14:paraId="267328D3">
          <w:pPr>
            <w:pStyle w:val="20"/>
            <w:tabs>
              <w:tab w:val="right" w:leader="dot" w:pos="8844"/>
            </w:tabs>
            <w:rPr>
              <w:rFonts w:hint="eastAsia"/>
            </w:rPr>
          </w:pPr>
          <w:r>
            <w:fldChar w:fldCharType="begin"/>
          </w:r>
          <w:r>
            <w:instrText xml:space="preserve"> HYPERLINK \l "_Toc8105" </w:instrText>
          </w:r>
          <w:r>
            <w:fldChar w:fldCharType="separate"/>
          </w:r>
          <w:r>
            <w:rPr>
              <w:rFonts w:hint="eastAsia" w:ascii="Times New Roman" w:hAnsi="Times New Roman" w:eastAsia="宋体"/>
              <w:bCs/>
              <w:szCs w:val="24"/>
            </w:rPr>
            <w:t>（一）描述性统计</w:t>
          </w:r>
          <w:r>
            <w:tab/>
          </w:r>
          <w:r>
            <w:fldChar w:fldCharType="begin"/>
          </w:r>
          <w:r>
            <w:instrText xml:space="preserve"> PAGEREF _Toc8105 \h </w:instrText>
          </w:r>
          <w:r>
            <w:fldChar w:fldCharType="separate"/>
          </w:r>
          <w:r>
            <w:rPr>
              <w:rFonts w:hint="eastAsia"/>
            </w:rPr>
            <w:t>18</w:t>
          </w:r>
          <w:r>
            <w:fldChar w:fldCharType="end"/>
          </w:r>
          <w:r>
            <w:fldChar w:fldCharType="end"/>
          </w:r>
        </w:p>
        <w:p w14:paraId="2AF1E61E">
          <w:pPr>
            <w:pStyle w:val="20"/>
            <w:tabs>
              <w:tab w:val="right" w:leader="dot" w:pos="8844"/>
            </w:tabs>
            <w:rPr>
              <w:rFonts w:hint="eastAsia"/>
            </w:rPr>
          </w:pPr>
          <w:r>
            <w:fldChar w:fldCharType="begin"/>
          </w:r>
          <w:r>
            <w:instrText xml:space="preserve"> HYPERLINK \l "_Toc11202" </w:instrText>
          </w:r>
          <w:r>
            <w:fldChar w:fldCharType="separate"/>
          </w:r>
          <w:r>
            <w:rPr>
              <w:rFonts w:hint="eastAsia" w:ascii="Times New Roman" w:hAnsi="Times New Roman" w:eastAsia="宋体"/>
              <w:bCs/>
              <w:szCs w:val="24"/>
            </w:rPr>
            <w:t>（二）新闻发布日与交易日不一致对股票异常收益率的影响</w:t>
          </w:r>
          <w:r>
            <w:tab/>
          </w:r>
          <w:r>
            <w:fldChar w:fldCharType="begin"/>
          </w:r>
          <w:r>
            <w:instrText xml:space="preserve"> PAGEREF _Toc11202 \h </w:instrText>
          </w:r>
          <w:r>
            <w:fldChar w:fldCharType="separate"/>
          </w:r>
          <w:r>
            <w:rPr>
              <w:rFonts w:hint="eastAsia"/>
            </w:rPr>
            <w:t>18</w:t>
          </w:r>
          <w:r>
            <w:fldChar w:fldCharType="end"/>
          </w:r>
          <w:r>
            <w:fldChar w:fldCharType="end"/>
          </w:r>
        </w:p>
        <w:p w14:paraId="1D15E0F8">
          <w:pPr>
            <w:pStyle w:val="20"/>
            <w:tabs>
              <w:tab w:val="right" w:leader="dot" w:pos="8844"/>
            </w:tabs>
            <w:rPr>
              <w:rFonts w:hint="eastAsia"/>
            </w:rPr>
          </w:pPr>
          <w:r>
            <w:fldChar w:fldCharType="begin"/>
          </w:r>
          <w:r>
            <w:instrText xml:space="preserve"> HYPERLINK \l "_Toc6743" </w:instrText>
          </w:r>
          <w:r>
            <w:fldChar w:fldCharType="separate"/>
          </w:r>
          <w:r>
            <w:rPr>
              <w:rFonts w:hint="eastAsia" w:ascii="Times New Roman" w:hAnsi="Times New Roman" w:eastAsia="宋体"/>
              <w:bCs/>
              <w:szCs w:val="24"/>
            </w:rPr>
            <w:t>（三）新闻情绪对股票异常收益率的影响</w:t>
          </w:r>
          <w:r>
            <w:tab/>
          </w:r>
          <w:r>
            <w:fldChar w:fldCharType="begin"/>
          </w:r>
          <w:r>
            <w:instrText xml:space="preserve"> PAGEREF _Toc6743 \h </w:instrText>
          </w:r>
          <w:r>
            <w:fldChar w:fldCharType="separate"/>
          </w:r>
          <w:r>
            <w:rPr>
              <w:rFonts w:hint="eastAsia"/>
            </w:rPr>
            <w:t>19</w:t>
          </w:r>
          <w:r>
            <w:fldChar w:fldCharType="end"/>
          </w:r>
          <w:r>
            <w:fldChar w:fldCharType="end"/>
          </w:r>
        </w:p>
        <w:p w14:paraId="6B645C4A">
          <w:pPr>
            <w:pStyle w:val="20"/>
            <w:tabs>
              <w:tab w:val="right" w:leader="dot" w:pos="8844"/>
            </w:tabs>
            <w:rPr>
              <w:rFonts w:hint="eastAsia"/>
            </w:rPr>
          </w:pPr>
          <w:r>
            <w:fldChar w:fldCharType="begin"/>
          </w:r>
          <w:r>
            <w:instrText xml:space="preserve"> HYPERLINK \l "_Toc17644" </w:instrText>
          </w:r>
          <w:r>
            <w:fldChar w:fldCharType="separate"/>
          </w:r>
          <w:r>
            <w:rPr>
              <w:rFonts w:hint="eastAsia" w:ascii="Times New Roman" w:hAnsi="Times New Roman" w:eastAsia="宋体"/>
              <w:bCs/>
              <w:szCs w:val="24"/>
            </w:rPr>
            <w:t>（五）动态效应分析</w:t>
          </w:r>
          <w:r>
            <w:tab/>
          </w:r>
          <w:r>
            <w:fldChar w:fldCharType="begin"/>
          </w:r>
          <w:r>
            <w:instrText xml:space="preserve"> PAGEREF _Toc17644 \h </w:instrText>
          </w:r>
          <w:r>
            <w:fldChar w:fldCharType="separate"/>
          </w:r>
          <w:r>
            <w:rPr>
              <w:rFonts w:hint="eastAsia"/>
            </w:rPr>
            <w:t>21</w:t>
          </w:r>
          <w:r>
            <w:fldChar w:fldCharType="end"/>
          </w:r>
          <w:r>
            <w:fldChar w:fldCharType="end"/>
          </w:r>
        </w:p>
        <w:p w14:paraId="043566B1">
          <w:pPr>
            <w:pStyle w:val="17"/>
            <w:tabs>
              <w:tab w:val="right" w:leader="dot" w:pos="8844"/>
            </w:tabs>
            <w:rPr>
              <w:rFonts w:hint="eastAsia"/>
            </w:rPr>
          </w:pPr>
          <w:r>
            <w:fldChar w:fldCharType="begin"/>
          </w:r>
          <w:r>
            <w:instrText xml:space="preserve"> HYPERLINK \l "_Toc5474" </w:instrText>
          </w:r>
          <w:r>
            <w:fldChar w:fldCharType="separate"/>
          </w:r>
          <w:r>
            <w:rPr>
              <w:rFonts w:hint="eastAsia" w:ascii="Times New Roman" w:hAnsi="Times New Roman" w:eastAsia="宋体"/>
              <w:bCs/>
              <w:szCs w:val="24"/>
            </w:rPr>
            <w:t>四、中介效应分析</w:t>
          </w:r>
          <w:r>
            <w:tab/>
          </w:r>
          <w:r>
            <w:fldChar w:fldCharType="begin"/>
          </w:r>
          <w:r>
            <w:instrText xml:space="preserve"> PAGEREF _Toc5474 \h </w:instrText>
          </w:r>
          <w:r>
            <w:fldChar w:fldCharType="separate"/>
          </w:r>
          <w:r>
            <w:rPr>
              <w:rFonts w:hint="eastAsia"/>
            </w:rPr>
            <w:t>23</w:t>
          </w:r>
          <w:r>
            <w:fldChar w:fldCharType="end"/>
          </w:r>
          <w:r>
            <w:fldChar w:fldCharType="end"/>
          </w:r>
        </w:p>
        <w:p w14:paraId="0FB145AF">
          <w:pPr>
            <w:pStyle w:val="17"/>
            <w:tabs>
              <w:tab w:val="right" w:leader="dot" w:pos="8844"/>
            </w:tabs>
            <w:rPr>
              <w:rFonts w:hint="eastAsia"/>
            </w:rPr>
          </w:pPr>
          <w:r>
            <w:fldChar w:fldCharType="begin"/>
          </w:r>
          <w:r>
            <w:instrText xml:space="preserve"> HYPERLINK \l "_Toc22987" </w:instrText>
          </w:r>
          <w:r>
            <w:fldChar w:fldCharType="separate"/>
          </w:r>
          <w:r>
            <w:rPr>
              <w:rFonts w:hint="eastAsia" w:ascii="宋体" w:hAnsi="宋体" w:eastAsia="宋体"/>
              <w:bCs/>
              <w:szCs w:val="24"/>
            </w:rPr>
            <w:t>五、稳健性检验与异质性分析</w:t>
          </w:r>
          <w:r>
            <w:tab/>
          </w:r>
          <w:r>
            <w:fldChar w:fldCharType="begin"/>
          </w:r>
          <w:r>
            <w:instrText xml:space="preserve"> PAGEREF _Toc22987 \h </w:instrText>
          </w:r>
          <w:r>
            <w:fldChar w:fldCharType="separate"/>
          </w:r>
          <w:r>
            <w:rPr>
              <w:rFonts w:hint="eastAsia"/>
            </w:rPr>
            <w:t>26</w:t>
          </w:r>
          <w:r>
            <w:fldChar w:fldCharType="end"/>
          </w:r>
          <w:r>
            <w:fldChar w:fldCharType="end"/>
          </w:r>
        </w:p>
        <w:p w14:paraId="1ECAF297">
          <w:pPr>
            <w:pStyle w:val="20"/>
            <w:tabs>
              <w:tab w:val="right" w:leader="dot" w:pos="8844"/>
            </w:tabs>
            <w:rPr>
              <w:rFonts w:hint="eastAsia"/>
            </w:rPr>
          </w:pPr>
          <w:r>
            <w:fldChar w:fldCharType="begin"/>
          </w:r>
          <w:r>
            <w:instrText xml:space="preserve"> HYPERLINK \l "_Toc14303" </w:instrText>
          </w:r>
          <w:r>
            <w:fldChar w:fldCharType="separate"/>
          </w:r>
          <w:r>
            <w:rPr>
              <w:rFonts w:hint="eastAsia" w:ascii="宋体" w:hAnsi="宋体" w:eastAsia="宋体"/>
              <w:bCs/>
              <w:szCs w:val="24"/>
            </w:rPr>
            <w:t>（一）解释变量的稳健性</w:t>
          </w:r>
          <w:r>
            <w:tab/>
          </w:r>
          <w:r>
            <w:fldChar w:fldCharType="begin"/>
          </w:r>
          <w:r>
            <w:instrText xml:space="preserve"> PAGEREF _Toc14303 \h </w:instrText>
          </w:r>
          <w:r>
            <w:fldChar w:fldCharType="separate"/>
          </w:r>
          <w:r>
            <w:rPr>
              <w:rFonts w:hint="eastAsia"/>
            </w:rPr>
            <w:t>26</w:t>
          </w:r>
          <w:r>
            <w:fldChar w:fldCharType="end"/>
          </w:r>
          <w:r>
            <w:fldChar w:fldCharType="end"/>
          </w:r>
        </w:p>
        <w:p w14:paraId="6AC93E2E">
          <w:pPr>
            <w:pStyle w:val="20"/>
            <w:tabs>
              <w:tab w:val="right" w:leader="dot" w:pos="8844"/>
            </w:tabs>
            <w:rPr>
              <w:rFonts w:hint="eastAsia"/>
            </w:rPr>
          </w:pPr>
          <w:r>
            <w:fldChar w:fldCharType="begin"/>
          </w:r>
          <w:r>
            <w:instrText xml:space="preserve"> HYPERLINK \l "_Toc30122" </w:instrText>
          </w:r>
          <w:r>
            <w:fldChar w:fldCharType="separate"/>
          </w:r>
          <w:r>
            <w:rPr>
              <w:rFonts w:hint="eastAsia" w:ascii="宋体" w:hAnsi="宋体" w:eastAsia="宋体"/>
              <w:bCs/>
              <w:szCs w:val="24"/>
            </w:rPr>
            <w:t>（二）被解释变量的稳健性</w:t>
          </w:r>
          <w:r>
            <w:tab/>
          </w:r>
          <w:r>
            <w:fldChar w:fldCharType="begin"/>
          </w:r>
          <w:r>
            <w:instrText xml:space="preserve"> PAGEREF _Toc30122 \h </w:instrText>
          </w:r>
          <w:r>
            <w:fldChar w:fldCharType="separate"/>
          </w:r>
          <w:r>
            <w:rPr>
              <w:rFonts w:hint="eastAsia"/>
            </w:rPr>
            <w:t>27</w:t>
          </w:r>
          <w:r>
            <w:fldChar w:fldCharType="end"/>
          </w:r>
          <w:r>
            <w:fldChar w:fldCharType="end"/>
          </w:r>
        </w:p>
        <w:p w14:paraId="456354CF">
          <w:pPr>
            <w:pStyle w:val="20"/>
            <w:tabs>
              <w:tab w:val="right" w:leader="dot" w:pos="8844"/>
            </w:tabs>
            <w:rPr>
              <w:rFonts w:hint="eastAsia"/>
            </w:rPr>
          </w:pPr>
          <w:r>
            <w:fldChar w:fldCharType="begin"/>
          </w:r>
          <w:r>
            <w:instrText xml:space="preserve"> HYPERLINK \l "_Toc26212" </w:instrText>
          </w:r>
          <w:r>
            <w:fldChar w:fldCharType="separate"/>
          </w:r>
          <w:r>
            <w:rPr>
              <w:rFonts w:hint="eastAsia" w:ascii="宋体" w:hAnsi="宋体" w:eastAsia="宋体"/>
              <w:bCs/>
              <w:szCs w:val="24"/>
            </w:rPr>
            <w:t>（三）安慰剂检验</w:t>
          </w:r>
          <w:r>
            <w:tab/>
          </w:r>
          <w:r>
            <w:fldChar w:fldCharType="begin"/>
          </w:r>
          <w:r>
            <w:instrText xml:space="preserve"> PAGEREF _Toc26212 \h </w:instrText>
          </w:r>
          <w:r>
            <w:fldChar w:fldCharType="separate"/>
          </w:r>
          <w:r>
            <w:rPr>
              <w:rFonts w:hint="eastAsia"/>
            </w:rPr>
            <w:t>27</w:t>
          </w:r>
          <w:r>
            <w:fldChar w:fldCharType="end"/>
          </w:r>
          <w:r>
            <w:fldChar w:fldCharType="end"/>
          </w:r>
        </w:p>
        <w:p w14:paraId="0EB96AD6">
          <w:pPr>
            <w:pStyle w:val="20"/>
            <w:tabs>
              <w:tab w:val="right" w:leader="dot" w:pos="8844"/>
            </w:tabs>
            <w:rPr>
              <w:rFonts w:hint="eastAsia"/>
            </w:rPr>
          </w:pPr>
          <w:r>
            <w:fldChar w:fldCharType="begin"/>
          </w:r>
          <w:r>
            <w:instrText xml:space="preserve"> HYPERLINK \l "_Toc16211" </w:instrText>
          </w:r>
          <w:r>
            <w:fldChar w:fldCharType="separate"/>
          </w:r>
          <w:r>
            <w:rPr>
              <w:rFonts w:hint="eastAsia" w:ascii="宋体" w:hAnsi="宋体" w:eastAsia="宋体"/>
              <w:bCs/>
              <w:szCs w:val="24"/>
            </w:rPr>
            <w:t>（四）异质性分析</w:t>
          </w:r>
          <w:r>
            <w:tab/>
          </w:r>
          <w:r>
            <w:fldChar w:fldCharType="begin"/>
          </w:r>
          <w:r>
            <w:instrText xml:space="preserve"> PAGEREF _Toc16211 \h </w:instrText>
          </w:r>
          <w:r>
            <w:fldChar w:fldCharType="separate"/>
          </w:r>
          <w:r>
            <w:rPr>
              <w:rFonts w:hint="eastAsia"/>
            </w:rPr>
            <w:t>28</w:t>
          </w:r>
          <w:r>
            <w:fldChar w:fldCharType="end"/>
          </w:r>
          <w:r>
            <w:fldChar w:fldCharType="end"/>
          </w:r>
        </w:p>
        <w:p w14:paraId="7A443ADA">
          <w:pPr>
            <w:pStyle w:val="17"/>
            <w:tabs>
              <w:tab w:val="right" w:leader="dot" w:pos="8844"/>
            </w:tabs>
            <w:rPr>
              <w:rFonts w:hint="eastAsia"/>
            </w:rPr>
          </w:pPr>
          <w:r>
            <w:fldChar w:fldCharType="begin"/>
          </w:r>
          <w:r>
            <w:instrText xml:space="preserve"> HYPERLINK \l "_Toc30430" </w:instrText>
          </w:r>
          <w:r>
            <w:fldChar w:fldCharType="separate"/>
          </w:r>
          <w:r>
            <w:rPr>
              <w:rFonts w:hint="eastAsia" w:ascii="宋体" w:hAnsi="宋体" w:eastAsia="宋体"/>
              <w:bCs/>
              <w:szCs w:val="24"/>
            </w:rPr>
            <w:t>六、结论与启示</w:t>
          </w:r>
          <w:r>
            <w:tab/>
          </w:r>
          <w:r>
            <w:fldChar w:fldCharType="begin"/>
          </w:r>
          <w:r>
            <w:instrText xml:space="preserve"> PAGEREF _Toc30430 \h </w:instrText>
          </w:r>
          <w:r>
            <w:fldChar w:fldCharType="separate"/>
          </w:r>
          <w:r>
            <w:rPr>
              <w:rFonts w:hint="eastAsia"/>
            </w:rPr>
            <w:t>31</w:t>
          </w:r>
          <w:r>
            <w:fldChar w:fldCharType="end"/>
          </w:r>
          <w:r>
            <w:fldChar w:fldCharType="end"/>
          </w:r>
        </w:p>
        <w:p w14:paraId="2692B65B">
          <w:pPr>
            <w:jc w:val="left"/>
            <w:rPr>
              <w:rFonts w:ascii="Times New Roman" w:hAnsi="Times New Roman" w:eastAsia="宋体" w:cs="Times New Roman"/>
              <w:bCs/>
              <w:szCs w:val="24"/>
            </w:rPr>
            <w:sectPr>
              <w:pgSz w:w="11906" w:h="16838"/>
              <w:pgMar w:top="2098" w:right="1531" w:bottom="1985" w:left="1531" w:header="851" w:footer="992" w:gutter="0"/>
              <w:cols w:space="425" w:num="1"/>
              <w:docGrid w:type="lines" w:linePitch="312" w:charSpace="0"/>
            </w:sectPr>
          </w:pPr>
          <w:r>
            <w:rPr>
              <w:rFonts w:hint="eastAsia" w:ascii="Times New Roman" w:hAnsi="Times New Roman" w:eastAsia="宋体" w:cs="Times New Roman"/>
              <w:bCs/>
              <w:szCs w:val="24"/>
            </w:rPr>
            <w:fldChar w:fldCharType="end"/>
          </w:r>
        </w:p>
      </w:sdtContent>
    </w:sdt>
    <w:p w14:paraId="656A8FF5">
      <w:pPr>
        <w:jc w:val="center"/>
        <w:outlineLvl w:val="0"/>
        <w:rPr>
          <w:rFonts w:ascii="Times New Roman" w:hAnsi="Times New Roman" w:eastAsia="宋体" w:cs="Times New Roman"/>
          <w:b/>
          <w:bCs/>
          <w:sz w:val="24"/>
          <w:szCs w:val="24"/>
        </w:rPr>
      </w:pPr>
      <w:bookmarkStart w:id="4" w:name="_Toc106"/>
      <w:r>
        <w:rPr>
          <w:rFonts w:hint="eastAsia" w:ascii="Times New Roman" w:hAnsi="Times New Roman" w:eastAsia="宋体" w:cs="Times New Roman"/>
          <w:b/>
          <w:bCs/>
          <w:sz w:val="24"/>
          <w:szCs w:val="24"/>
        </w:rPr>
        <w:t>引言</w:t>
      </w:r>
      <w:bookmarkEnd w:id="4"/>
    </w:p>
    <w:p w14:paraId="44218E1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数字化加深与社交媒体的广泛应用使得新闻的影响力不断上升，虚假财经新闻的泛滥程度也随之增加。虚假财经新闻，或称为假新闻，通常指故意和可验证的，并可能误导读者的虚假财经新闻文章（TandocJr等，2018）</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0"/>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虚假财经新闻因其传播速度快、范围广、影响深的特性，较真实性新闻在信息流通中具有更大的扰动作用，近年来成为多个领域关注的热点问题。现代假新闻通常与最近几件重大的世界事件有关，例如美国大选和英国脱欧，它在当代政治和社会中产生了重大且有据可查的影响，并随后在流行话语和学术研究中引起了广泛关注。而最近的研究表明，虚假财经新闻能够显著影响证券价格和金融市场。Clarke等（2020）</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研究了金融市场中的虚假财经新闻如何吸引投资者关注以及对股票价格的影响，其利用美国证券交易委员会（SEC）对虚假财经新闻的打击行动作为研究假新闻的自然实验，发现假新闻在金融市场中吸引了显著的投资者关注，但投资者对假新闻的反应（股价波动）较小，说明市场能够辨别假新闻。Makortoff等（2019）</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通过对Twitter上分享的虚假WhatsApp 消息引发了2019年5月对英国大都会银行的挤兑与随后大都会银行股价暴跌这一事件进行了分析，证实了虚假财经新闻对金融市场的影响。然而，尽管假新闻成为研究热点，但关于假新闻对金融市场影响的研究数量仍然非常有限。绝大多数研究仍然集中在假新闻的政治和社会影响上，而且这些研究大多局限于检测和打击假新闻的方法。</w:t>
      </w:r>
    </w:p>
    <w:p w14:paraId="5655956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尽管已有文献从多个角度探讨了传闻对金融市场的影响，例如揭示传闻发布前后异常交易现象和股价的显著波动（史青春等，2015）</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3"/>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但这些研究大多并未明确区分传闻与虚假财经新闻。传闻与虚假财经新闻虽有重叠，但存在本质区别：传闻的部分内容可能会被澄清，也可能未被澄清，其是否澄清通常受影响范围、澄清成本、公司意愿等多重因素制约（刘春林等，2012）</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4"/>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而虚假财经新闻则是明确被澄清公告所澄清的信息。由于样本中包含了不同性质和影响力的传闻，传统研究对传闻的广义处理难以精准测度虚假财经新闻的真实效应。这一问题的存在导致了当前研究中对虚假财经新闻影响的直接分析较为匮乏，因此，将虚假财经新闻从传闻中区分开来，独立研究其对金融市场的作用机理，具有重要的理论和实践意义。</w:t>
      </w:r>
    </w:p>
    <w:p w14:paraId="2C52347D">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虚假财经新闻对金融市场的影响可体现在两个方面：一是直接的金融指标，二是潜在的投资者情绪变化。在直接的金融指标方面，虚假财经新闻会引起异常的交易量。Kogan 等人（2019 年）</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5"/>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表明，虚假财经新闻对小公司价格的平均初始影响为8%。这些影响在一年内完全逆转，表明即使没有揭穿，虚假财经新闻也具有暂时的可信度。Clarke等人（2018年）</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6"/>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还表明，虚假财经新闻会产生显著的异常交易量和初始价格影响，这些影响小于同等的真实财经新闻；表明代理人会部分折扣虚假财经新闻。在情绪方面，虚假财经新闻通过改变投资者的情绪状态，进而影响其投资决策。卢锐等（2023）</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7"/>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通过研究东方财富股吧，发现股吧论坛中的投资者互动会加剧公司传闻对股价的冲击，股吧互动放大了公司传闻对投资者情绪的影响，进一步加剧了传闻对股价的冲击。Chuai</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8"/>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等人就发现虚假财经新闻的情绪倾向，尤其是愤怒情绪，是其快速传播的关键因素。愤怒情绪不仅促使信息更易传播，而且通过激励受众进行焦虑管理和信息分享，使虚假财经新闻比真实财经新闻更具传染性。</w:t>
      </w:r>
    </w:p>
    <w:p w14:paraId="68B47A99">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聚焦于研究虚假财经新闻、投资者关注对股票价格的影响。就虚假财经新闻对股票价格的影响而言，本文比较了虚假财经新闻较之于真实财经新闻的影响。就投资者关注而言，本文主要根据股吧评论的活跃程度来确定投资者的关注度。此外，本文还采用了情绪测度方法来测度新闻与股吧评论的情绪。为了弥补情感词典和机器学习媒体情绪判别的不足，本文引入多种大语言模型以及其他非大语言模型的情绪测度工具用于虚假财经新闻媒体情绪的测度。大语言模型的发展和应用促进了自然语言处理技术的极大飞跃。已有的情感判断工作繁琐、效率较低且技术门槛较高，大语言模型存在显著优势，即它类似于一个能够进行高效率、高性能自然语言处理的虚拟人，拥有庞大的知识库，其构建的文本指标可信度高且成本消耗低。本文选取了更适用于中文文本的大语言模型Deepseek用于本文虚假财经新闻媒体情绪的判别，还比对了BERT和词典法进行测度时的差异。具体步骤来说，本文首先基于人工收集的2015年-2023年的独特新闻数据集，首先使用双重差分估计虚假财经新闻和真实财经新闻在对股价的影响上的差异；其次利用大语言模型输出具体的情感倾向用于虚假财经新闻媒体情绪的测度，并结合股吧评论，采用工具变量进行分析。最后进一步进行异质性分析和稳健性检验。</w:t>
      </w:r>
    </w:p>
    <w:p w14:paraId="6ED01B97">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的研究存在三个方面的贡献。首先，本文首次研究了中国股市虚假财经新闻和真实财经新闻对股价冲击上的差异，扩展了中国股市有关虚假财经新闻的研究。有关虚假财经新闻影响股票市场的文献主要集中在外国股票市场，缺乏中国情景下的文献论证。中国独特的市场环境，比如拥有占比更多的散户等中小投资者，相较机构投资者，散户等中小投资缺乏金融知识，更容易受到虚假财经新闻的影响。因此，本文立足于中国股票市场，实证虚假财经新闻及如何影响股票市场，为中国有关虚假财经新闻影响股票市场做出理论贡献。其次，本文将DeepSeek大语言模型技术用于虚假财经新闻的情绪测度，不仅丰富了大语言模型应用领域的研究，并且实证了中国大语言模型用于虚假财经新闻媒体情绪测度的有效性。DeepSeek模型的发展对于金融市场产生巨大影响，其不仅训练数据丰富，且预测效果准确，能够处理长文本数据，得到学者的论证。本文利用大模型进行情感感知测度，准确把握了虚假财经新闻的媒体情绪，有效赋能于实证研究和投资者利用DeepSeek模型进行新闻数据分析。第三，本文的研究有助于监管机构部门进行金融市场信息治理提供启示。本文通过实证研究了虚假财经新闻及其新闻情绪、投资者情绪对股票市场异常收益的影响，并且揭示了这一过程中的关联。这一发现强调了金融市场信息治理的重要性，特别是在当前信息传播速度极快的数字时代。监管机构可以基于本文的研究成果，加强对虚假财经新闻的监管力度，提高市场透明度，从而保护投资者的利益，维护市场秩序。</w:t>
      </w:r>
    </w:p>
    <w:p w14:paraId="40BF7228">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0B8B3D94">
      <w:pPr>
        <w:jc w:val="center"/>
        <w:outlineLvl w:val="0"/>
        <w:rPr>
          <w:rFonts w:ascii="Times New Roman" w:hAnsi="Times New Roman" w:eastAsia="宋体" w:cs="Times New Roman"/>
          <w:b/>
          <w:bCs/>
          <w:sz w:val="24"/>
          <w:szCs w:val="24"/>
        </w:rPr>
      </w:pPr>
      <w:bookmarkStart w:id="5" w:name="_Toc27284"/>
      <w:r>
        <w:rPr>
          <w:rFonts w:hint="eastAsia" w:ascii="Times New Roman" w:hAnsi="Times New Roman" w:eastAsia="宋体" w:cs="Times New Roman"/>
          <w:b/>
          <w:bCs/>
          <w:sz w:val="24"/>
          <w:szCs w:val="24"/>
        </w:rPr>
        <w:t>一、理论分析与研究假设</w:t>
      </w:r>
      <w:bookmarkEnd w:id="5"/>
    </w:p>
    <w:p w14:paraId="77C61075">
      <w:pPr>
        <w:outlineLvl w:val="1"/>
        <w:rPr>
          <w:rFonts w:ascii="Times New Roman" w:hAnsi="Times New Roman" w:eastAsia="宋体" w:cs="Times New Roman"/>
          <w:b/>
          <w:bCs/>
          <w:sz w:val="24"/>
          <w:szCs w:val="24"/>
        </w:rPr>
      </w:pPr>
      <w:bookmarkStart w:id="6" w:name="_Toc24790"/>
      <w:r>
        <w:rPr>
          <w:rFonts w:hint="eastAsia" w:ascii="Times New Roman" w:hAnsi="Times New Roman" w:eastAsia="宋体" w:cs="Times New Roman"/>
          <w:b/>
          <w:bCs/>
          <w:sz w:val="24"/>
          <w:szCs w:val="24"/>
        </w:rPr>
        <w:t>（一）财经新闻媒体情绪与股价异常收益率</w:t>
      </w:r>
      <w:bookmarkEnd w:id="6"/>
    </w:p>
    <w:p w14:paraId="04725377">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新闻的文本情绪对股票价格具有显著影响。新闻的情绪具有许多称谓，如积极/消极，正面/负面等。这些区分在过去存在混淆，如许多研究评估新闻的积极/消极、正面/负面时常将情绪与信息混为一谈。具体而言，情绪往往是指一篇新闻在遣词造句上所反映的特征，如：用词夸张使得情绪更为激励，这一点反映在情绪分数的绝对值更高上；行文低迷态度悲观，这一点反映在情绪分数偏负上。情绪是新闻文本的内在属性，与其是否涉及金融信息无直接关系。信息则指一篇新闻内容包含的观点。如一篇新闻有“上涨”“利好”等词汇，可能给投资者传递出利好的投资信息。而一篇新闻有“下跌”“套牢”等词汇，可能给投资者传递出利空的投资信息。这些词汇单独呈现时是不具有情绪特征的，然而一篇含义这些词汇的新闻，其情绪特征往往与这些词汇关联性较强。如一篇充斥着利空词汇的新闻，其整体情绪基调很难说是正面积极的。金融文本情感分析技术的不断进步，为揭示情绪与市场表现之间的关系提供了有力的实证工具。传统情感分析方法以字典法为主，通过预定义的情感词汇库提取新闻、公司报告等文本中的情绪信息。范小云等（2022）</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9"/>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构建了一种中文金融文本情绪词典，并结合机器学习提出混合式情绪测度方法，发现新闻情绪能够有效预测宏观经济指标和股票市场的变化。许雪晨（2021）</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0"/>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基于金融文本情感分析开发指数预测模型，显著提升了沪深300指数涨跌预测的准确性。近年来，深度学习方法的引入显著改进了情绪分析的准确性。BERT模型因其能够捕捉文本的非线性关系和语境特征，成为金融情绪研究的重要工具。Huang等（2023）</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1"/>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通过美国市场数据验证了BERT在情绪分类和回报预测中的优越性。而在中文环境下，Shi等（2022）</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2"/>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研究了BERT对股吧投资者情绪的分析能力。研究表明，BERT 在分析股吧投资者情绪、预测个股收益方面具有显著优势。基于上述分析，本文提出如下假设：</w:t>
      </w:r>
    </w:p>
    <w:p w14:paraId="30F8B28E">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H1：新闻的文本情绪对股票异常收益率有影响，情感越激励则影响越为显著。</w:t>
      </w:r>
    </w:p>
    <w:p w14:paraId="4FE6BF83">
      <w:pPr>
        <w:outlineLvl w:val="1"/>
        <w:rPr>
          <w:rFonts w:ascii="Times New Roman" w:hAnsi="Times New Roman" w:eastAsia="宋体" w:cs="Times New Roman"/>
          <w:b/>
          <w:bCs/>
          <w:sz w:val="24"/>
          <w:szCs w:val="24"/>
        </w:rPr>
      </w:pPr>
      <w:bookmarkStart w:id="7" w:name="_Toc13823"/>
      <w:r>
        <w:rPr>
          <w:rFonts w:hint="eastAsia" w:ascii="Times New Roman" w:hAnsi="Times New Roman" w:eastAsia="宋体" w:cs="Times New Roman"/>
          <w:b/>
          <w:bCs/>
          <w:sz w:val="24"/>
          <w:szCs w:val="24"/>
        </w:rPr>
        <w:t>（二）虚假财经新闻与股价异常收益</w:t>
      </w:r>
      <w:bookmarkEnd w:id="7"/>
    </w:p>
    <w:p w14:paraId="624DDAD5">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虚假财经新闻和传闻作为信息传播的重要形式，对金融市场的运行具有显著影响。本文中的虚假财经新闻是指，由公司发布的澄清公告所声明为虚假的新闻。相应的，真实财经新闻是指，由公司发布的澄清公告所声明为真的新闻。这些新闻的虚假性和真实性只反映了公司于其的解释，不能排除公司为维护公司声誉而在澄清公告中将真实财经新闻称为虚假财经新闻的可能。在公司发布澄清公告之前，这些尚未确定真伪的新闻通常被称为传闻。过去的研究中也常常以传闻来指代虚假财经新闻、真实财经新闻和未甄别的新闻。传闻影响金融市场的路径与虚假财经新闻相近，通常是通过其在社交媒体、新闻机构上的发布与流传来对投资者产生影响，进而影响股价。不同之处在于，那些始终未被澄清公告澄清的新闻，也即传闻，其虚假性无法得到验证，从而无法按组别划分来评估虚假财经新闻的影响。而虚假财经新闻除了和传闻一致的部分，还存在在澄清公告发布后对股票市场的影响，这个影响通常从澄清公告的澄清效果来进行估计。虚假财经新闻的产生并非无心之举，其中有蓄意扰乱金融市场、造成异常收益的动机。杨英杰（2018）</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3"/>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等通过问卷调查分析了传闻对个人投资者交易决策的影响，发现传闻能够显著导致成交量和股价变动。其中，传闻的可信程度主要影响投资者的买入行为，而投资者对传闻的态度则主要影响卖出行为。这些研究揭示了虚假财经新闻和传闻对投资者行为的直接影响，并为市场反应研究提供了实证依据。基于此分析，本文提出第一个研究假设：</w:t>
      </w:r>
    </w:p>
    <w:p w14:paraId="5FD0F9D7">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H2：虚假财经新闻较之于真实财经新闻对于股票的异常收益的影响更为显著。</w:t>
      </w:r>
    </w:p>
    <w:p w14:paraId="6F0D8C7D">
      <w:pPr>
        <w:outlineLvl w:val="1"/>
        <w:rPr>
          <w:rFonts w:ascii="Times New Roman" w:hAnsi="Times New Roman" w:eastAsia="宋体" w:cs="Times New Roman"/>
          <w:b/>
          <w:bCs/>
          <w:sz w:val="24"/>
          <w:szCs w:val="24"/>
        </w:rPr>
      </w:pPr>
      <w:bookmarkStart w:id="8" w:name="_Toc19491"/>
      <w:r>
        <w:rPr>
          <w:rFonts w:hint="eastAsia" w:ascii="Times New Roman" w:hAnsi="Times New Roman" w:eastAsia="宋体" w:cs="Times New Roman"/>
          <w:b/>
          <w:bCs/>
          <w:sz w:val="24"/>
          <w:szCs w:val="24"/>
        </w:rPr>
        <w:t>（三）投资者影响股价异常收益的作用机制</w:t>
      </w:r>
      <w:bookmarkEnd w:id="8"/>
    </w:p>
    <w:p w14:paraId="75D37A03">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非市场有效性（Market Inefficiency）是指市场未能充分、迅速或正确地反映所有可用信息，导致资产价格偏离其真实价值的现象。这意味着市场并非总是有效的，存在套利机会，投资者可能通过某些策略获得超额收益。投资者在市场中常表现出如下行为特征：过度自信（Overconfidence），投资者可能高估自己对市场的理解，导致价格偏离均衡水平；羊群效应（Herding Behavior），投资者可能跟随市场趋势交易，而不是基于基本面分析，导致价格泡沫或恐慌性抛售；损失厌恶（LossAversion），投资者可能更倾向于避免亏损，而非追求收益，导致非理性持有亏损资产。金融新闻提供了市场信息的指导，其对投资者的影响可按投资者的行为有不同的结果。如果投资者过度自信，可能容易受到金融新闻的诱拐，从而偏离正常的投资策略；如果投资者存在羊群效应，可能对权威机构发布的新闻，或者按照关于某事件新闻的多寡来改变自己的投资决策；如果投资者存在损失厌恶，可能对传播利空信息的新闻的反映更为激烈。张科（2020）</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4"/>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利用社会网络分析技术识别股吧中的意见领袖，并通过文本分析技术判断帖子类型，系统研究了意见领袖情绪的收益可预测性及其对投资者行为的影响。研究显示，投资者对发表正面观点的意见领袖更为关注，但他们对意见领袖的判断准确性较为忽视，并对能准确预测市场下跌的意见领袖表现出排斥。投资者情绪对金融市场的影响是重要且复杂的。情绪的本质是投资者的非理性预期（Shiller，2015）</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5"/>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，并在不断传播与强化中放大其对市场的扰动效应。当这种预期被越来越多的投资者接受、传染并强化时，其对市场的影响会被进一步放大。鲁训法等（2012）</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6"/>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通过ARMAGARCH模型，将“新开交易账户数”作为情绪代理变量，分析了情绪与股市收益率的关系，发现市场情绪在市场上升阶段更为乐观，而在市场下跌阶段转为悲观。刘维奇和刘新新（2014）</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7"/>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对比个人与机构投资者情绪，得出机构投资者情绪能有效帮助预测个人投资者情绪的结论。此外，根据噪声交易者理论，市场中除了理性投资者（即基于基本面分析和信息交易的投资者）之外，还存在大量噪声交易者，他们的交易行为并不基于理性分析，而是受心理偏差、市场情绪或错误信号的驱动，导致市场价格偏离其基本价值。虚假财经新闻常通过夸大公司的盈利能力、捏造企业破产传闻等方式，引发剧烈的市场情绪波动。这些都可能导致噪声交易者的跟风行为，从而增加市场波动性。如，德隆等（1990）</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8"/>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提出的DSSW噪音交易者模型揭示，噪音交易者受到非理性情绪驱动，通过噪音交易对资产价格产生作用，而情绪的过度积极或消极可能导致市场价格显著偏离基本面价值。尹海员和南早红（2024）</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19"/>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进一步指出，当期投资者情绪高涨会显著增加下一期股价崩盘风险，且在熊市阶段这种影响尤为明显。焦梦茹（2023）</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0"/>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通过主成分分析构建投资者情绪，研究其对股票超额收益率的影响，发现情绪对低、中超额收益率的影响为负向，而对高超额收益率的影响为正向。基于上文的分析，结合股吧评论数据，本文提出第二个研究假设：</w:t>
      </w:r>
    </w:p>
    <w:p w14:paraId="4CFCC6CA">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H3：投资者的情绪越激励，对股票的异常收益率影响越显著；股吧中的投资者越活跃，对股票的异常收益率影响也越显著。</w:t>
      </w:r>
    </w:p>
    <w:p w14:paraId="18631D69">
      <w:pPr>
        <w:ind w:firstLine="420" w:firstLineChars="200"/>
        <w:rPr>
          <w:rFonts w:ascii="Times New Roman" w:hAnsi="Times New Roman" w:eastAsia="宋体" w:cs="Times New Roman"/>
          <w:sz w:val="21"/>
          <w:szCs w:val="21"/>
        </w:rPr>
      </w:pPr>
    </w:p>
    <w:p w14:paraId="2D6BF972">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224D5C03">
      <w:pPr>
        <w:jc w:val="center"/>
        <w:outlineLvl w:val="0"/>
        <w:rPr>
          <w:rFonts w:ascii="Times New Roman" w:hAnsi="Times New Roman" w:eastAsia="宋体" w:cs="Times New Roman"/>
          <w:b/>
          <w:bCs/>
          <w:sz w:val="24"/>
          <w:szCs w:val="24"/>
        </w:rPr>
      </w:pPr>
      <w:bookmarkStart w:id="9" w:name="_Toc20620"/>
      <w:r>
        <w:rPr>
          <w:rFonts w:hint="eastAsia" w:ascii="Times New Roman" w:hAnsi="Times New Roman" w:eastAsia="宋体" w:cs="Times New Roman"/>
          <w:b/>
          <w:bCs/>
          <w:sz w:val="24"/>
          <w:szCs w:val="24"/>
        </w:rPr>
        <w:t>二、研究设计</w:t>
      </w:r>
      <w:bookmarkEnd w:id="9"/>
    </w:p>
    <w:p w14:paraId="0CCFB184">
      <w:pPr>
        <w:outlineLvl w:val="1"/>
        <w:rPr>
          <w:rFonts w:ascii="Times New Roman" w:hAnsi="Times New Roman" w:eastAsia="宋体" w:cs="Times New Roman"/>
          <w:b/>
          <w:bCs/>
          <w:sz w:val="24"/>
          <w:szCs w:val="24"/>
        </w:rPr>
      </w:pPr>
      <w:bookmarkStart w:id="10" w:name="_Toc6082"/>
      <w:r>
        <w:rPr>
          <w:rFonts w:hint="eastAsia" w:ascii="Times New Roman" w:hAnsi="Times New Roman" w:eastAsia="宋体" w:cs="Times New Roman"/>
          <w:b/>
          <w:bCs/>
          <w:sz w:val="24"/>
          <w:szCs w:val="24"/>
        </w:rPr>
        <w:t>（一）数据来源</w:t>
      </w:r>
      <w:bookmarkEnd w:id="10"/>
    </w:p>
    <w:p w14:paraId="16D9C0F0">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使用2015-2022年中国金融新闻的横截面数据来评估虚假财经新闻对金融市场的影响。异常收益率的相关数据来自CSMAR数据；新闻的虚假性以及新闻文本内容来自巨潮资讯网；控制变量的相关数据来自瑞思数据库；股吧评论数据来自于东方财富股吧。将本文的样本区间确定为2015-2022年，基于两个原因：（1）受到社交媒体的发展与历史影响，早于2015年的数据缺失较为严重，尤其是东方财富股吧中缺乏相关的股吧评论（2）2015-2022年我国经济形势总体上行，不可观测因素相对稳定，易于在实证模型中加以控制，且2022年以后自媒体发达程度更高，不易估计出虚假财经新闻的影响的干净的处理效应。此外，本文还控制了影响公司股票的各类市场指标。</w:t>
      </w:r>
    </w:p>
    <w:p w14:paraId="3ACB8291">
      <w:pPr>
        <w:outlineLvl w:val="1"/>
        <w:rPr>
          <w:rFonts w:ascii="Times New Roman" w:hAnsi="Times New Roman" w:eastAsia="宋体" w:cs="Times New Roman"/>
          <w:b/>
          <w:bCs/>
          <w:sz w:val="24"/>
          <w:szCs w:val="24"/>
        </w:rPr>
      </w:pPr>
      <w:bookmarkStart w:id="11" w:name="_Toc2560"/>
      <w:r>
        <w:rPr>
          <w:rFonts w:hint="eastAsia" w:ascii="Times New Roman" w:hAnsi="Times New Roman" w:eastAsia="宋体" w:cs="Times New Roman"/>
          <w:b/>
          <w:bCs/>
          <w:sz w:val="24"/>
          <w:szCs w:val="24"/>
        </w:rPr>
        <w:t>（二）变量解释</w:t>
      </w:r>
      <w:bookmarkEnd w:id="11"/>
    </w:p>
    <w:p w14:paraId="2C5CC42D">
      <w:pPr>
        <w:rPr>
          <w:rFonts w:hint="eastAsia" w:ascii="宋体" w:hAnsi="宋体" w:eastAsia="宋体" w:cs="Times New Roman"/>
          <w:b/>
          <w:bCs/>
          <w:sz w:val="21"/>
          <w:szCs w:val="21"/>
        </w:rPr>
      </w:pPr>
      <w:r>
        <w:rPr>
          <w:rFonts w:hint="eastAsia" w:ascii="宋体" w:hAnsi="宋体" w:eastAsia="宋体" w:cs="Times New Roman"/>
          <w:b/>
          <w:bCs/>
          <w:sz w:val="21"/>
          <w:szCs w:val="21"/>
        </w:rPr>
        <w:t>1.被解释变量</w:t>
      </w:r>
    </w:p>
    <w:p w14:paraId="7DDEC178">
      <w:pPr>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被解释变量包含异常收益率（AR）与累计异常收益率（CAR）。为刻画个股的正常收益率，本 研究采用市场模型（Market</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Model），其数学表达如下：</w:t>
      </w:r>
    </w:p>
    <w:p w14:paraId="65B1119A">
      <w:pPr>
        <w:ind w:firstLine="420" w:firstLineChars="200"/>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sSubSup>
                <m:sSubSupPr>
                  <m:ctrlPr>
                    <w:rPr>
                      <w:rFonts w:ascii="Cambria Math" w:hAnsi="Cambria Math" w:eastAsia="宋体" w:cs="Times New Roman"/>
                      <w:i/>
                      <w:sz w:val="21"/>
                      <w:szCs w:val="21"/>
                    </w:rPr>
                  </m:ctrlPr>
                </m:sSubSup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t</m:t>
                  </m:r>
                  <m:ctrlPr>
                    <w:rPr>
                      <w:rFonts w:ascii="Cambria Math" w:hAnsi="Cambria Math" w:eastAsia="宋体" w:cs="Times New Roman"/>
                      <w:i/>
                      <w:sz w:val="21"/>
                      <w:szCs w:val="21"/>
                    </w:rPr>
                  </m:ctrlPr>
                </m:sub>
                <m:sup>
                  <m:r>
                    <m:rPr/>
                    <w:rPr>
                      <w:rFonts w:ascii="Cambria Math" w:hAnsi="Cambria Math" w:eastAsia="宋体" w:cs="Times New Roman"/>
                      <w:sz w:val="21"/>
                      <w:szCs w:val="21"/>
                    </w:rPr>
                    <m:t>s</m:t>
                  </m:r>
                  <m:ctrlPr>
                    <w:rPr>
                      <w:rFonts w:ascii="Cambria Math" w:hAnsi="Cambria Math" w:eastAsia="宋体" w:cs="Times New Roman"/>
                      <w:i/>
                      <w:sz w:val="21"/>
                      <w:szCs w:val="21"/>
                    </w:rPr>
                  </m:ctrlPr>
                </m:sup>
              </m:sSubSup>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sSubSup>
                <m:sSubSupPr>
                  <m:ctrlPr>
                    <w:rPr>
                      <w:rFonts w:ascii="Cambria Math" w:hAnsi="Cambria Math" w:eastAsia="宋体" w:cs="Times New Roman"/>
                      <w:i/>
                      <w:sz w:val="21"/>
                      <w:szCs w:val="21"/>
                    </w:rPr>
                  </m:ctrlPr>
                </m:sSubSup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t</m:t>
                  </m:r>
                  <m:ctrlPr>
                    <w:rPr>
                      <w:rFonts w:ascii="Cambria Math" w:hAnsi="Cambria Math" w:eastAsia="宋体" w:cs="Times New Roman"/>
                      <w:i/>
                      <w:sz w:val="21"/>
                      <w:szCs w:val="21"/>
                    </w:rPr>
                  </m:ctrlPr>
                </m:sub>
                <m:sup>
                  <m:r>
                    <m:rPr/>
                    <w:rPr>
                      <w:rFonts w:ascii="Cambria Math" w:hAnsi="Cambria Math" w:eastAsia="宋体" w:cs="Times New Roman"/>
                      <w:sz w:val="21"/>
                      <w:szCs w:val="21"/>
                    </w:rPr>
                    <m:t>m</m:t>
                  </m:r>
                  <m:ctrlPr>
                    <w:rPr>
                      <w:rFonts w:ascii="Cambria Math" w:hAnsi="Cambria Math" w:eastAsia="宋体" w:cs="Times New Roman"/>
                      <w:i/>
                      <w:sz w:val="21"/>
                      <w:szCs w:val="21"/>
                    </w:rPr>
                  </m:ctrlPr>
                </m:sup>
              </m:sSubSup>
              <m:r>
                <m:rPr/>
                <w:rPr>
                  <w:rFonts w:ascii="Cambria Math" w:hAnsi="Cambria Math" w:eastAsia="宋体" w:cs="Times New Roman"/>
                  <w:sz w:val="21"/>
                  <w:szCs w:val="21"/>
                </w:rPr>
                <m:t>+</m:t>
              </m:r>
              <m:sSubSup>
                <m:sSubSupPr>
                  <m:ctrlPr>
                    <w:rPr>
                      <w:rFonts w:ascii="Cambria Math" w:hAnsi="Cambria Math" w:eastAsia="宋体" w:cs="Times New Roman"/>
                      <w:i/>
                      <w:sz w:val="21"/>
                      <w:szCs w:val="21"/>
                    </w:rPr>
                  </m:ctrlPr>
                </m:sSubSup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t</m:t>
                  </m:r>
                  <m:ctrlPr>
                    <w:rPr>
                      <w:rFonts w:ascii="Cambria Math" w:hAnsi="Cambria Math" w:eastAsia="宋体" w:cs="Times New Roman"/>
                      <w:i/>
                      <w:sz w:val="21"/>
                      <w:szCs w:val="21"/>
                    </w:rPr>
                  </m:ctrlPr>
                </m:sub>
                <m:sup>
                  <m:r>
                    <m:rPr/>
                    <w:rPr>
                      <w:rFonts w:ascii="Cambria Math" w:hAnsi="Cambria Math" w:eastAsia="宋体" w:cs="Times New Roman"/>
                      <w:sz w:val="21"/>
                      <w:szCs w:val="21"/>
                    </w:rPr>
                    <m:t>s</m:t>
                  </m:r>
                  <m:ctrlPr>
                    <w:rPr>
                      <w:rFonts w:ascii="Cambria Math" w:hAnsi="Cambria Math" w:eastAsia="宋体" w:cs="Times New Roman"/>
                      <w:i/>
                      <w:sz w:val="21"/>
                      <w:szCs w:val="21"/>
                    </w:rPr>
                  </m:ctrlPr>
                </m:sup>
              </m:sSubSup>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1</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54FD2845">
      <w:pPr>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其中</w:t>
      </w:r>
      <w:r>
        <w:rPr>
          <w:rFonts w:hint="eastAsia" w:ascii="Times New Roman" w:hAnsi="Times New Roman" w:eastAsia="宋体" w:cs="Times New Roman"/>
          <w:sz w:val="21"/>
          <w:szCs w:val="21"/>
        </w:rPr>
        <w:t>，</w:t>
      </w:r>
      <m:oMath>
        <m:sSubSup>
          <m:sSubSupPr>
            <m:ctrlPr>
              <w:rPr>
                <w:rFonts w:ascii="Cambria Math" w:hAnsi="Cambria Math" w:eastAsia="宋体" w:cs="Times New Roman"/>
                <w:i/>
                <w:sz w:val="21"/>
                <w:szCs w:val="21"/>
              </w:rPr>
            </m:ctrlPr>
          </m:sSubSup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t</m:t>
            </m:r>
            <m:ctrlPr>
              <w:rPr>
                <w:rFonts w:ascii="Cambria Math" w:hAnsi="Cambria Math" w:eastAsia="宋体" w:cs="Times New Roman"/>
                <w:i/>
                <w:sz w:val="21"/>
                <w:szCs w:val="21"/>
              </w:rPr>
            </m:ctrlPr>
          </m:sub>
          <m:sup>
            <m:r>
              <m:rPr/>
              <w:rPr>
                <w:rFonts w:ascii="Cambria Math" w:hAnsi="Cambria Math" w:eastAsia="宋体" w:cs="Times New Roman"/>
                <w:sz w:val="21"/>
                <w:szCs w:val="21"/>
              </w:rPr>
              <m:t>s</m:t>
            </m:r>
            <m:ctrlPr>
              <w:rPr>
                <w:rFonts w:ascii="Cambria Math" w:hAnsi="Cambria Math" w:eastAsia="宋体" w:cs="Times New Roman"/>
                <w:i/>
                <w:sz w:val="21"/>
                <w:szCs w:val="21"/>
              </w:rPr>
            </m:ctrlPr>
          </m:sup>
        </m:sSubSup>
      </m:oMath>
      <w:r>
        <w:rPr>
          <w:rFonts w:ascii="Times New Roman" w:hAnsi="Times New Roman" w:eastAsia="宋体" w:cs="Times New Roman"/>
          <w:sz w:val="21"/>
          <w:szCs w:val="21"/>
        </w:rPr>
        <w:t>表示股票s在时刻t的实际收益率，</w:t>
      </w:r>
      <m:oMath>
        <m:sSubSup>
          <m:sSubSupPr>
            <m:ctrlPr>
              <w:rPr>
                <w:rFonts w:ascii="Cambria Math" w:hAnsi="Cambria Math" w:eastAsia="宋体" w:cs="Times New Roman"/>
                <w:i/>
                <w:sz w:val="21"/>
                <w:szCs w:val="21"/>
              </w:rPr>
            </m:ctrlPr>
          </m:sSubSup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t</m:t>
            </m:r>
            <m:ctrlPr>
              <w:rPr>
                <w:rFonts w:ascii="Cambria Math" w:hAnsi="Cambria Math" w:eastAsia="宋体" w:cs="Times New Roman"/>
                <w:i/>
                <w:sz w:val="21"/>
                <w:szCs w:val="21"/>
              </w:rPr>
            </m:ctrlPr>
          </m:sub>
          <m:sup>
            <m:r>
              <m:rPr/>
              <w:rPr>
                <w:rFonts w:ascii="Cambria Math" w:hAnsi="Cambria Math" w:eastAsia="宋体" w:cs="Times New Roman"/>
                <w:sz w:val="21"/>
                <w:szCs w:val="21"/>
              </w:rPr>
              <m:t>m</m:t>
            </m:r>
            <m:ctrlPr>
              <w:rPr>
                <w:rFonts w:ascii="Cambria Math" w:hAnsi="Cambria Math" w:eastAsia="宋体" w:cs="Times New Roman"/>
                <w:i/>
                <w:sz w:val="21"/>
                <w:szCs w:val="21"/>
              </w:rPr>
            </m:ctrlPr>
          </m:sup>
        </m:sSubSup>
      </m:oMath>
      <w:r>
        <w:rPr>
          <w:rFonts w:ascii="Times New Roman" w:hAnsi="Times New Roman" w:eastAsia="宋体" w:cs="Times New Roman"/>
          <w:sz w:val="21"/>
          <w:szCs w:val="21"/>
        </w:rPr>
        <w:t>代表市场组合的收益率，</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ascii="Times New Roman" w:hAnsi="Times New Roman" w:eastAsia="宋体" w:cs="Times New Roman"/>
          <w:sz w:val="21"/>
          <w:szCs w:val="21"/>
        </w:rPr>
        <w:t>和</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oMath>
      <w:r>
        <w:rPr>
          <w:rFonts w:ascii="Times New Roman" w:hAnsi="Times New Roman" w:eastAsia="宋体" w:cs="Times New Roman"/>
          <w:sz w:val="21"/>
          <w:szCs w:val="21"/>
        </w:rPr>
        <w:t>是个股s在估计期 内的回归系数，ϵs t是随机误差项。为了提高估计的稳健性，我们选取事件发生前的[-238,-11]交易日作为估计期，并利用该区间的数据对市场模型进行回归估计。 基于市场模型，我们可以进一步计算个股在事 件窗口内的异常收益率（Abnormal</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Return</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 xml:space="preserve">,AR）， 其定义如下： </w:t>
      </w:r>
    </w:p>
    <w:p w14:paraId="0EFECB6B">
      <w:pPr>
        <w:ind w:firstLine="420" w:firstLineChars="200"/>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mt</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2</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5FCE6E02">
      <w:pPr>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 xml:space="preserve">而累计异常收益率（Cumulative Abnormal Return, CAR）则表示在某一事件窗口内，个股的异常收益 率的累积效应，计算公式如下： </w:t>
      </w:r>
    </w:p>
    <w:p w14:paraId="0D5F2E07">
      <w:pPr>
        <w:spacing w:line="240" w:lineRule="atLeast"/>
        <w:ind w:firstLine="420" w:firstLineChars="200"/>
        <w:jc w:val="center"/>
        <w:rPr>
          <w:rFonts w:ascii="Times New Roman" w:hAnsi="Times New Roman" w:eastAsia="宋体" w:cs="Times New Roman"/>
          <w:sz w:val="21"/>
          <w:szCs w:val="21"/>
        </w:rPr>
      </w:pPr>
      <m:oMathPara>
        <m:oMath>
          <m:eqArr>
            <m:eqArrPr>
              <m:maxDist m:val="1"/>
              <m:obj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CA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nary>
                <m:naryPr>
                  <m:chr m:val="∑"/>
                  <m:limLoc m:val="undOvr"/>
                  <m:ctrlPr>
                    <w:rPr>
                      <w:rFonts w:ascii="Cambria Math" w:hAnsi="Cambria Math" w:eastAsia="宋体" w:cs="Times New Roman"/>
                      <w:i/>
                      <w:sz w:val="21"/>
                      <w:szCs w:val="21"/>
                    </w:rPr>
                  </m:ctrlPr>
                </m:naryPr>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up>
                  <m:r>
                    <m:rPr/>
                    <w:rPr>
                      <w:rFonts w:ascii="Cambria Math" w:hAnsi="Cambria Math" w:eastAsia="宋体" w:cs="Times New Roman"/>
                      <w:sz w:val="21"/>
                      <w:szCs w:val="21"/>
                    </w:rPr>
                    <m:t>n</m:t>
                  </m:r>
                  <m:ctrlPr>
                    <w:rPr>
                      <w:rFonts w:ascii="Cambria Math" w:hAnsi="Cambria Math" w:eastAsia="宋体" w:cs="Times New Roman"/>
                      <w:i/>
                      <w:sz w:val="21"/>
                      <w:szCs w:val="21"/>
                    </w:rPr>
                  </m:ctrlPr>
                </m:sup>
                <m:e>
                  <m:r>
                    <m:rPr/>
                    <w:rPr>
                      <w:rFonts w:ascii="Cambria Math" w:hAnsi="Cambria Math" w:eastAsia="宋体" w:cs="Times New Roman"/>
                      <w:sz w:val="21"/>
                      <w:szCs w:val="21"/>
                    </w:rPr>
                    <m:t>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nary>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3</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17757A38">
      <w:pPr>
        <w:ind w:firstLine="420" w:firstLineChars="200"/>
        <w:rPr>
          <w:rFonts w:ascii="Times New Roman" w:hAnsi="Times New Roman" w:eastAsia="宋体" w:cs="Times New Roman"/>
          <w:sz w:val="21"/>
          <w:szCs w:val="21"/>
        </w:rPr>
      </w:pPr>
      <w:r>
        <w:rPr>
          <w:rFonts w:ascii="Times New Roman" w:hAnsi="Times New Roman" w:eastAsia="宋体" w:cs="Times New Roman"/>
          <w:sz w:val="21"/>
          <w:szCs w:val="21"/>
        </w:rPr>
        <w:t>其中，n表示事件窗口内的交易日总数。本研究的主要事件窗口设定为[-1,3]。</w:t>
      </w:r>
    </w:p>
    <w:p w14:paraId="10DE6840">
      <w:pP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2.解释变量</w:t>
      </w:r>
    </w:p>
    <w:p w14:paraId="3F5211AD">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本文的解释变量为新闻文本情绪。本文采用三种不同的新闻文本情绪测度方法：RoBERTa、Deepseek 和姜富伟金融情绪词典，对新闻情绪进行测量。</w:t>
      </w:r>
    </w:p>
    <w:p w14:paraId="4A7CFD0D">
      <w:pPr>
        <w:rPr>
          <w:rFonts w:ascii="Times New Roman" w:hAnsi="Times New Roman" w:eastAsia="宋体" w:cs="Times New Roman"/>
          <w:sz w:val="21"/>
          <w:szCs w:val="21"/>
        </w:rPr>
      </w:pPr>
      <w:r>
        <w:rPr>
          <w:rFonts w:hint="eastAsia" w:ascii="Times New Roman" w:hAnsi="Times New Roman" w:eastAsia="宋体" w:cs="Times New Roman"/>
          <w:sz w:val="21"/>
          <w:szCs w:val="21"/>
        </w:rPr>
        <w:t>3.控制变量</w:t>
      </w:r>
    </w:p>
    <w:p w14:paraId="3804C872">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本文加入以下控制变量（刘建秋，2024）</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1"/>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:公司规模(Size) 、净资产负债率(ND) 、资产负债率( Lev) 、流动比率(QR) 、产权性质(Soe) 、速动比率(CR)、两职合一(Dual) 、年报总资产周转率(AT)、独立董事比例(Indep) 、年报营业利润率(OPM)、审计师是否来自四大( Big4) 。除此之外，为控制遗漏变量的影响，还加入了时间、行业和公司层面的个体固定效应。同时，为获得更稳健的结果，本文所有回归均采用公司层面聚类的稳健标准误。主要变量及其测度见表1。</w:t>
      </w:r>
    </w:p>
    <w:tbl>
      <w:tblPr>
        <w:tblStyle w:val="22"/>
        <w:tblpPr w:leftFromText="180" w:rightFromText="180" w:vertAnchor="text" w:horzAnchor="margin" w:tblpXSpec="center" w:tblpY="122"/>
        <w:tblW w:w="8140" w:type="dxa"/>
        <w:jc w:val="center"/>
        <w:tblLayout w:type="fixed"/>
        <w:tblCellMar>
          <w:top w:w="0" w:type="dxa"/>
          <w:left w:w="0" w:type="dxa"/>
          <w:bottom w:w="0" w:type="dxa"/>
          <w:right w:w="0" w:type="dxa"/>
        </w:tblCellMar>
      </w:tblPr>
      <w:tblGrid>
        <w:gridCol w:w="1177"/>
        <w:gridCol w:w="986"/>
        <w:gridCol w:w="5977"/>
      </w:tblGrid>
      <w:tr w14:paraId="40EC3A83">
        <w:tblPrEx>
          <w:tblCellMar>
            <w:top w:w="0" w:type="dxa"/>
            <w:left w:w="0" w:type="dxa"/>
            <w:bottom w:w="0" w:type="dxa"/>
            <w:right w:w="0" w:type="dxa"/>
          </w:tblCellMar>
        </w:tblPrEx>
        <w:trPr>
          <w:cantSplit/>
          <w:trHeight w:val="549" w:hRule="exact"/>
          <w:jc w:val="center"/>
        </w:trPr>
        <w:tc>
          <w:tcPr>
            <w:tcW w:w="2163" w:type="dxa"/>
            <w:gridSpan w:val="2"/>
            <w:tcBorders>
              <w:bottom w:val="single" w:color="000000" w:sz="8" w:space="0"/>
            </w:tcBorders>
          </w:tcPr>
          <w:p w14:paraId="2A8A8665">
            <w:pPr>
              <w:pStyle w:val="53"/>
              <w:spacing w:before="0" w:line="240" w:lineRule="auto"/>
              <w:rPr>
                <w:sz w:val="16"/>
              </w:rPr>
            </w:pPr>
          </w:p>
        </w:tc>
        <w:tc>
          <w:tcPr>
            <w:tcW w:w="5977" w:type="dxa"/>
            <w:tcBorders>
              <w:bottom w:val="single" w:color="000000" w:sz="8" w:space="0"/>
            </w:tcBorders>
          </w:tcPr>
          <w:p w14:paraId="1F52A763">
            <w:pPr>
              <w:pStyle w:val="53"/>
              <w:spacing w:before="0" w:line="240" w:lineRule="auto"/>
              <w:ind w:left="1129"/>
              <w:rPr>
                <w:rFonts w:ascii="宋体" w:eastAsia="宋体"/>
                <w:sz w:val="21"/>
              </w:rPr>
            </w:pPr>
            <w:r>
              <w:rPr>
                <w:rFonts w:hint="eastAsia" w:eastAsia="宋体"/>
                <w:b/>
                <w:spacing w:val="-10"/>
                <w:sz w:val="21"/>
              </w:rPr>
              <w:t>表</w:t>
            </w:r>
            <w:r>
              <w:rPr>
                <w:b/>
                <w:spacing w:val="-10"/>
                <w:sz w:val="21"/>
              </w:rPr>
              <w:t xml:space="preserve"> 1</w:t>
            </w:r>
            <w:r>
              <w:rPr>
                <w:rFonts w:hint="eastAsia" w:eastAsiaTheme="minorEastAsia"/>
                <w:b/>
                <w:sz w:val="21"/>
              </w:rPr>
              <w:t xml:space="preserve"> </w:t>
            </w:r>
            <w:r>
              <w:rPr>
                <w:rFonts w:ascii="宋体" w:eastAsia="宋体"/>
                <w:spacing w:val="-2"/>
                <w:sz w:val="21"/>
              </w:rPr>
              <w:t>变量的定义</w:t>
            </w:r>
          </w:p>
        </w:tc>
      </w:tr>
      <w:tr w14:paraId="21C8BAEB">
        <w:tblPrEx>
          <w:tblCellMar>
            <w:top w:w="0" w:type="dxa"/>
            <w:left w:w="0" w:type="dxa"/>
            <w:bottom w:w="0" w:type="dxa"/>
            <w:right w:w="0" w:type="dxa"/>
          </w:tblCellMar>
        </w:tblPrEx>
        <w:trPr>
          <w:cantSplit/>
          <w:trHeight w:val="549" w:hRule="exact"/>
          <w:jc w:val="center"/>
        </w:trPr>
        <w:tc>
          <w:tcPr>
            <w:tcW w:w="1177" w:type="dxa"/>
            <w:tcBorders>
              <w:top w:val="single" w:color="000000" w:sz="8" w:space="0"/>
              <w:bottom w:val="single" w:color="000000" w:sz="6" w:space="0"/>
            </w:tcBorders>
          </w:tcPr>
          <w:p w14:paraId="418D7A3F">
            <w:pPr>
              <w:pStyle w:val="53"/>
              <w:spacing w:before="56" w:line="240" w:lineRule="auto"/>
              <w:ind w:left="119"/>
              <w:rPr>
                <w:rFonts w:ascii="宋体" w:eastAsia="宋体"/>
                <w:sz w:val="21"/>
              </w:rPr>
            </w:pPr>
            <w:r>
              <w:rPr>
                <w:rFonts w:ascii="宋体" w:eastAsia="宋体"/>
                <w:spacing w:val="-3"/>
                <w:sz w:val="21"/>
              </w:rPr>
              <w:t>变量类别</w:t>
            </w:r>
          </w:p>
        </w:tc>
        <w:tc>
          <w:tcPr>
            <w:tcW w:w="986" w:type="dxa"/>
            <w:tcBorders>
              <w:top w:val="single" w:color="000000" w:sz="8" w:space="0"/>
              <w:bottom w:val="single" w:color="000000" w:sz="6" w:space="0"/>
            </w:tcBorders>
          </w:tcPr>
          <w:p w14:paraId="6B97A7BD">
            <w:pPr>
              <w:pStyle w:val="53"/>
              <w:spacing w:before="56" w:line="240" w:lineRule="auto"/>
              <w:ind w:left="119"/>
              <w:rPr>
                <w:rFonts w:ascii="宋体" w:eastAsia="宋体"/>
                <w:sz w:val="21"/>
              </w:rPr>
            </w:pPr>
            <w:r>
              <w:rPr>
                <w:rFonts w:ascii="宋体" w:eastAsia="宋体"/>
                <w:spacing w:val="-3"/>
                <w:sz w:val="21"/>
              </w:rPr>
              <w:t>变量符号</w:t>
            </w:r>
          </w:p>
        </w:tc>
        <w:tc>
          <w:tcPr>
            <w:tcW w:w="5977" w:type="dxa"/>
            <w:tcBorders>
              <w:top w:val="single" w:color="000000" w:sz="8" w:space="0"/>
              <w:bottom w:val="single" w:color="000000" w:sz="6" w:space="0"/>
            </w:tcBorders>
          </w:tcPr>
          <w:p w14:paraId="340AEA3B">
            <w:pPr>
              <w:pStyle w:val="53"/>
              <w:spacing w:before="56" w:line="240" w:lineRule="auto"/>
              <w:ind w:left="119"/>
              <w:rPr>
                <w:rFonts w:ascii="宋体" w:eastAsia="宋体"/>
                <w:sz w:val="21"/>
              </w:rPr>
            </w:pPr>
            <w:r>
              <w:rPr>
                <w:rFonts w:ascii="宋体" w:eastAsia="宋体"/>
                <w:spacing w:val="-4"/>
                <w:sz w:val="21"/>
              </w:rPr>
              <w:t>变量说明</w:t>
            </w:r>
          </w:p>
        </w:tc>
      </w:tr>
      <w:tr w14:paraId="3525A47C">
        <w:tblPrEx>
          <w:tblCellMar>
            <w:top w:w="0" w:type="dxa"/>
            <w:left w:w="0" w:type="dxa"/>
            <w:bottom w:w="0" w:type="dxa"/>
            <w:right w:w="0" w:type="dxa"/>
          </w:tblCellMar>
        </w:tblPrEx>
        <w:trPr>
          <w:cantSplit/>
          <w:trHeight w:val="549" w:hRule="exact"/>
          <w:jc w:val="center"/>
        </w:trPr>
        <w:tc>
          <w:tcPr>
            <w:tcW w:w="1177" w:type="dxa"/>
            <w:tcBorders>
              <w:top w:val="single" w:color="000000" w:sz="6" w:space="0"/>
              <w:bottom w:val="single" w:color="000000" w:sz="6" w:space="0"/>
            </w:tcBorders>
          </w:tcPr>
          <w:p w14:paraId="2CB788E9">
            <w:pPr>
              <w:pStyle w:val="53"/>
              <w:spacing w:before="55" w:line="240" w:lineRule="auto"/>
              <w:ind w:left="119"/>
              <w:rPr>
                <w:rFonts w:ascii="宋体" w:eastAsia="宋体"/>
                <w:sz w:val="21"/>
              </w:rPr>
            </w:pPr>
            <w:r>
              <w:rPr>
                <w:rFonts w:ascii="宋体" w:eastAsia="宋体"/>
                <w:spacing w:val="-2"/>
                <w:sz w:val="21"/>
              </w:rPr>
              <w:t>被解释变量</w:t>
            </w:r>
          </w:p>
        </w:tc>
        <w:tc>
          <w:tcPr>
            <w:tcW w:w="986" w:type="dxa"/>
            <w:tcBorders>
              <w:top w:val="single" w:color="000000" w:sz="6" w:space="0"/>
              <w:bottom w:val="single" w:color="000000" w:sz="6" w:space="0"/>
            </w:tcBorders>
          </w:tcPr>
          <w:p w14:paraId="180C2DAF">
            <w:pPr>
              <w:pStyle w:val="53"/>
              <w:spacing w:before="69" w:line="240" w:lineRule="auto"/>
              <w:ind w:left="119"/>
              <w:rPr>
                <w:i/>
                <w:sz w:val="21"/>
              </w:rPr>
            </w:pPr>
            <w:r>
              <w:rPr>
                <w:i/>
                <w:spacing w:val="-5"/>
                <w:sz w:val="21"/>
              </w:rPr>
              <w:t>CAR</w:t>
            </w:r>
          </w:p>
        </w:tc>
        <w:tc>
          <w:tcPr>
            <w:tcW w:w="5977" w:type="dxa"/>
            <w:tcBorders>
              <w:top w:val="single" w:color="000000" w:sz="6" w:space="0"/>
              <w:bottom w:val="single" w:color="000000" w:sz="6" w:space="0"/>
            </w:tcBorders>
          </w:tcPr>
          <w:p w14:paraId="264160A7">
            <w:pPr>
              <w:pStyle w:val="53"/>
              <w:spacing w:before="55" w:line="240" w:lineRule="auto"/>
              <w:ind w:left="119"/>
              <w:rPr>
                <w:rFonts w:ascii="宋体" w:eastAsia="宋体"/>
                <w:sz w:val="21"/>
              </w:rPr>
            </w:pPr>
            <w:r>
              <w:rPr>
                <w:rFonts w:ascii="宋体" w:eastAsia="宋体"/>
                <w:spacing w:val="-2"/>
                <w:sz w:val="21"/>
              </w:rPr>
              <w:t>累计异常收益率</w:t>
            </w:r>
          </w:p>
        </w:tc>
      </w:tr>
      <w:tr w14:paraId="06E03137">
        <w:tblPrEx>
          <w:tblCellMar>
            <w:top w:w="0" w:type="dxa"/>
            <w:left w:w="0" w:type="dxa"/>
            <w:bottom w:w="0" w:type="dxa"/>
            <w:right w:w="0" w:type="dxa"/>
          </w:tblCellMar>
        </w:tblPrEx>
        <w:trPr>
          <w:cantSplit/>
          <w:trHeight w:val="549" w:hRule="exact"/>
          <w:jc w:val="center"/>
        </w:trPr>
        <w:tc>
          <w:tcPr>
            <w:tcW w:w="1177" w:type="dxa"/>
            <w:tcBorders>
              <w:top w:val="single" w:color="000000" w:sz="6" w:space="0"/>
              <w:bottom w:val="single" w:color="000000" w:sz="6" w:space="0"/>
            </w:tcBorders>
          </w:tcPr>
          <w:p w14:paraId="0023FD45">
            <w:pPr>
              <w:pStyle w:val="53"/>
              <w:spacing w:before="55" w:line="240" w:lineRule="auto"/>
              <w:ind w:left="119"/>
              <w:rPr>
                <w:rFonts w:ascii="宋体" w:eastAsia="宋体"/>
                <w:sz w:val="21"/>
              </w:rPr>
            </w:pPr>
            <w:r>
              <w:rPr>
                <w:rFonts w:ascii="宋体" w:eastAsia="宋体"/>
                <w:spacing w:val="-3"/>
                <w:sz w:val="21"/>
              </w:rPr>
              <w:t>解释变量</w:t>
            </w:r>
          </w:p>
        </w:tc>
        <w:tc>
          <w:tcPr>
            <w:tcW w:w="986" w:type="dxa"/>
            <w:tcBorders>
              <w:top w:val="single" w:color="000000" w:sz="6" w:space="0"/>
              <w:bottom w:val="single" w:color="000000" w:sz="6" w:space="0"/>
            </w:tcBorders>
          </w:tcPr>
          <w:p w14:paraId="7FB7F9D5">
            <w:pPr>
              <w:pStyle w:val="53"/>
              <w:spacing w:before="69" w:line="240" w:lineRule="auto"/>
              <w:ind w:left="119"/>
              <w:rPr>
                <w:i/>
                <w:sz w:val="21"/>
              </w:rPr>
            </w:pPr>
            <w:r>
              <w:rPr>
                <w:i/>
                <w:spacing w:val="-2"/>
                <w:sz w:val="21"/>
              </w:rPr>
              <w:t>sentiment</w:t>
            </w:r>
          </w:p>
        </w:tc>
        <w:tc>
          <w:tcPr>
            <w:tcW w:w="5977" w:type="dxa"/>
            <w:tcBorders>
              <w:top w:val="single" w:color="000000" w:sz="6" w:space="0"/>
              <w:bottom w:val="single" w:color="000000" w:sz="6" w:space="0"/>
            </w:tcBorders>
          </w:tcPr>
          <w:p w14:paraId="4FF8624E">
            <w:pPr>
              <w:pStyle w:val="53"/>
              <w:spacing w:before="55" w:line="240" w:lineRule="auto"/>
              <w:ind w:left="119"/>
              <w:rPr>
                <w:rFonts w:ascii="宋体" w:eastAsia="宋体"/>
                <w:sz w:val="21"/>
              </w:rPr>
            </w:pPr>
            <w:r>
              <w:rPr>
                <w:rFonts w:ascii="宋体" w:eastAsia="宋体"/>
                <w:spacing w:val="-2"/>
                <w:sz w:val="21"/>
              </w:rPr>
              <w:t>新闻情绪分数</w:t>
            </w:r>
          </w:p>
        </w:tc>
      </w:tr>
      <w:tr w14:paraId="415254A4">
        <w:tblPrEx>
          <w:tblCellMar>
            <w:top w:w="0" w:type="dxa"/>
            <w:left w:w="0" w:type="dxa"/>
            <w:bottom w:w="0" w:type="dxa"/>
            <w:right w:w="0" w:type="dxa"/>
          </w:tblCellMar>
        </w:tblPrEx>
        <w:trPr>
          <w:cantSplit/>
          <w:trHeight w:val="549" w:hRule="exact"/>
          <w:jc w:val="center"/>
        </w:trPr>
        <w:tc>
          <w:tcPr>
            <w:tcW w:w="1177" w:type="dxa"/>
            <w:tcBorders>
              <w:top w:val="single" w:color="000000" w:sz="6" w:space="0"/>
            </w:tcBorders>
            <w:vAlign w:val="bottom"/>
          </w:tcPr>
          <w:p w14:paraId="61CCCD84">
            <w:pPr>
              <w:pStyle w:val="53"/>
              <w:spacing w:before="55" w:line="240" w:lineRule="auto"/>
              <w:ind w:left="119"/>
              <w:rPr>
                <w:rFonts w:ascii="宋体" w:eastAsia="宋体"/>
                <w:sz w:val="21"/>
              </w:rPr>
            </w:pPr>
            <w:r>
              <w:rPr>
                <w:rFonts w:ascii="宋体" w:eastAsia="宋体"/>
                <w:spacing w:val="-3"/>
                <w:sz w:val="21"/>
              </w:rPr>
              <w:t>控制变量</w:t>
            </w:r>
          </w:p>
        </w:tc>
        <w:tc>
          <w:tcPr>
            <w:tcW w:w="986" w:type="dxa"/>
            <w:tcBorders>
              <w:top w:val="single" w:color="000000" w:sz="6" w:space="0"/>
            </w:tcBorders>
            <w:vAlign w:val="bottom"/>
          </w:tcPr>
          <w:p w14:paraId="08F5262F">
            <w:pPr>
              <w:pStyle w:val="53"/>
              <w:spacing w:before="69" w:line="240" w:lineRule="auto"/>
              <w:ind w:left="119"/>
              <w:rPr>
                <w:i/>
                <w:sz w:val="21"/>
              </w:rPr>
            </w:pPr>
            <w:r>
              <w:rPr>
                <w:i/>
                <w:spacing w:val="-4"/>
                <w:sz w:val="21"/>
              </w:rPr>
              <w:t>Size</w:t>
            </w:r>
          </w:p>
        </w:tc>
        <w:tc>
          <w:tcPr>
            <w:tcW w:w="5977" w:type="dxa"/>
            <w:tcBorders>
              <w:top w:val="single" w:color="000000" w:sz="6" w:space="0"/>
            </w:tcBorders>
            <w:vAlign w:val="bottom"/>
          </w:tcPr>
          <w:p w14:paraId="3FC69BC3">
            <w:pPr>
              <w:pStyle w:val="53"/>
              <w:spacing w:before="55" w:line="240" w:lineRule="auto"/>
              <w:ind w:left="119"/>
              <w:rPr>
                <w:rFonts w:ascii="宋体" w:eastAsia="宋体"/>
                <w:sz w:val="21"/>
              </w:rPr>
            </w:pPr>
            <w:r>
              <w:rPr>
                <w:rFonts w:ascii="宋体" w:eastAsia="宋体"/>
                <w:spacing w:val="-2"/>
                <w:sz w:val="21"/>
              </w:rPr>
              <w:t>总资产的自然对数</w:t>
            </w:r>
          </w:p>
        </w:tc>
      </w:tr>
      <w:tr w14:paraId="7550AD8B">
        <w:tblPrEx>
          <w:tblCellMar>
            <w:top w:w="0" w:type="dxa"/>
            <w:left w:w="0" w:type="dxa"/>
            <w:bottom w:w="0" w:type="dxa"/>
            <w:right w:w="0" w:type="dxa"/>
          </w:tblCellMar>
        </w:tblPrEx>
        <w:trPr>
          <w:cantSplit/>
          <w:trHeight w:val="494" w:hRule="exact"/>
          <w:jc w:val="center"/>
        </w:trPr>
        <w:tc>
          <w:tcPr>
            <w:tcW w:w="1177" w:type="dxa"/>
            <w:vAlign w:val="bottom"/>
          </w:tcPr>
          <w:p w14:paraId="0E85F864">
            <w:pPr>
              <w:pStyle w:val="53"/>
              <w:spacing w:before="0" w:line="240" w:lineRule="auto"/>
              <w:rPr>
                <w:sz w:val="20"/>
              </w:rPr>
            </w:pPr>
          </w:p>
        </w:tc>
        <w:tc>
          <w:tcPr>
            <w:tcW w:w="986" w:type="dxa"/>
            <w:vAlign w:val="bottom"/>
          </w:tcPr>
          <w:p w14:paraId="4496BB84">
            <w:pPr>
              <w:pStyle w:val="53"/>
              <w:spacing w:before="20" w:line="240" w:lineRule="auto"/>
              <w:ind w:left="119"/>
              <w:rPr>
                <w:i/>
                <w:sz w:val="21"/>
              </w:rPr>
            </w:pPr>
            <w:r>
              <w:rPr>
                <w:i/>
                <w:spacing w:val="-5"/>
                <w:sz w:val="21"/>
              </w:rPr>
              <w:t>QR</w:t>
            </w:r>
          </w:p>
        </w:tc>
        <w:tc>
          <w:tcPr>
            <w:tcW w:w="5977" w:type="dxa"/>
            <w:vAlign w:val="bottom"/>
          </w:tcPr>
          <w:p w14:paraId="65A490B7">
            <w:pPr>
              <w:pStyle w:val="53"/>
              <w:spacing w:before="6" w:line="240" w:lineRule="auto"/>
              <w:ind w:left="119"/>
              <w:rPr>
                <w:rFonts w:ascii="宋体" w:eastAsia="宋体"/>
                <w:sz w:val="21"/>
              </w:rPr>
            </w:pPr>
            <w:r>
              <w:rPr>
                <w:rFonts w:ascii="宋体" w:eastAsia="宋体"/>
                <w:spacing w:val="-3"/>
                <w:sz w:val="21"/>
              </w:rPr>
              <w:t>流动比率</w:t>
            </w:r>
          </w:p>
        </w:tc>
      </w:tr>
      <w:tr w14:paraId="7D9ED207">
        <w:tblPrEx>
          <w:tblCellMar>
            <w:top w:w="0" w:type="dxa"/>
            <w:left w:w="0" w:type="dxa"/>
            <w:bottom w:w="0" w:type="dxa"/>
            <w:right w:w="0" w:type="dxa"/>
          </w:tblCellMar>
        </w:tblPrEx>
        <w:trPr>
          <w:cantSplit/>
          <w:trHeight w:val="494" w:hRule="exact"/>
          <w:jc w:val="center"/>
        </w:trPr>
        <w:tc>
          <w:tcPr>
            <w:tcW w:w="1177" w:type="dxa"/>
            <w:vAlign w:val="bottom"/>
          </w:tcPr>
          <w:p w14:paraId="331EB15F">
            <w:pPr>
              <w:pStyle w:val="53"/>
              <w:spacing w:before="0" w:line="240" w:lineRule="auto"/>
              <w:rPr>
                <w:sz w:val="20"/>
              </w:rPr>
            </w:pPr>
          </w:p>
        </w:tc>
        <w:tc>
          <w:tcPr>
            <w:tcW w:w="986" w:type="dxa"/>
            <w:vAlign w:val="bottom"/>
          </w:tcPr>
          <w:p w14:paraId="3B87575D">
            <w:pPr>
              <w:pStyle w:val="53"/>
              <w:spacing w:before="20" w:line="240" w:lineRule="auto"/>
              <w:ind w:left="119"/>
              <w:rPr>
                <w:i/>
                <w:sz w:val="21"/>
              </w:rPr>
            </w:pPr>
            <w:r>
              <w:rPr>
                <w:i/>
                <w:spacing w:val="-5"/>
                <w:sz w:val="21"/>
              </w:rPr>
              <w:t>CR</w:t>
            </w:r>
          </w:p>
        </w:tc>
        <w:tc>
          <w:tcPr>
            <w:tcW w:w="5977" w:type="dxa"/>
            <w:vAlign w:val="bottom"/>
          </w:tcPr>
          <w:p w14:paraId="522F5A0F">
            <w:pPr>
              <w:pStyle w:val="53"/>
              <w:spacing w:before="6" w:line="240" w:lineRule="auto"/>
              <w:ind w:left="119"/>
              <w:rPr>
                <w:rFonts w:ascii="宋体" w:eastAsia="宋体"/>
                <w:sz w:val="21"/>
              </w:rPr>
            </w:pPr>
            <w:r>
              <w:rPr>
                <w:rFonts w:ascii="宋体" w:eastAsia="宋体"/>
                <w:spacing w:val="-3"/>
                <w:sz w:val="21"/>
              </w:rPr>
              <w:t>速动比率</w:t>
            </w:r>
          </w:p>
        </w:tc>
      </w:tr>
      <w:tr w14:paraId="658EC352">
        <w:tblPrEx>
          <w:tblCellMar>
            <w:top w:w="0" w:type="dxa"/>
            <w:left w:w="0" w:type="dxa"/>
            <w:bottom w:w="0" w:type="dxa"/>
            <w:right w:w="0" w:type="dxa"/>
          </w:tblCellMar>
        </w:tblPrEx>
        <w:trPr>
          <w:cantSplit/>
          <w:trHeight w:val="494" w:hRule="exact"/>
          <w:jc w:val="center"/>
        </w:trPr>
        <w:tc>
          <w:tcPr>
            <w:tcW w:w="1177" w:type="dxa"/>
            <w:vAlign w:val="bottom"/>
          </w:tcPr>
          <w:p w14:paraId="50EC5BEA">
            <w:pPr>
              <w:pStyle w:val="53"/>
              <w:spacing w:before="0" w:line="240" w:lineRule="auto"/>
              <w:rPr>
                <w:sz w:val="20"/>
              </w:rPr>
            </w:pPr>
          </w:p>
        </w:tc>
        <w:tc>
          <w:tcPr>
            <w:tcW w:w="986" w:type="dxa"/>
            <w:vAlign w:val="bottom"/>
          </w:tcPr>
          <w:p w14:paraId="168F0623">
            <w:pPr>
              <w:pStyle w:val="53"/>
              <w:spacing w:before="20" w:line="240" w:lineRule="auto"/>
              <w:ind w:left="119"/>
              <w:rPr>
                <w:i/>
                <w:sz w:val="21"/>
              </w:rPr>
            </w:pPr>
            <w:r>
              <w:rPr>
                <w:i/>
                <w:spacing w:val="-5"/>
                <w:sz w:val="21"/>
              </w:rPr>
              <w:t>ND</w:t>
            </w:r>
          </w:p>
        </w:tc>
        <w:tc>
          <w:tcPr>
            <w:tcW w:w="5977" w:type="dxa"/>
            <w:vAlign w:val="bottom"/>
          </w:tcPr>
          <w:p w14:paraId="07EB364C">
            <w:pPr>
              <w:pStyle w:val="53"/>
              <w:spacing w:before="6" w:line="240" w:lineRule="auto"/>
              <w:ind w:left="119"/>
              <w:rPr>
                <w:rFonts w:ascii="宋体" w:eastAsia="宋体"/>
                <w:sz w:val="21"/>
              </w:rPr>
            </w:pPr>
            <w:r>
              <w:rPr>
                <w:rFonts w:ascii="宋体" w:eastAsia="宋体"/>
                <w:spacing w:val="-2"/>
                <w:sz w:val="21"/>
              </w:rPr>
              <w:t>净资产负债率</w:t>
            </w:r>
          </w:p>
        </w:tc>
      </w:tr>
      <w:tr w14:paraId="1DD1D7C5">
        <w:tblPrEx>
          <w:tblCellMar>
            <w:top w:w="0" w:type="dxa"/>
            <w:left w:w="0" w:type="dxa"/>
            <w:bottom w:w="0" w:type="dxa"/>
            <w:right w:w="0" w:type="dxa"/>
          </w:tblCellMar>
        </w:tblPrEx>
        <w:trPr>
          <w:cantSplit/>
          <w:trHeight w:val="494" w:hRule="exact"/>
          <w:jc w:val="center"/>
        </w:trPr>
        <w:tc>
          <w:tcPr>
            <w:tcW w:w="1177" w:type="dxa"/>
            <w:vAlign w:val="bottom"/>
          </w:tcPr>
          <w:p w14:paraId="30E80618">
            <w:pPr>
              <w:pStyle w:val="53"/>
              <w:spacing w:before="0" w:line="240" w:lineRule="auto"/>
              <w:rPr>
                <w:sz w:val="20"/>
              </w:rPr>
            </w:pPr>
          </w:p>
        </w:tc>
        <w:tc>
          <w:tcPr>
            <w:tcW w:w="986" w:type="dxa"/>
            <w:vAlign w:val="bottom"/>
          </w:tcPr>
          <w:p w14:paraId="503E905F">
            <w:pPr>
              <w:pStyle w:val="53"/>
              <w:spacing w:before="20" w:line="240" w:lineRule="auto"/>
              <w:ind w:left="119"/>
              <w:rPr>
                <w:i/>
                <w:sz w:val="21"/>
              </w:rPr>
            </w:pPr>
            <w:r>
              <w:rPr>
                <w:i/>
                <w:spacing w:val="-5"/>
                <w:sz w:val="21"/>
              </w:rPr>
              <w:t>AT</w:t>
            </w:r>
          </w:p>
        </w:tc>
        <w:tc>
          <w:tcPr>
            <w:tcW w:w="5977" w:type="dxa"/>
            <w:vAlign w:val="bottom"/>
          </w:tcPr>
          <w:p w14:paraId="0B357B8F">
            <w:pPr>
              <w:pStyle w:val="53"/>
              <w:spacing w:before="6" w:line="240" w:lineRule="auto"/>
              <w:ind w:left="119"/>
              <w:rPr>
                <w:rFonts w:ascii="宋体" w:eastAsia="宋体"/>
                <w:sz w:val="21"/>
              </w:rPr>
            </w:pPr>
            <w:r>
              <w:rPr>
                <w:rFonts w:ascii="宋体" w:eastAsia="宋体"/>
                <w:spacing w:val="-2"/>
                <w:sz w:val="21"/>
              </w:rPr>
              <w:t>年报总资产周转率</w:t>
            </w:r>
          </w:p>
        </w:tc>
      </w:tr>
      <w:tr w14:paraId="692DC4FF">
        <w:tblPrEx>
          <w:tblCellMar>
            <w:top w:w="0" w:type="dxa"/>
            <w:left w:w="0" w:type="dxa"/>
            <w:bottom w:w="0" w:type="dxa"/>
            <w:right w:w="0" w:type="dxa"/>
          </w:tblCellMar>
        </w:tblPrEx>
        <w:trPr>
          <w:cantSplit/>
          <w:trHeight w:val="494" w:hRule="exact"/>
          <w:jc w:val="center"/>
        </w:trPr>
        <w:tc>
          <w:tcPr>
            <w:tcW w:w="1177" w:type="dxa"/>
            <w:vAlign w:val="bottom"/>
          </w:tcPr>
          <w:p w14:paraId="164F6A99">
            <w:pPr>
              <w:pStyle w:val="53"/>
              <w:spacing w:before="0" w:line="240" w:lineRule="auto"/>
              <w:rPr>
                <w:sz w:val="20"/>
              </w:rPr>
            </w:pPr>
          </w:p>
        </w:tc>
        <w:tc>
          <w:tcPr>
            <w:tcW w:w="986" w:type="dxa"/>
            <w:vAlign w:val="bottom"/>
          </w:tcPr>
          <w:p w14:paraId="7FB934BD">
            <w:pPr>
              <w:pStyle w:val="53"/>
              <w:spacing w:before="20" w:line="240" w:lineRule="auto"/>
              <w:ind w:left="119"/>
              <w:rPr>
                <w:i/>
                <w:sz w:val="21"/>
              </w:rPr>
            </w:pPr>
            <w:r>
              <w:rPr>
                <w:i/>
                <w:spacing w:val="-5"/>
                <w:sz w:val="21"/>
              </w:rPr>
              <w:t>ARE</w:t>
            </w:r>
          </w:p>
        </w:tc>
        <w:tc>
          <w:tcPr>
            <w:tcW w:w="5977" w:type="dxa"/>
            <w:vAlign w:val="bottom"/>
          </w:tcPr>
          <w:p w14:paraId="7F292999">
            <w:pPr>
              <w:pStyle w:val="53"/>
              <w:spacing w:before="6" w:line="240" w:lineRule="auto"/>
              <w:ind w:left="119"/>
              <w:rPr>
                <w:rFonts w:ascii="宋体" w:eastAsia="宋体"/>
                <w:sz w:val="21"/>
              </w:rPr>
            </w:pPr>
            <w:r>
              <w:rPr>
                <w:rFonts w:ascii="宋体" w:eastAsia="宋体"/>
                <w:spacing w:val="-2"/>
                <w:sz w:val="21"/>
              </w:rPr>
              <w:t>年报资产报酬率</w:t>
            </w:r>
          </w:p>
        </w:tc>
      </w:tr>
      <w:tr w14:paraId="43DDC81A">
        <w:tblPrEx>
          <w:tblCellMar>
            <w:top w:w="0" w:type="dxa"/>
            <w:left w:w="0" w:type="dxa"/>
            <w:bottom w:w="0" w:type="dxa"/>
            <w:right w:w="0" w:type="dxa"/>
          </w:tblCellMar>
        </w:tblPrEx>
        <w:trPr>
          <w:cantSplit/>
          <w:trHeight w:val="494" w:hRule="exact"/>
          <w:jc w:val="center"/>
        </w:trPr>
        <w:tc>
          <w:tcPr>
            <w:tcW w:w="1177" w:type="dxa"/>
            <w:tcBorders>
              <w:bottom w:val="nil"/>
            </w:tcBorders>
            <w:vAlign w:val="bottom"/>
          </w:tcPr>
          <w:p w14:paraId="1BEB5291">
            <w:pPr>
              <w:pStyle w:val="53"/>
              <w:spacing w:before="0" w:line="240" w:lineRule="auto"/>
              <w:rPr>
                <w:sz w:val="20"/>
              </w:rPr>
            </w:pPr>
          </w:p>
        </w:tc>
        <w:tc>
          <w:tcPr>
            <w:tcW w:w="986" w:type="dxa"/>
            <w:tcBorders>
              <w:bottom w:val="nil"/>
            </w:tcBorders>
            <w:vAlign w:val="bottom"/>
          </w:tcPr>
          <w:p w14:paraId="2DCB35AE">
            <w:pPr>
              <w:pStyle w:val="53"/>
              <w:spacing w:before="20" w:line="240" w:lineRule="auto"/>
              <w:ind w:left="119"/>
              <w:rPr>
                <w:i/>
                <w:sz w:val="21"/>
              </w:rPr>
            </w:pPr>
            <w:r>
              <w:rPr>
                <w:i/>
                <w:spacing w:val="-5"/>
                <w:sz w:val="21"/>
              </w:rPr>
              <w:t>Lev</w:t>
            </w:r>
          </w:p>
        </w:tc>
        <w:tc>
          <w:tcPr>
            <w:tcW w:w="5977" w:type="dxa"/>
            <w:tcBorders>
              <w:bottom w:val="nil"/>
            </w:tcBorders>
            <w:vAlign w:val="bottom"/>
          </w:tcPr>
          <w:p w14:paraId="67D7261B">
            <w:pPr>
              <w:pStyle w:val="53"/>
              <w:spacing w:before="6" w:line="240" w:lineRule="auto"/>
              <w:ind w:left="119"/>
              <w:rPr>
                <w:rFonts w:ascii="宋体" w:eastAsia="宋体"/>
                <w:sz w:val="21"/>
              </w:rPr>
            </w:pPr>
            <w:r>
              <w:rPr>
                <w:rFonts w:ascii="宋体" w:eastAsia="宋体"/>
                <w:sz w:val="21"/>
              </w:rPr>
              <w:t>年末总负债</w:t>
            </w:r>
            <w:r>
              <w:rPr>
                <w:sz w:val="21"/>
              </w:rPr>
              <w:t>/</w:t>
            </w:r>
            <w:r>
              <w:rPr>
                <w:rFonts w:ascii="宋体" w:eastAsia="宋体"/>
                <w:spacing w:val="-2"/>
                <w:sz w:val="21"/>
              </w:rPr>
              <w:t>年末总资产</w:t>
            </w:r>
          </w:p>
        </w:tc>
      </w:tr>
      <w:tr w14:paraId="24E16EF6">
        <w:tblPrEx>
          <w:tblCellMar>
            <w:top w:w="0" w:type="dxa"/>
            <w:left w:w="0" w:type="dxa"/>
            <w:bottom w:w="0" w:type="dxa"/>
            <w:right w:w="0" w:type="dxa"/>
          </w:tblCellMar>
        </w:tblPrEx>
        <w:trPr>
          <w:cantSplit/>
          <w:trHeight w:val="494" w:hRule="exact"/>
          <w:jc w:val="center"/>
        </w:trPr>
        <w:tc>
          <w:tcPr>
            <w:tcW w:w="1177" w:type="dxa"/>
            <w:tcBorders>
              <w:top w:val="nil"/>
              <w:left w:val="nil"/>
              <w:bottom w:val="single" w:color="auto" w:sz="4" w:space="0"/>
              <w:right w:val="nil"/>
            </w:tcBorders>
            <w:vAlign w:val="bottom"/>
          </w:tcPr>
          <w:p w14:paraId="2E5275AC">
            <w:pPr>
              <w:pStyle w:val="53"/>
              <w:spacing w:before="0" w:line="240" w:lineRule="auto"/>
              <w:rPr>
                <w:sz w:val="20"/>
              </w:rPr>
            </w:pPr>
          </w:p>
        </w:tc>
        <w:tc>
          <w:tcPr>
            <w:tcW w:w="986" w:type="dxa"/>
            <w:tcBorders>
              <w:top w:val="nil"/>
              <w:left w:val="nil"/>
              <w:bottom w:val="single" w:color="auto" w:sz="4" w:space="0"/>
              <w:right w:val="nil"/>
            </w:tcBorders>
            <w:vAlign w:val="bottom"/>
          </w:tcPr>
          <w:p w14:paraId="2C79145D">
            <w:pPr>
              <w:pStyle w:val="53"/>
              <w:spacing w:line="240" w:lineRule="auto"/>
              <w:ind w:left="119"/>
              <w:rPr>
                <w:i/>
                <w:sz w:val="21"/>
              </w:rPr>
            </w:pPr>
            <w:r>
              <w:rPr>
                <w:i/>
                <w:spacing w:val="-5"/>
                <w:sz w:val="21"/>
              </w:rPr>
              <w:t>OPM</w:t>
            </w:r>
          </w:p>
        </w:tc>
        <w:tc>
          <w:tcPr>
            <w:tcW w:w="5977" w:type="dxa"/>
            <w:tcBorders>
              <w:top w:val="nil"/>
              <w:left w:val="nil"/>
              <w:bottom w:val="single" w:color="auto" w:sz="4" w:space="0"/>
              <w:right w:val="nil"/>
            </w:tcBorders>
            <w:vAlign w:val="bottom"/>
          </w:tcPr>
          <w:p w14:paraId="3C0EF533">
            <w:pPr>
              <w:pStyle w:val="53"/>
              <w:spacing w:before="4" w:line="240" w:lineRule="auto"/>
              <w:ind w:left="119"/>
              <w:rPr>
                <w:rFonts w:ascii="宋体" w:eastAsia="宋体"/>
                <w:sz w:val="21"/>
              </w:rPr>
            </w:pPr>
            <w:r>
              <w:rPr>
                <w:rFonts w:ascii="宋体" w:eastAsia="宋体"/>
                <w:spacing w:val="-2"/>
                <w:sz w:val="21"/>
              </w:rPr>
              <w:t>年报营业利润率</w:t>
            </w:r>
          </w:p>
        </w:tc>
      </w:tr>
      <w:tr w14:paraId="4CCF5D9F">
        <w:tblPrEx>
          <w:tblCellMar>
            <w:top w:w="0" w:type="dxa"/>
            <w:left w:w="0" w:type="dxa"/>
            <w:bottom w:w="0" w:type="dxa"/>
            <w:right w:w="0" w:type="dxa"/>
          </w:tblCellMar>
        </w:tblPrEx>
        <w:trPr>
          <w:cantSplit/>
          <w:trHeight w:val="494" w:hRule="exact"/>
          <w:jc w:val="center"/>
        </w:trPr>
        <w:tc>
          <w:tcPr>
            <w:tcW w:w="8140" w:type="dxa"/>
            <w:gridSpan w:val="3"/>
            <w:tcBorders>
              <w:top w:val="single" w:color="auto" w:sz="4" w:space="0"/>
              <w:bottom w:val="single" w:color="auto" w:sz="4" w:space="0"/>
            </w:tcBorders>
            <w:vAlign w:val="bottom"/>
          </w:tcPr>
          <w:p w14:paraId="776A8724">
            <w:pPr>
              <w:pStyle w:val="53"/>
              <w:spacing w:before="6" w:line="240" w:lineRule="auto"/>
              <w:ind w:left="119"/>
              <w:jc w:val="center"/>
              <w:rPr>
                <w:rFonts w:eastAsia="宋体"/>
                <w:sz w:val="21"/>
              </w:rPr>
            </w:pPr>
            <w:r>
              <w:rPr>
                <w:rFonts w:hint="eastAsia" w:eastAsia="宋体"/>
                <w:sz w:val="21"/>
              </w:rPr>
              <w:t>表1（续）</w:t>
            </w:r>
          </w:p>
        </w:tc>
      </w:tr>
      <w:tr w14:paraId="4D031701">
        <w:tblPrEx>
          <w:tblCellMar>
            <w:top w:w="0" w:type="dxa"/>
            <w:left w:w="0" w:type="dxa"/>
            <w:bottom w:w="0" w:type="dxa"/>
            <w:right w:w="0" w:type="dxa"/>
          </w:tblCellMar>
        </w:tblPrEx>
        <w:trPr>
          <w:cantSplit/>
          <w:trHeight w:val="494" w:hRule="exact"/>
          <w:jc w:val="center"/>
        </w:trPr>
        <w:tc>
          <w:tcPr>
            <w:tcW w:w="1177" w:type="dxa"/>
            <w:tcBorders>
              <w:top w:val="single" w:color="auto" w:sz="4" w:space="0"/>
              <w:bottom w:val="nil"/>
            </w:tcBorders>
            <w:vAlign w:val="bottom"/>
          </w:tcPr>
          <w:p w14:paraId="4A478C2E">
            <w:pPr>
              <w:pStyle w:val="53"/>
              <w:spacing w:before="0" w:line="240" w:lineRule="auto"/>
              <w:rPr>
                <w:sz w:val="20"/>
              </w:rPr>
            </w:pPr>
            <w:r>
              <w:rPr>
                <w:rFonts w:hint="eastAsia" w:ascii="宋体" w:hAnsi="宋体" w:eastAsia="宋体" w:cs="宋体"/>
                <w:sz w:val="20"/>
              </w:rPr>
              <w:t>控制变量</w:t>
            </w:r>
          </w:p>
        </w:tc>
        <w:tc>
          <w:tcPr>
            <w:tcW w:w="986" w:type="dxa"/>
            <w:tcBorders>
              <w:top w:val="single" w:color="auto" w:sz="4" w:space="0"/>
              <w:bottom w:val="nil"/>
            </w:tcBorders>
            <w:vAlign w:val="bottom"/>
          </w:tcPr>
          <w:p w14:paraId="35D99E5F">
            <w:pPr>
              <w:pStyle w:val="53"/>
              <w:spacing w:line="240" w:lineRule="auto"/>
              <w:ind w:left="119"/>
              <w:rPr>
                <w:iCs/>
                <w:spacing w:val="-4"/>
                <w:sz w:val="21"/>
              </w:rPr>
            </w:pPr>
            <w:r>
              <w:rPr>
                <w:rFonts w:hint="eastAsia" w:ascii="宋体" w:hAnsi="宋体" w:eastAsia="宋体" w:cs="宋体"/>
                <w:iCs/>
                <w:spacing w:val="-4"/>
                <w:sz w:val="21"/>
              </w:rPr>
              <w:t>变量符号</w:t>
            </w:r>
          </w:p>
        </w:tc>
        <w:tc>
          <w:tcPr>
            <w:tcW w:w="5977" w:type="dxa"/>
            <w:tcBorders>
              <w:top w:val="single" w:color="auto" w:sz="4" w:space="0"/>
              <w:bottom w:val="nil"/>
            </w:tcBorders>
            <w:vAlign w:val="bottom"/>
          </w:tcPr>
          <w:p w14:paraId="789D7E4C">
            <w:pPr>
              <w:pStyle w:val="53"/>
              <w:spacing w:before="4" w:line="240" w:lineRule="auto"/>
              <w:ind w:left="119"/>
              <w:rPr>
                <w:rFonts w:ascii="宋体" w:eastAsia="宋体"/>
                <w:sz w:val="21"/>
              </w:rPr>
            </w:pPr>
            <w:r>
              <w:rPr>
                <w:rFonts w:hint="eastAsia" w:ascii="宋体" w:eastAsia="宋体"/>
                <w:sz w:val="21"/>
              </w:rPr>
              <w:t>变量解释</w:t>
            </w:r>
          </w:p>
        </w:tc>
      </w:tr>
      <w:tr w14:paraId="6808F7E4">
        <w:tblPrEx>
          <w:tblCellMar>
            <w:top w:w="0" w:type="dxa"/>
            <w:left w:w="0" w:type="dxa"/>
            <w:bottom w:w="0" w:type="dxa"/>
            <w:right w:w="0" w:type="dxa"/>
          </w:tblCellMar>
        </w:tblPrEx>
        <w:trPr>
          <w:cantSplit/>
          <w:trHeight w:val="494" w:hRule="exact"/>
          <w:jc w:val="center"/>
        </w:trPr>
        <w:tc>
          <w:tcPr>
            <w:tcW w:w="1177" w:type="dxa"/>
            <w:tcBorders>
              <w:top w:val="nil"/>
              <w:left w:val="nil"/>
              <w:bottom w:val="nil"/>
              <w:right w:val="nil"/>
            </w:tcBorders>
            <w:shd w:val="clear" w:color="auto" w:fill="auto"/>
            <w:vAlign w:val="bottom"/>
          </w:tcPr>
          <w:p w14:paraId="0A9662B3">
            <w:pPr>
              <w:pStyle w:val="53"/>
              <w:spacing w:before="0" w:line="240" w:lineRule="auto"/>
              <w:rPr>
                <w:sz w:val="20"/>
              </w:rPr>
            </w:pPr>
          </w:p>
        </w:tc>
        <w:tc>
          <w:tcPr>
            <w:tcW w:w="986" w:type="dxa"/>
            <w:tcBorders>
              <w:top w:val="nil"/>
              <w:left w:val="nil"/>
              <w:bottom w:val="nil"/>
              <w:right w:val="nil"/>
            </w:tcBorders>
            <w:shd w:val="clear" w:color="auto" w:fill="auto"/>
            <w:vAlign w:val="bottom"/>
          </w:tcPr>
          <w:p w14:paraId="46551EA1">
            <w:pPr>
              <w:pStyle w:val="53"/>
              <w:spacing w:before="20" w:line="240" w:lineRule="auto"/>
              <w:ind w:left="119"/>
              <w:rPr>
                <w:i/>
                <w:sz w:val="21"/>
              </w:rPr>
            </w:pPr>
            <w:r>
              <w:rPr>
                <w:i/>
                <w:spacing w:val="-5"/>
                <w:sz w:val="21"/>
              </w:rPr>
              <w:t>Soe</w:t>
            </w:r>
          </w:p>
        </w:tc>
        <w:tc>
          <w:tcPr>
            <w:tcW w:w="5977" w:type="dxa"/>
            <w:tcBorders>
              <w:top w:val="nil"/>
              <w:left w:val="nil"/>
              <w:bottom w:val="nil"/>
              <w:right w:val="nil"/>
            </w:tcBorders>
            <w:shd w:val="clear" w:color="auto" w:fill="auto"/>
            <w:vAlign w:val="bottom"/>
          </w:tcPr>
          <w:p w14:paraId="4A84E9C5">
            <w:pPr>
              <w:pStyle w:val="53"/>
              <w:spacing w:before="6" w:line="240" w:lineRule="auto"/>
              <w:ind w:left="119"/>
              <w:rPr>
                <w:sz w:val="21"/>
              </w:rPr>
            </w:pPr>
            <w:r>
              <w:rPr>
                <w:rFonts w:ascii="宋体" w:eastAsia="宋体"/>
                <w:sz w:val="21"/>
              </w:rPr>
              <w:t>国有控股企业取值为</w:t>
            </w:r>
            <w:r>
              <w:rPr>
                <w:sz w:val="21"/>
              </w:rPr>
              <w:t>1</w:t>
            </w:r>
            <w:r>
              <w:rPr>
                <w:rFonts w:ascii="宋体" w:eastAsia="宋体"/>
                <w:sz w:val="21"/>
              </w:rPr>
              <w:t>，其他为</w:t>
            </w:r>
            <w:r>
              <w:rPr>
                <w:spacing w:val="-10"/>
                <w:sz w:val="21"/>
              </w:rPr>
              <w:t>0</w:t>
            </w:r>
          </w:p>
        </w:tc>
      </w:tr>
      <w:tr w14:paraId="5E8A40FB">
        <w:tblPrEx>
          <w:tblCellMar>
            <w:top w:w="0" w:type="dxa"/>
            <w:left w:w="0" w:type="dxa"/>
            <w:bottom w:w="0" w:type="dxa"/>
            <w:right w:w="0" w:type="dxa"/>
          </w:tblCellMar>
        </w:tblPrEx>
        <w:trPr>
          <w:cantSplit/>
          <w:trHeight w:val="494" w:hRule="exact"/>
          <w:jc w:val="center"/>
        </w:trPr>
        <w:tc>
          <w:tcPr>
            <w:tcW w:w="1177" w:type="dxa"/>
            <w:tcBorders>
              <w:top w:val="nil"/>
            </w:tcBorders>
            <w:vAlign w:val="bottom"/>
          </w:tcPr>
          <w:p w14:paraId="3B1AD10D">
            <w:pPr>
              <w:pStyle w:val="53"/>
              <w:spacing w:before="0" w:line="240" w:lineRule="auto"/>
              <w:rPr>
                <w:sz w:val="20"/>
              </w:rPr>
            </w:pPr>
          </w:p>
        </w:tc>
        <w:tc>
          <w:tcPr>
            <w:tcW w:w="986" w:type="dxa"/>
            <w:tcBorders>
              <w:top w:val="nil"/>
            </w:tcBorders>
            <w:vAlign w:val="bottom"/>
          </w:tcPr>
          <w:p w14:paraId="0ED2B6CB">
            <w:pPr>
              <w:pStyle w:val="53"/>
              <w:spacing w:line="240" w:lineRule="auto"/>
              <w:ind w:left="119"/>
              <w:rPr>
                <w:i/>
                <w:sz w:val="21"/>
              </w:rPr>
            </w:pPr>
            <w:r>
              <w:rPr>
                <w:i/>
                <w:spacing w:val="-4"/>
                <w:sz w:val="21"/>
              </w:rPr>
              <w:t>Dual</w:t>
            </w:r>
          </w:p>
        </w:tc>
        <w:tc>
          <w:tcPr>
            <w:tcW w:w="5977" w:type="dxa"/>
            <w:tcBorders>
              <w:top w:val="nil"/>
            </w:tcBorders>
            <w:vAlign w:val="bottom"/>
          </w:tcPr>
          <w:p w14:paraId="44BB3FC5">
            <w:pPr>
              <w:pStyle w:val="53"/>
              <w:spacing w:before="4" w:line="240" w:lineRule="auto"/>
              <w:ind w:left="119"/>
              <w:rPr>
                <w:sz w:val="21"/>
              </w:rPr>
            </w:pPr>
            <w:r>
              <w:rPr>
                <w:rFonts w:ascii="宋体" w:eastAsia="宋体"/>
                <w:sz w:val="21"/>
              </w:rPr>
              <w:t>董事长与总经理是同一个人为</w:t>
            </w:r>
            <w:r>
              <w:rPr>
                <w:sz w:val="21"/>
              </w:rPr>
              <w:t>1</w:t>
            </w:r>
            <w:r>
              <w:rPr>
                <w:rFonts w:ascii="宋体" w:eastAsia="宋体"/>
                <w:sz w:val="21"/>
              </w:rPr>
              <w:t>，否则为</w:t>
            </w:r>
            <w:r>
              <w:rPr>
                <w:spacing w:val="-10"/>
                <w:sz w:val="21"/>
              </w:rPr>
              <w:t>0</w:t>
            </w:r>
          </w:p>
        </w:tc>
      </w:tr>
      <w:tr w14:paraId="33022156">
        <w:tblPrEx>
          <w:tblCellMar>
            <w:top w:w="0" w:type="dxa"/>
            <w:left w:w="0" w:type="dxa"/>
            <w:bottom w:w="0" w:type="dxa"/>
            <w:right w:w="0" w:type="dxa"/>
          </w:tblCellMar>
        </w:tblPrEx>
        <w:trPr>
          <w:cantSplit/>
          <w:trHeight w:val="494" w:hRule="exact"/>
          <w:jc w:val="center"/>
        </w:trPr>
        <w:tc>
          <w:tcPr>
            <w:tcW w:w="1177" w:type="dxa"/>
            <w:vAlign w:val="bottom"/>
          </w:tcPr>
          <w:p w14:paraId="78EBC3E8">
            <w:pPr>
              <w:pStyle w:val="53"/>
              <w:spacing w:before="0" w:line="240" w:lineRule="auto"/>
              <w:rPr>
                <w:sz w:val="20"/>
              </w:rPr>
            </w:pPr>
          </w:p>
        </w:tc>
        <w:tc>
          <w:tcPr>
            <w:tcW w:w="986" w:type="dxa"/>
            <w:vAlign w:val="bottom"/>
          </w:tcPr>
          <w:p w14:paraId="07C79C9C">
            <w:pPr>
              <w:pStyle w:val="53"/>
              <w:spacing w:line="240" w:lineRule="auto"/>
              <w:ind w:left="119"/>
              <w:rPr>
                <w:i/>
                <w:sz w:val="21"/>
              </w:rPr>
            </w:pPr>
            <w:r>
              <w:rPr>
                <w:i/>
                <w:spacing w:val="-2"/>
                <w:sz w:val="21"/>
              </w:rPr>
              <w:t>Indep</w:t>
            </w:r>
          </w:p>
        </w:tc>
        <w:tc>
          <w:tcPr>
            <w:tcW w:w="5977" w:type="dxa"/>
            <w:vAlign w:val="bottom"/>
          </w:tcPr>
          <w:p w14:paraId="0FCFD3EF">
            <w:pPr>
              <w:pStyle w:val="53"/>
              <w:spacing w:before="4" w:line="240" w:lineRule="auto"/>
              <w:ind w:left="119"/>
              <w:rPr>
                <w:rFonts w:ascii="宋体" w:eastAsia="宋体"/>
                <w:sz w:val="21"/>
              </w:rPr>
            </w:pPr>
            <w:r>
              <w:rPr>
                <w:rFonts w:ascii="宋体" w:eastAsia="宋体"/>
                <w:sz w:val="21"/>
              </w:rPr>
              <w:t>公司独立董事人数</w:t>
            </w:r>
            <w:r>
              <w:rPr>
                <w:sz w:val="21"/>
              </w:rPr>
              <w:t>/</w:t>
            </w:r>
            <w:r>
              <w:rPr>
                <w:rFonts w:ascii="宋体" w:eastAsia="宋体"/>
                <w:spacing w:val="-2"/>
                <w:sz w:val="21"/>
              </w:rPr>
              <w:t>董事会总人数</w:t>
            </w:r>
          </w:p>
        </w:tc>
      </w:tr>
      <w:tr w14:paraId="7B15BF7C">
        <w:tblPrEx>
          <w:tblCellMar>
            <w:top w:w="0" w:type="dxa"/>
            <w:left w:w="0" w:type="dxa"/>
            <w:bottom w:w="0" w:type="dxa"/>
            <w:right w:w="0" w:type="dxa"/>
          </w:tblCellMar>
        </w:tblPrEx>
        <w:trPr>
          <w:cantSplit/>
          <w:trHeight w:val="753" w:hRule="exact"/>
          <w:jc w:val="center"/>
        </w:trPr>
        <w:tc>
          <w:tcPr>
            <w:tcW w:w="1177" w:type="dxa"/>
            <w:vAlign w:val="bottom"/>
          </w:tcPr>
          <w:p w14:paraId="73C5ABD8">
            <w:pPr>
              <w:pStyle w:val="53"/>
              <w:spacing w:before="0" w:line="240" w:lineRule="auto"/>
              <w:rPr>
                <w:sz w:val="20"/>
              </w:rPr>
            </w:pPr>
          </w:p>
        </w:tc>
        <w:tc>
          <w:tcPr>
            <w:tcW w:w="986" w:type="dxa"/>
            <w:vAlign w:val="bottom"/>
          </w:tcPr>
          <w:p w14:paraId="015E61E0">
            <w:pPr>
              <w:pStyle w:val="53"/>
              <w:spacing w:line="240" w:lineRule="auto"/>
              <w:ind w:left="119"/>
              <w:rPr>
                <w:i/>
                <w:sz w:val="21"/>
              </w:rPr>
            </w:pPr>
            <w:r>
              <w:rPr>
                <w:i/>
                <w:spacing w:val="-4"/>
                <w:sz w:val="21"/>
              </w:rPr>
              <w:t>Big4</w:t>
            </w:r>
          </w:p>
        </w:tc>
        <w:tc>
          <w:tcPr>
            <w:tcW w:w="5977" w:type="dxa"/>
            <w:vAlign w:val="bottom"/>
          </w:tcPr>
          <w:p w14:paraId="1CDD9123">
            <w:pPr>
              <w:pStyle w:val="53"/>
              <w:spacing w:before="4" w:line="240" w:lineRule="auto"/>
              <w:ind w:left="119"/>
              <w:rPr>
                <w:sz w:val="21"/>
              </w:rPr>
            </w:pPr>
            <w:r>
              <w:rPr>
                <w:rFonts w:ascii="宋体" w:eastAsia="宋体"/>
                <w:sz w:val="21"/>
              </w:rPr>
              <w:t>公司经由四大（普华永道、德勤、毕马威、安永）审计为</w:t>
            </w:r>
            <w:r>
              <w:rPr>
                <w:sz w:val="21"/>
              </w:rPr>
              <w:t>1</w:t>
            </w:r>
            <w:r>
              <w:rPr>
                <w:rFonts w:ascii="宋体" w:eastAsia="宋体"/>
                <w:sz w:val="21"/>
              </w:rPr>
              <w:t>，否则为</w:t>
            </w:r>
            <w:r>
              <w:rPr>
                <w:spacing w:val="-10"/>
                <w:sz w:val="21"/>
              </w:rPr>
              <w:t>0</w:t>
            </w:r>
          </w:p>
        </w:tc>
      </w:tr>
      <w:tr w14:paraId="6F1E4AB2">
        <w:tblPrEx>
          <w:tblCellMar>
            <w:top w:w="0" w:type="dxa"/>
            <w:left w:w="0" w:type="dxa"/>
            <w:bottom w:w="0" w:type="dxa"/>
            <w:right w:w="0" w:type="dxa"/>
          </w:tblCellMar>
        </w:tblPrEx>
        <w:trPr>
          <w:cantSplit/>
          <w:trHeight w:val="494" w:hRule="exact"/>
          <w:jc w:val="center"/>
        </w:trPr>
        <w:tc>
          <w:tcPr>
            <w:tcW w:w="1177" w:type="dxa"/>
            <w:vAlign w:val="bottom"/>
          </w:tcPr>
          <w:p w14:paraId="0C5FE03D">
            <w:pPr>
              <w:pStyle w:val="53"/>
              <w:spacing w:before="0" w:line="240" w:lineRule="auto"/>
              <w:rPr>
                <w:sz w:val="20"/>
              </w:rPr>
            </w:pPr>
          </w:p>
        </w:tc>
        <w:tc>
          <w:tcPr>
            <w:tcW w:w="986" w:type="dxa"/>
            <w:vAlign w:val="bottom"/>
          </w:tcPr>
          <w:p w14:paraId="552A3A7B">
            <w:pPr>
              <w:pStyle w:val="53"/>
              <w:spacing w:line="240" w:lineRule="auto"/>
              <w:ind w:left="119"/>
              <w:rPr>
                <w:i/>
                <w:sz w:val="21"/>
              </w:rPr>
            </w:pPr>
            <w:r>
              <w:rPr>
                <w:i/>
                <w:spacing w:val="-4"/>
                <w:sz w:val="21"/>
              </w:rPr>
              <w:t>Year</w:t>
            </w:r>
          </w:p>
        </w:tc>
        <w:tc>
          <w:tcPr>
            <w:tcW w:w="5977" w:type="dxa"/>
            <w:vAlign w:val="bottom"/>
          </w:tcPr>
          <w:p w14:paraId="501274F9">
            <w:pPr>
              <w:pStyle w:val="53"/>
              <w:spacing w:before="4" w:line="240" w:lineRule="auto"/>
              <w:ind w:left="119"/>
              <w:rPr>
                <w:rFonts w:ascii="宋体" w:eastAsia="宋体"/>
                <w:sz w:val="21"/>
              </w:rPr>
            </w:pPr>
            <w:r>
              <w:rPr>
                <w:rFonts w:ascii="宋体" w:eastAsia="宋体"/>
                <w:spacing w:val="-2"/>
                <w:sz w:val="21"/>
              </w:rPr>
              <w:t>年份固定效应</w:t>
            </w:r>
          </w:p>
        </w:tc>
      </w:tr>
      <w:tr w14:paraId="377A20B0">
        <w:tblPrEx>
          <w:tblCellMar>
            <w:top w:w="0" w:type="dxa"/>
            <w:left w:w="0" w:type="dxa"/>
            <w:bottom w:w="0" w:type="dxa"/>
            <w:right w:w="0" w:type="dxa"/>
          </w:tblCellMar>
        </w:tblPrEx>
        <w:trPr>
          <w:cantSplit/>
          <w:trHeight w:val="494" w:hRule="exact"/>
          <w:jc w:val="center"/>
        </w:trPr>
        <w:tc>
          <w:tcPr>
            <w:tcW w:w="1177" w:type="dxa"/>
            <w:vAlign w:val="bottom"/>
          </w:tcPr>
          <w:p w14:paraId="7824917C">
            <w:pPr>
              <w:pStyle w:val="53"/>
              <w:spacing w:before="0" w:line="240" w:lineRule="auto"/>
              <w:rPr>
                <w:sz w:val="20"/>
              </w:rPr>
            </w:pPr>
          </w:p>
        </w:tc>
        <w:tc>
          <w:tcPr>
            <w:tcW w:w="986" w:type="dxa"/>
            <w:vAlign w:val="bottom"/>
          </w:tcPr>
          <w:p w14:paraId="2DEE47F2">
            <w:pPr>
              <w:pStyle w:val="53"/>
              <w:spacing w:before="20" w:line="240" w:lineRule="auto"/>
              <w:ind w:left="119"/>
              <w:rPr>
                <w:i/>
                <w:sz w:val="21"/>
              </w:rPr>
            </w:pPr>
            <w:r>
              <w:rPr>
                <w:i/>
                <w:spacing w:val="-5"/>
                <w:sz w:val="21"/>
              </w:rPr>
              <w:t>Ind</w:t>
            </w:r>
          </w:p>
        </w:tc>
        <w:tc>
          <w:tcPr>
            <w:tcW w:w="5977" w:type="dxa"/>
            <w:vAlign w:val="bottom"/>
          </w:tcPr>
          <w:p w14:paraId="294AD92B">
            <w:pPr>
              <w:pStyle w:val="53"/>
              <w:spacing w:before="6" w:line="240" w:lineRule="auto"/>
              <w:ind w:left="119"/>
              <w:rPr>
                <w:rFonts w:ascii="宋体" w:eastAsia="宋体"/>
                <w:sz w:val="21"/>
              </w:rPr>
            </w:pPr>
            <w:r>
              <w:rPr>
                <w:rFonts w:ascii="宋体" w:eastAsia="宋体"/>
                <w:spacing w:val="-2"/>
                <w:sz w:val="21"/>
              </w:rPr>
              <w:t>行业固定效应</w:t>
            </w:r>
          </w:p>
        </w:tc>
      </w:tr>
      <w:tr w14:paraId="7BBACF23">
        <w:tblPrEx>
          <w:tblCellMar>
            <w:top w:w="0" w:type="dxa"/>
            <w:left w:w="0" w:type="dxa"/>
            <w:bottom w:w="0" w:type="dxa"/>
            <w:right w:w="0" w:type="dxa"/>
          </w:tblCellMar>
        </w:tblPrEx>
        <w:trPr>
          <w:cantSplit/>
          <w:trHeight w:val="494" w:hRule="exact"/>
          <w:jc w:val="center"/>
        </w:trPr>
        <w:tc>
          <w:tcPr>
            <w:tcW w:w="1177" w:type="dxa"/>
            <w:tcBorders>
              <w:bottom w:val="single" w:color="000000" w:sz="8" w:space="0"/>
            </w:tcBorders>
            <w:vAlign w:val="bottom"/>
          </w:tcPr>
          <w:p w14:paraId="6344C026">
            <w:pPr>
              <w:pStyle w:val="53"/>
              <w:spacing w:before="0" w:line="240" w:lineRule="auto"/>
              <w:rPr>
                <w:sz w:val="20"/>
              </w:rPr>
            </w:pPr>
          </w:p>
        </w:tc>
        <w:tc>
          <w:tcPr>
            <w:tcW w:w="986" w:type="dxa"/>
            <w:tcBorders>
              <w:bottom w:val="single" w:color="000000" w:sz="8" w:space="0"/>
            </w:tcBorders>
            <w:vAlign w:val="bottom"/>
          </w:tcPr>
          <w:p w14:paraId="5F8C6531">
            <w:pPr>
              <w:pStyle w:val="53"/>
              <w:spacing w:before="20" w:line="240" w:lineRule="auto"/>
              <w:ind w:left="119"/>
              <w:rPr>
                <w:i/>
                <w:sz w:val="21"/>
              </w:rPr>
            </w:pPr>
            <w:r>
              <w:rPr>
                <w:i/>
                <w:spacing w:val="-4"/>
                <w:sz w:val="21"/>
              </w:rPr>
              <w:t>Firm</w:t>
            </w:r>
          </w:p>
        </w:tc>
        <w:tc>
          <w:tcPr>
            <w:tcW w:w="5977" w:type="dxa"/>
            <w:tcBorders>
              <w:bottom w:val="single" w:color="000000" w:sz="8" w:space="0"/>
            </w:tcBorders>
            <w:vAlign w:val="bottom"/>
          </w:tcPr>
          <w:p w14:paraId="2812FE84">
            <w:pPr>
              <w:pStyle w:val="53"/>
              <w:spacing w:before="6" w:line="240" w:lineRule="auto"/>
              <w:ind w:left="119"/>
              <w:rPr>
                <w:rFonts w:ascii="宋体" w:eastAsia="宋体"/>
                <w:sz w:val="21"/>
              </w:rPr>
            </w:pPr>
            <w:r>
              <w:rPr>
                <w:rFonts w:ascii="宋体" w:eastAsia="宋体"/>
                <w:spacing w:val="-2"/>
                <w:sz w:val="21"/>
              </w:rPr>
              <w:t>个体固定效应</w:t>
            </w:r>
          </w:p>
        </w:tc>
      </w:tr>
    </w:tbl>
    <w:p w14:paraId="48A972F7">
      <w:pPr>
        <w:outlineLvl w:val="1"/>
        <w:rPr>
          <w:rFonts w:ascii="Times New Roman" w:hAnsi="Times New Roman" w:eastAsia="宋体" w:cs="Times New Roman"/>
          <w:b/>
          <w:bCs/>
          <w:sz w:val="24"/>
          <w:szCs w:val="24"/>
        </w:rPr>
      </w:pPr>
      <w:bookmarkStart w:id="12" w:name="_Toc19474"/>
      <w:r>
        <w:rPr>
          <w:rFonts w:hint="eastAsia" w:ascii="Times New Roman" w:hAnsi="Times New Roman" w:eastAsia="宋体" w:cs="Times New Roman"/>
          <w:b/>
          <w:bCs/>
          <w:sz w:val="24"/>
          <w:szCs w:val="24"/>
        </w:rPr>
        <w:t>（三）情绪测度</w:t>
      </w:r>
      <w:bookmarkEnd w:id="12"/>
    </w:p>
    <w:p w14:paraId="27AC544F">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（1）RoBERTa。RoBERTa是对BERT 的改进版本，它通过移除BERT 训练中的一些限制来提高性能。roberta-base-finetuned-jd-binary是一个基于Roberta微调的中文情绪测度模型。该模型在中文新闻数据集上进行微调，训练数据使用了5个中文文本分类数据集。JDfull、JDbinary和大众点评数据集包含不同情感倾向的用户评论。凤凰网和中国新闻包含不同主题类别的新闻文章首段。适用于中文新闻情感分析。</w:t>
      </w:r>
    </w:p>
    <w:p w14:paraId="192B27BA">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（2）Deepseek。DeepSeek 是近年来推出的一款大规模中文预训练语言模型，类似于GPT 系列或LLaMA，但专门针对中文文本优化。对于金融情感分析而言，DeepSeek 能够通过上下文语境更准确地理解虚假财经新闻的潜在情感信息，尤其是在涉及隐含情感或讽刺性表达的文本中表现较好。</w:t>
      </w:r>
    </w:p>
    <w:p w14:paraId="279FD9E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（3）姜富伟中文金融情绪字典在Loughran and MacDonald词典的基础上通过人工筛选和word2vec算法扩充，构建的一个更新更全面的中文金融情感词典。该词典已被多篇论文表明可以，其结果可以衡量中国股市投资者情绪的变化指标，对中国股票回报具有显著的样本内和样本外预测能力。</w:t>
      </w:r>
    </w:p>
    <w:p w14:paraId="3A77F3E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对于Deepseek，通过调用api key在本地批处理新闻文本与输入适当的prompt，可实现对新闻文本情绪的测度。对于RoBERTa，通过pipeline输入文本以完成情绪的测度。需要注意的是，这三种方法由于存在token输入长度限制，对于过长的新闻文本，采用按照段落划分的方法分次输入，情绪分数由段落长度加权得来。对于姜富伟金融情绪词典，按照给出的词汇计算得出。上述情绪测度采用的设备为Intel(R) Core(TM) i5-12500H CPU @2.50GHz and 16 GB RAM，python环境为3.9.1。</w:t>
      </w:r>
    </w:p>
    <w:p w14:paraId="26D57FA0">
      <w:pPr>
        <w:outlineLvl w:val="1"/>
        <w:rPr>
          <w:rFonts w:ascii="Times New Roman" w:hAnsi="Times New Roman" w:eastAsia="宋体" w:cs="Times New Roman"/>
          <w:b/>
          <w:bCs/>
          <w:sz w:val="24"/>
          <w:szCs w:val="24"/>
        </w:rPr>
      </w:pPr>
      <w:bookmarkStart w:id="13" w:name="_Toc10793"/>
      <w:r>
        <w:rPr>
          <w:rFonts w:hint="eastAsia" w:ascii="Times New Roman" w:hAnsi="Times New Roman" w:eastAsia="宋体" w:cs="Times New Roman"/>
          <w:b/>
          <w:bCs/>
          <w:sz w:val="24"/>
          <w:szCs w:val="24"/>
        </w:rPr>
        <w:t>（四）模型设计</w:t>
      </w:r>
      <w:bookmarkEnd w:id="13"/>
    </w:p>
    <w:p w14:paraId="678DDD43">
      <w:pP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1.基于事件研究法的异常收益率测度</w:t>
      </w:r>
    </w:p>
    <w:p w14:paraId="486E3FC3">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事件研究法（Event Study Method）是一种广泛应用于经济学与金融学领域的实证研究方法，通常用于检验特定经济或金融事件对股票市场的影响。该方法的基本思想是在事件发生前后，考察资产收益率的异常变动情况，以此衡量事件的市场影响。标准的事件研究法包括以下关键步骤：事件定义、事件窗口设定、正常收益模型的选择、异常收益的估计，以及异常收益的统计显著性检验。</w:t>
      </w:r>
    </w:p>
    <w:p w14:paraId="4890EF4F">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在本研究中，我们关注虚假财经新闻的发布对公司股票价格的影响。由于新闻的发布时间并不总是交易日，可能发生在节假日或非交易时段，因此新闻发布日与市场实际反应的交易日可能存在时间错配（timing mismatch）。这一错配可能导致市场对信息的反应发生延迟，从而影响事件窗口内的收益率估计。因此，我们需评估新闻发布日与交易日不一致是否会引起估计偏误。</w:t>
      </w:r>
    </w:p>
    <w:p w14:paraId="7B3990DF">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在评估新闻发布时间与交易日不一致性的影响时，选取较短的窗口[-1,1]，即围绕新闻发布日前后各一天的交易日，以更精确地衡量新闻发布时间偏差对市场反应的影响。</w:t>
      </w:r>
    </w:p>
    <w:p w14:paraId="6A77BFC8">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为检验新闻发布日与交易日不一致性是否影响事件窗口内的累计异常收益率，我们构造如下虚拟变量：</w:t>
      </w:r>
    </w:p>
    <w:p w14:paraId="0F0556C4">
      <w:pPr>
        <w:spacing w:line="240" w:lineRule="atLeast"/>
        <w:jc w:val="center"/>
        <w:rPr>
          <w:rFonts w:ascii="Times New Roman" w:hAnsi="Times New Roman" w:eastAsia="宋体" w:cs="Times New Roman"/>
          <w:sz w:val="21"/>
          <w:szCs w:val="21"/>
        </w:rPr>
      </w:pPr>
      <m:oMathPara>
        <m:oMath>
          <m:r>
            <m:rPr/>
            <w:rPr>
              <w:rFonts w:ascii="Cambria Math" w:hAnsi="Cambria Math" w:eastAsia="宋体" w:cs="Times New Roman"/>
              <w:sz w:val="21"/>
              <w:szCs w:val="21"/>
            </w:rPr>
            <m:t>mismatcℎ=</m:t>
          </m:r>
          <m:d>
            <m:dPr>
              <m:begChr m:val="{"/>
              <m:endChr m:val=""/>
              <m:ctrlPr>
                <w:rPr>
                  <w:rFonts w:ascii="Cambria Math" w:hAnsi="Cambria Math" w:eastAsia="宋体" w:cs="Times New Roman"/>
                  <w:i/>
                  <w:sz w:val="21"/>
                  <w:szCs w:val="21"/>
                </w:rPr>
              </m:ctrlPr>
            </m:dPr>
            <m:e>
              <m:eqArr>
                <m:eqArrPr>
                  <m:ctrlPr>
                    <w:rPr>
                      <w:rFonts w:ascii="Cambria Math" w:hAnsi="Cambria Math" w:eastAsia="宋体" w:cs="Times New Roman"/>
                      <w:i/>
                      <w:sz w:val="21"/>
                      <w:szCs w:val="21"/>
                    </w:rPr>
                  </m:ctrlPr>
                </m:eqArrPr>
                <m:e>
                  <m:r>
                    <m:rPr/>
                    <w:rPr>
                      <w:rFonts w:ascii="Cambria Math" w:hAnsi="Cambria Math" w:eastAsia="宋体" w:cs="Times New Roman"/>
                      <w:sz w:val="21"/>
                      <w:szCs w:val="21"/>
                    </w:rPr>
                    <m:t>0,</m:t>
                  </m:r>
                  <m:r>
                    <m:rPr/>
                    <w:rPr>
                      <w:rFonts w:hint="eastAsia" w:ascii="Cambria Math" w:hAnsi="Cambria Math" w:eastAsia="宋体" w:cs="Times New Roman"/>
                      <w:sz w:val="21"/>
                      <w:szCs w:val="21"/>
                    </w:rPr>
                    <m:t>新闻发布日不为交易日</m:t>
                  </m:r>
                  <m:ctrlPr>
                    <w:rPr>
                      <w:rFonts w:ascii="Cambria Math" w:hAnsi="Cambria Math" w:eastAsia="宋体" w:cs="Times New Roman"/>
                      <w:i/>
                      <w:sz w:val="21"/>
                      <w:szCs w:val="21"/>
                    </w:rPr>
                  </m:ctrlPr>
                </m:e>
                <m:e>
                  <m:r>
                    <m:rPr/>
                    <w:rPr>
                      <w:rFonts w:ascii="Cambria Math" w:hAnsi="Cambria Math" w:eastAsia="宋体" w:cs="Times New Roman"/>
                      <w:sz w:val="21"/>
                      <w:szCs w:val="21"/>
                    </w:rPr>
                    <m:t>1,</m:t>
                  </m:r>
                  <m:r>
                    <m:rPr/>
                    <w:rPr>
                      <w:rFonts w:hint="eastAsia" w:ascii="Cambria Math" w:hAnsi="Cambria Math" w:eastAsia="宋体" w:cs="Times New Roman"/>
                      <w:sz w:val="21"/>
                      <w:szCs w:val="21"/>
                    </w:rPr>
                    <m:t>新闻发布日为交易日</m:t>
                  </m:r>
                  <m:ctrlPr>
                    <w:rPr>
                      <w:rFonts w:ascii="Cambria Math" w:hAnsi="Cambria Math" w:eastAsia="宋体" w:cs="Times New Roman"/>
                      <w:i/>
                      <w:sz w:val="21"/>
                      <w:szCs w:val="21"/>
                    </w:rPr>
                  </m:ctrlPr>
                </m:e>
              </m:eqArr>
              <m:ctrlPr>
                <w:rPr>
                  <w:rFonts w:ascii="Cambria Math" w:hAnsi="Cambria Math" w:eastAsia="宋体" w:cs="Times New Roman"/>
                  <w:i/>
                  <w:sz w:val="21"/>
                  <w:szCs w:val="21"/>
                </w:rPr>
              </m:ctrlPr>
            </m:e>
          </m:d>
        </m:oMath>
      </m:oMathPara>
    </w:p>
    <w:p w14:paraId="5ADE6163">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进一步地，我们采用横截面回归模型来分析新闻发布时间与交易日不一致对CAR的影响，回归方程如下：</w:t>
      </w:r>
    </w:p>
    <w:p w14:paraId="204AF80C">
      <w:pPr>
        <w:ind w:firstLine="420" w:firstLineChars="200"/>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CA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mismatcℎ</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p>
                <m:sSupPr>
                  <m:ctrlPr>
                    <w:rPr>
                      <w:rFonts w:ascii="Cambria Math" w:hAnsi="Cambria Math" w:eastAsia="宋体" w:cs="Times New Roman"/>
                      <w:i/>
                      <w:sz w:val="21"/>
                      <w:szCs w:val="21"/>
                    </w:rPr>
                  </m:ctrlPr>
                </m:sSupPr>
                <m:e>
                  <m:r>
                    <m:rPr/>
                    <w:rPr>
                      <w:rFonts w:ascii="Cambria Math" w:hAnsi="Cambria Math" w:eastAsia="宋体" w:cs="Times New Roman"/>
                      <w:sz w:val="21"/>
                      <w:szCs w:val="21"/>
                    </w:rPr>
                    <m:t>λ</m:t>
                  </m:r>
                  <m:ctrlPr>
                    <w:rPr>
                      <w:rFonts w:ascii="Cambria Math" w:hAnsi="Cambria Math" w:eastAsia="宋体" w:cs="Times New Roman"/>
                      <w:i/>
                      <w:sz w:val="21"/>
                      <w:szCs w:val="21"/>
                    </w:rPr>
                  </m:ctrlPr>
                </m:e>
                <m:sup>
                  <m:r>
                    <m:rPr/>
                    <w:rPr>
                      <w:rFonts w:ascii="Cambria Math" w:hAnsi="Cambria Math" w:eastAsia="宋体" w:cs="Times New Roman"/>
                      <w:sz w:val="21"/>
                      <w:szCs w:val="21"/>
                    </w:rPr>
                    <m:t>T</m:t>
                  </m:r>
                  <m:ctrlPr>
                    <w:rPr>
                      <w:rFonts w:ascii="Cambria Math" w:hAnsi="Cambria Math" w:eastAsia="宋体" w:cs="Times New Roman"/>
                      <w:i/>
                      <w:sz w:val="21"/>
                      <w:szCs w:val="21"/>
                    </w:rPr>
                  </m:ctrlPr>
                </m:sup>
              </m:sSup>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X</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4</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771A991B">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其中，</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X</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表示一组控制变量，包括个股的财务特征和市场特征，</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s</m:t>
            </m:r>
            <m:ctrlPr>
              <w:rPr>
                <w:rFonts w:ascii="Cambria Math" w:hAnsi="Cambria Math" w:eastAsia="宋体" w:cs="Times New Roman"/>
                <w:i/>
                <w:sz w:val="21"/>
                <w:szCs w:val="21"/>
              </w:rPr>
            </m:ctrlPr>
          </m:sub>
        </m:sSub>
      </m:oMath>
      <w:r>
        <w:rPr>
          <w:rFonts w:ascii="Times New Roman" w:hAnsi="Times New Roman" w:eastAsia="宋体" w:cs="Times New Roman"/>
          <w:sz w:val="21"/>
          <w:szCs w:val="21"/>
        </w:rPr>
        <w:t>为随机误差项。若回归结果表</w:t>
      </w:r>
      <w:r>
        <w:rPr>
          <w:rFonts w:hint="eastAsia" w:ascii="Times New Roman" w:hAnsi="Times New Roman" w:eastAsia="宋体" w:cs="Times New Roman"/>
          <w:sz w:val="21"/>
          <w:szCs w:val="21"/>
        </w:rPr>
        <w:t>明</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在统计上显著不为零，则说明新闻发布日与交易日的不一致性会对事件窗口内的CAR产生显著影响，从而表明市场对新闻的反应受到发布时间的影响显著。</w:t>
      </w:r>
    </w:p>
    <w:p w14:paraId="52709C37">
      <w:pPr>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2.双重差分模型与估计方法</w:t>
      </w:r>
    </w:p>
    <w:p w14:paraId="4525CA1D">
      <w:pPr>
        <w:ind w:firstLine="420"/>
        <w:rPr>
          <w:rFonts w:ascii="Times New Roman" w:hAnsi="Times New Roman" w:eastAsia="宋体" w:cs="Times New Roman"/>
          <w:b/>
          <w:bCs/>
          <w:sz w:val="21"/>
          <w:szCs w:val="21"/>
        </w:rPr>
      </w:pPr>
      <w:r>
        <w:rPr>
          <w:rFonts w:hint="eastAsia" w:ascii="Times New Roman" w:hAnsi="Times New Roman" w:eastAsia="宋体" w:cs="Times New Roman"/>
          <w:sz w:val="21"/>
          <w:szCs w:val="21"/>
        </w:rPr>
        <w:t>金融新闻及其影响可被看作是对个股的一项外生冲击，对于这种冲击的处理效应，可以使用DID方法进行分析（黄炜，2011）</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2"/>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是真实财经新闻。</w:t>
      </w:r>
    </w:p>
    <w:p w14:paraId="55C79619">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因此，本文将那些经由澄清公告证实的新闻作为控制组，将那些经由澄清公告证伪的新闻作为处理组。由于处理组和控制组之间并非泾渭分明，即控制组完全不受新闻影响，因此双重差分得出的估计系数应为新闻的虚假性所带来的影响，而非虚假财经新闻的冲击本身。</w:t>
      </w:r>
    </w:p>
    <w:p w14:paraId="64D61592">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本文设置两个虚拟变量post与false，其中post = 1表示新闻发布日之后，post = 0表示新闻发布日之前；false = 1表示为虚假财经新闻,false = 0表示为真实财经新闻。根据上述变量设置，可将DID方法的基准回归模型表述为如下形式：</w:t>
      </w:r>
    </w:p>
    <w:p w14:paraId="04066FBD">
      <w:pPr>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post</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false</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post</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false</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4</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Z</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5</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05F95625">
      <w:pPr>
        <w:ind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其中，下标i表示第i个股票，下标t表示第</w:t>
      </w:r>
      <w:r>
        <w:rPr>
          <w:rFonts w:ascii="Times New Roman" w:hAnsi="Times New Roman" w:eastAsia="宋体" w:cs="Times New Roman"/>
          <w:sz w:val="21"/>
          <w:szCs w:val="21"/>
        </w:rPr>
        <w:t>t天，Z代表一系列控制变量，ϵ为随机扰动项，</w:t>
      </w:r>
      <w:r>
        <w:rPr>
          <w:rFonts w:hint="eastAsia" w:ascii="Times New Roman" w:hAnsi="Times New Roman" w:eastAsia="宋体" w:cs="Times New Roman"/>
          <w:sz w:val="21"/>
          <w:szCs w:val="21"/>
        </w:rPr>
        <w:t>被解释变量</w:t>
      </w:r>
      <m:oMath>
        <m:r>
          <m:rPr/>
          <w:rPr>
            <w:rFonts w:ascii="Cambria Math" w:hAnsi="Cambria Math" w:eastAsia="宋体" w:cs="Times New Roman"/>
            <w:sz w:val="21"/>
            <w:szCs w:val="21"/>
          </w:rPr>
          <m:t>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为个股i在t是的异常收益率。DID的各参数如表2所示。由回归方程（5）可得，对于受到虚假财经新闻影响的个股而言，虚假财经新闻发布前后的异常收益率情况分别是</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和</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，因此异常收益率在发布前后的变化幅度为</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，其中既受到新闻发布的影响，也受到新闻是虚假的这一因素的影响。（分段插入）同样的，对于其他受到真实财经新闻影响的个股(post = 0)，新闻发布前后的异常收益率分别是</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和</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，因此受到真实财经新闻影响的个股在真实财经新闻发布前后异常收益率的变化为</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这个差异涉及到新闻发布的影响，但没有涉及到新闻的虚假性的影响。用处理组在新闻发布前后异常收益率的差异减去控制组在新闻发布后异常收益率的差异，可以得到新闻是虚假的这一因素对个股异常收益率的净影响</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，如果新闻的虚假性的确实对个股的异常收益率有影响，那么这个影响应该显著为负。</w:t>
      </w:r>
    </w:p>
    <w:tbl>
      <w:tblPr>
        <w:tblStyle w:val="22"/>
        <w:tblW w:w="0" w:type="auto"/>
        <w:jc w:val="center"/>
        <w:tblLayout w:type="fixed"/>
        <w:tblCellMar>
          <w:top w:w="0" w:type="dxa"/>
          <w:left w:w="0" w:type="dxa"/>
          <w:bottom w:w="0" w:type="dxa"/>
          <w:right w:w="0" w:type="dxa"/>
        </w:tblCellMar>
      </w:tblPr>
      <w:tblGrid>
        <w:gridCol w:w="3251"/>
        <w:gridCol w:w="3478"/>
        <w:gridCol w:w="1721"/>
      </w:tblGrid>
      <w:tr w14:paraId="1286D4BB">
        <w:tblPrEx>
          <w:tblCellMar>
            <w:top w:w="0" w:type="dxa"/>
            <w:left w:w="0" w:type="dxa"/>
            <w:bottom w:w="0" w:type="dxa"/>
            <w:right w:w="0" w:type="dxa"/>
          </w:tblCellMar>
        </w:tblPrEx>
        <w:trPr>
          <w:trHeight w:val="400" w:hRule="atLeast"/>
          <w:jc w:val="center"/>
        </w:trPr>
        <w:tc>
          <w:tcPr>
            <w:tcW w:w="8450" w:type="dxa"/>
            <w:gridSpan w:val="3"/>
            <w:tcBorders>
              <w:bottom w:val="single" w:color="000000" w:sz="6" w:space="0"/>
            </w:tcBorders>
          </w:tcPr>
          <w:p w14:paraId="496A6A8F">
            <w:pPr>
              <w:pStyle w:val="53"/>
              <w:spacing w:before="0" w:line="240" w:lineRule="auto"/>
              <w:jc w:val="center"/>
              <w:rPr>
                <w:rFonts w:eastAsiaTheme="minorEastAsia"/>
                <w:sz w:val="20"/>
              </w:rPr>
            </w:pPr>
            <w:r>
              <w:rPr>
                <w:rFonts w:hint="eastAsia" w:ascii="宋体" w:eastAsia="宋体"/>
                <w:sz w:val="21"/>
              </w:rPr>
              <w:t>表2 双重差分</w:t>
            </w:r>
          </w:p>
        </w:tc>
      </w:tr>
      <w:tr w14:paraId="518A267C">
        <w:tblPrEx>
          <w:tblCellMar>
            <w:top w:w="0" w:type="dxa"/>
            <w:left w:w="0" w:type="dxa"/>
            <w:bottom w:w="0" w:type="dxa"/>
            <w:right w:w="0" w:type="dxa"/>
          </w:tblCellMar>
        </w:tblPrEx>
        <w:trPr>
          <w:jc w:val="center"/>
        </w:trPr>
        <w:tc>
          <w:tcPr>
            <w:tcW w:w="3251" w:type="dxa"/>
            <w:tcBorders>
              <w:top w:val="single" w:color="000000" w:sz="6" w:space="0"/>
              <w:bottom w:val="single" w:color="000000" w:sz="6" w:space="0"/>
            </w:tcBorders>
          </w:tcPr>
          <w:p w14:paraId="599BC92C">
            <w:pPr>
              <w:spacing w:line="240" w:lineRule="auto"/>
              <w:rPr>
                <w:rFonts w:hint="eastAsia"/>
                <w:sz w:val="2"/>
                <w:szCs w:val="2"/>
              </w:rPr>
            </w:pPr>
          </w:p>
        </w:tc>
        <w:tc>
          <w:tcPr>
            <w:tcW w:w="3478" w:type="dxa"/>
            <w:tcBorders>
              <w:top w:val="single" w:color="000000" w:sz="6" w:space="0"/>
              <w:bottom w:val="single" w:color="000000" w:sz="6" w:space="0"/>
            </w:tcBorders>
          </w:tcPr>
          <w:p w14:paraId="48818283">
            <w:pPr>
              <w:pStyle w:val="53"/>
              <w:tabs>
                <w:tab w:val="left" w:pos="1847"/>
              </w:tabs>
              <w:spacing w:before="43" w:line="240" w:lineRule="auto"/>
              <w:ind w:right="55"/>
              <w:jc w:val="right"/>
              <w:rPr>
                <w:sz w:val="21"/>
              </w:rPr>
            </w:pPr>
            <w:r>
              <w:rPr>
                <w:rFonts w:ascii="宋体" w:eastAsia="宋体"/>
                <w:sz w:val="21"/>
              </w:rPr>
              <w:t>发布前</w:t>
            </w:r>
            <w:r>
              <w:rPr>
                <w:sz w:val="21"/>
              </w:rPr>
              <w:t>(</w:t>
            </w:r>
            <w:r>
              <w:rPr>
                <w:rFonts w:ascii="Calibri" w:eastAsia="Calibri"/>
                <w:i/>
                <w:sz w:val="22"/>
              </w:rPr>
              <w:t>post</w:t>
            </w:r>
            <w:r>
              <w:rPr>
                <w:rFonts w:ascii="Calibri" w:eastAsia="Calibri"/>
                <w:i/>
                <w:spacing w:val="18"/>
                <w:sz w:val="22"/>
              </w:rPr>
              <w:t xml:space="preserve"> </w:t>
            </w:r>
            <w:r>
              <w:rPr>
                <w:rFonts w:ascii="Tahoma" w:eastAsia="Tahoma"/>
                <w:sz w:val="22"/>
              </w:rPr>
              <w:t>=</w:t>
            </w:r>
            <w:r>
              <w:rPr>
                <w:rFonts w:ascii="Tahoma" w:eastAsia="Tahoma"/>
                <w:spacing w:val="-1"/>
                <w:sz w:val="22"/>
              </w:rPr>
              <w:t xml:space="preserve"> </w:t>
            </w:r>
            <w:r>
              <w:rPr>
                <w:rFonts w:ascii="Tahoma" w:eastAsia="Tahoma"/>
                <w:spacing w:val="-5"/>
                <w:sz w:val="22"/>
              </w:rPr>
              <w:t>0</w:t>
            </w:r>
            <w:r>
              <w:rPr>
                <w:spacing w:val="-5"/>
                <w:sz w:val="21"/>
              </w:rPr>
              <w:t>)</w:t>
            </w:r>
            <w:r>
              <w:rPr>
                <w:sz w:val="21"/>
              </w:rPr>
              <w:tab/>
            </w:r>
            <w:r>
              <w:rPr>
                <w:rFonts w:ascii="宋体" w:eastAsia="宋体"/>
                <w:sz w:val="21"/>
              </w:rPr>
              <w:t>发布后</w:t>
            </w:r>
            <w:r>
              <w:rPr>
                <w:sz w:val="21"/>
              </w:rPr>
              <w:t>(</w:t>
            </w:r>
            <w:r>
              <w:rPr>
                <w:rFonts w:ascii="Calibri" w:eastAsia="Calibri"/>
                <w:i/>
                <w:sz w:val="22"/>
              </w:rPr>
              <w:t>post</w:t>
            </w:r>
            <w:r>
              <w:rPr>
                <w:rFonts w:ascii="Calibri" w:eastAsia="Calibri"/>
                <w:i/>
                <w:spacing w:val="14"/>
                <w:sz w:val="22"/>
              </w:rPr>
              <w:t xml:space="preserve"> </w:t>
            </w:r>
            <w:r>
              <w:rPr>
                <w:rFonts w:ascii="Tahoma" w:eastAsia="Tahoma"/>
                <w:sz w:val="22"/>
              </w:rPr>
              <w:t>=</w:t>
            </w:r>
            <w:r>
              <w:rPr>
                <w:rFonts w:ascii="Tahoma" w:eastAsia="Tahoma"/>
                <w:spacing w:val="-4"/>
                <w:sz w:val="22"/>
              </w:rPr>
              <w:t xml:space="preserve"> </w:t>
            </w:r>
            <w:r>
              <w:rPr>
                <w:rFonts w:ascii="Tahoma" w:eastAsia="Tahoma"/>
                <w:spacing w:val="-5"/>
                <w:sz w:val="22"/>
              </w:rPr>
              <w:t>1</w:t>
            </w:r>
            <w:r>
              <w:rPr>
                <w:spacing w:val="-5"/>
                <w:sz w:val="21"/>
              </w:rPr>
              <w:t>)</w:t>
            </w:r>
          </w:p>
        </w:tc>
        <w:tc>
          <w:tcPr>
            <w:tcW w:w="1721" w:type="dxa"/>
            <w:tcBorders>
              <w:top w:val="single" w:color="000000" w:sz="6" w:space="0"/>
              <w:bottom w:val="single" w:color="000000" w:sz="6" w:space="0"/>
            </w:tcBorders>
          </w:tcPr>
          <w:p w14:paraId="2B78BA27">
            <w:pPr>
              <w:pStyle w:val="53"/>
              <w:spacing w:before="0" w:line="240" w:lineRule="auto"/>
              <w:rPr>
                <w:rFonts w:eastAsiaTheme="minorEastAsia"/>
                <w:sz w:val="20"/>
              </w:rPr>
            </w:pPr>
            <w:r>
              <w:rPr>
                <w:rFonts w:hint="eastAsia" w:eastAsiaTheme="minorEastAsia"/>
                <w:sz w:val="20"/>
              </w:rPr>
              <w:t xml:space="preserve">  Difference</w:t>
            </w:r>
          </w:p>
        </w:tc>
      </w:tr>
      <w:tr w14:paraId="51472B18">
        <w:tblPrEx>
          <w:tblCellMar>
            <w:top w:w="0" w:type="dxa"/>
            <w:left w:w="0" w:type="dxa"/>
            <w:bottom w:w="0" w:type="dxa"/>
            <w:right w:w="0" w:type="dxa"/>
          </w:tblCellMar>
        </w:tblPrEx>
        <w:trPr>
          <w:trHeight w:val="362" w:hRule="atLeast"/>
          <w:jc w:val="center"/>
        </w:trPr>
        <w:tc>
          <w:tcPr>
            <w:tcW w:w="3251" w:type="dxa"/>
            <w:tcBorders>
              <w:top w:val="single" w:color="000000" w:sz="6" w:space="0"/>
            </w:tcBorders>
          </w:tcPr>
          <w:p w14:paraId="3BF3455A">
            <w:pPr>
              <w:pStyle w:val="53"/>
              <w:spacing w:before="45" w:line="240" w:lineRule="auto"/>
              <w:ind w:left="119"/>
              <w:rPr>
                <w:rFonts w:ascii="宋体" w:eastAsia="宋体"/>
                <w:sz w:val="21"/>
              </w:rPr>
            </w:pPr>
            <w:r>
              <w:rPr>
                <w:rFonts w:ascii="宋体" w:eastAsia="宋体"/>
                <w:sz w:val="21"/>
              </w:rPr>
              <w:t>虚假</w:t>
            </w:r>
            <w:r>
              <w:rPr>
                <w:rFonts w:hint="eastAsia" w:ascii="宋体" w:eastAsia="宋体"/>
                <w:sz w:val="21"/>
              </w:rPr>
              <w:t>财经</w:t>
            </w:r>
            <w:r>
              <w:rPr>
                <w:rFonts w:ascii="宋体" w:eastAsia="宋体"/>
                <w:sz w:val="21"/>
              </w:rPr>
              <w:t>新闻（处理组</w:t>
            </w:r>
            <w:r>
              <w:rPr>
                <w:spacing w:val="15"/>
                <w:sz w:val="21"/>
              </w:rPr>
              <w:t xml:space="preserve">, </w:t>
            </w:r>
            <w:r>
              <w:rPr>
                <w:rFonts w:ascii="Calibri" w:eastAsia="Calibri"/>
                <w:i/>
                <w:sz w:val="22"/>
              </w:rPr>
              <w:t>false</w:t>
            </w:r>
            <w:r>
              <w:rPr>
                <w:rFonts w:ascii="Calibri" w:eastAsia="Calibri"/>
                <w:i/>
                <w:spacing w:val="47"/>
                <w:sz w:val="22"/>
              </w:rPr>
              <w:t xml:space="preserve"> </w:t>
            </w:r>
            <w:r>
              <w:rPr>
                <w:rFonts w:ascii="Tahoma" w:eastAsia="Tahoma"/>
                <w:spacing w:val="13"/>
                <w:sz w:val="22"/>
              </w:rPr>
              <w:t xml:space="preserve">= </w:t>
            </w:r>
            <w:r>
              <w:rPr>
                <w:rFonts w:ascii="Tahoma" w:eastAsia="Tahoma"/>
                <w:spacing w:val="-5"/>
                <w:sz w:val="22"/>
              </w:rPr>
              <w:t>1</w:t>
            </w:r>
            <w:r>
              <w:rPr>
                <w:rFonts w:ascii="宋体" w:eastAsia="宋体"/>
                <w:spacing w:val="-5"/>
                <w:sz w:val="21"/>
              </w:rPr>
              <w:t>）</w:t>
            </w:r>
          </w:p>
        </w:tc>
        <w:tc>
          <w:tcPr>
            <w:tcW w:w="3478" w:type="dxa"/>
            <w:tcBorders>
              <w:top w:val="single" w:color="000000" w:sz="6" w:space="0"/>
            </w:tcBorders>
          </w:tcPr>
          <w:p w14:paraId="7EB87385">
            <w:pPr>
              <w:pStyle w:val="53"/>
              <w:tabs>
                <w:tab w:val="left" w:pos="1368"/>
              </w:tabs>
              <w:spacing w:before="45" w:line="240" w:lineRule="auto"/>
              <w:ind w:right="22"/>
              <w:jc w:val="right"/>
              <w:rPr>
                <w:rFonts w:ascii="Calibri" w:hAnsi="Calibri"/>
                <w:sz w:val="22"/>
              </w:rPr>
            </w:pPr>
            <w:r>
              <w:rPr>
                <w:rFonts w:ascii="Calibri" w:hAnsi="Calibri"/>
                <w:i/>
                <w:w w:val="105"/>
                <w:sz w:val="22"/>
              </w:rPr>
              <w:t>β</w:t>
            </w:r>
            <w:r>
              <w:rPr>
                <w:rFonts w:ascii="Calibri" w:hAnsi="Calibri"/>
                <w:w w:val="105"/>
                <w:sz w:val="22"/>
                <w:vertAlign w:val="subscript"/>
              </w:rPr>
              <w:t>0</w:t>
            </w:r>
            <w:r>
              <w:rPr>
                <w:rFonts w:ascii="Calibri" w:hAnsi="Calibri"/>
                <w:spacing w:val="8"/>
                <w:w w:val="105"/>
                <w:sz w:val="22"/>
              </w:rPr>
              <w:t xml:space="preserve"> </w:t>
            </w:r>
            <w:r>
              <w:rPr>
                <w:rFonts w:ascii="Tahoma" w:hAnsi="Tahoma"/>
                <w:w w:val="105"/>
                <w:sz w:val="22"/>
              </w:rPr>
              <w:t>+</w:t>
            </w:r>
            <w:r>
              <w:rPr>
                <w:rFonts w:ascii="Tahoma" w:hAnsi="Tahoma"/>
                <w:spacing w:val="-22"/>
                <w:w w:val="105"/>
                <w:sz w:val="22"/>
              </w:rPr>
              <w:t xml:space="preserve"> </w:t>
            </w:r>
            <w:r>
              <w:rPr>
                <w:rFonts w:ascii="Calibri" w:hAnsi="Calibri"/>
                <w:i/>
                <w:spacing w:val="-5"/>
                <w:w w:val="105"/>
                <w:sz w:val="22"/>
              </w:rPr>
              <w:t>β</w:t>
            </w:r>
            <w:r>
              <w:rPr>
                <w:rFonts w:ascii="Calibri" w:hAnsi="Calibri"/>
                <w:spacing w:val="-5"/>
                <w:w w:val="105"/>
                <w:sz w:val="22"/>
                <w:vertAlign w:val="subscript"/>
              </w:rPr>
              <w:t>1</w:t>
            </w:r>
            <w:r>
              <w:rPr>
                <w:rFonts w:ascii="Calibri" w:hAnsi="Calibri"/>
                <w:sz w:val="22"/>
              </w:rPr>
              <w:tab/>
            </w:r>
            <w:r>
              <w:rPr>
                <w:rFonts w:ascii="Calibri" w:hAnsi="Calibri"/>
                <w:i/>
                <w:w w:val="105"/>
                <w:sz w:val="22"/>
              </w:rPr>
              <w:t>β</w:t>
            </w:r>
            <w:r>
              <w:rPr>
                <w:rFonts w:ascii="Calibri" w:hAnsi="Calibri"/>
                <w:w w:val="105"/>
                <w:sz w:val="22"/>
                <w:vertAlign w:val="subscript"/>
              </w:rPr>
              <w:t>0</w:t>
            </w:r>
            <w:r>
              <w:rPr>
                <w:rFonts w:ascii="Calibri" w:hAnsi="Calibri"/>
                <w:spacing w:val="8"/>
                <w:w w:val="105"/>
                <w:sz w:val="22"/>
              </w:rPr>
              <w:t xml:space="preserve"> </w:t>
            </w:r>
            <w:r>
              <w:rPr>
                <w:rFonts w:ascii="Tahoma" w:hAnsi="Tahoma"/>
                <w:w w:val="105"/>
                <w:sz w:val="22"/>
              </w:rPr>
              <w:t>+</w:t>
            </w:r>
            <w:r>
              <w:rPr>
                <w:rFonts w:ascii="Tahoma" w:hAnsi="Tahoma"/>
                <w:spacing w:val="-22"/>
                <w:w w:val="105"/>
                <w:sz w:val="22"/>
              </w:rPr>
              <w:t xml:space="preserve"> </w:t>
            </w:r>
            <w:r>
              <w:rPr>
                <w:rFonts w:ascii="Calibri" w:hAnsi="Calibri"/>
                <w:i/>
                <w:w w:val="105"/>
                <w:sz w:val="22"/>
              </w:rPr>
              <w:t>β</w:t>
            </w:r>
            <w:r>
              <w:rPr>
                <w:rFonts w:ascii="Calibri" w:hAnsi="Calibri"/>
                <w:w w:val="105"/>
                <w:sz w:val="22"/>
                <w:vertAlign w:val="subscript"/>
              </w:rPr>
              <w:t>1</w:t>
            </w:r>
            <w:r>
              <w:rPr>
                <w:rFonts w:ascii="Calibri" w:hAnsi="Calibri"/>
                <w:spacing w:val="8"/>
                <w:w w:val="105"/>
                <w:sz w:val="22"/>
              </w:rPr>
              <w:t xml:space="preserve"> </w:t>
            </w:r>
            <w:r>
              <w:rPr>
                <w:rFonts w:ascii="Tahoma" w:hAnsi="Tahoma"/>
                <w:w w:val="105"/>
                <w:sz w:val="22"/>
              </w:rPr>
              <w:t>+</w:t>
            </w:r>
            <w:r>
              <w:rPr>
                <w:rFonts w:ascii="Tahoma" w:hAnsi="Tahoma"/>
                <w:spacing w:val="-22"/>
                <w:w w:val="105"/>
                <w:sz w:val="22"/>
              </w:rPr>
              <w:t xml:space="preserve"> </w:t>
            </w:r>
            <w:r>
              <w:rPr>
                <w:rFonts w:ascii="Calibri" w:hAnsi="Calibri"/>
                <w:i/>
                <w:w w:val="105"/>
                <w:sz w:val="22"/>
              </w:rPr>
              <w:t>β</w:t>
            </w:r>
            <w:r>
              <w:rPr>
                <w:rFonts w:ascii="Calibri" w:hAnsi="Calibri"/>
                <w:w w:val="105"/>
                <w:sz w:val="22"/>
                <w:vertAlign w:val="subscript"/>
              </w:rPr>
              <w:t>2</w:t>
            </w:r>
            <w:r>
              <w:rPr>
                <w:rFonts w:ascii="Calibri" w:hAnsi="Calibri"/>
                <w:spacing w:val="9"/>
                <w:w w:val="105"/>
                <w:sz w:val="22"/>
              </w:rPr>
              <w:t xml:space="preserve"> </w:t>
            </w:r>
            <w:r>
              <w:rPr>
                <w:rFonts w:ascii="Tahoma" w:hAnsi="Tahoma"/>
                <w:w w:val="105"/>
                <w:sz w:val="22"/>
              </w:rPr>
              <w:t>+</w:t>
            </w:r>
            <w:r>
              <w:rPr>
                <w:rFonts w:ascii="Tahoma" w:hAnsi="Tahoma"/>
                <w:spacing w:val="-22"/>
                <w:w w:val="105"/>
                <w:sz w:val="22"/>
              </w:rPr>
              <w:t xml:space="preserve"> </w:t>
            </w:r>
            <w:r>
              <w:rPr>
                <w:rFonts w:ascii="Calibri" w:hAnsi="Calibri"/>
                <w:i/>
                <w:spacing w:val="-5"/>
                <w:w w:val="105"/>
                <w:sz w:val="22"/>
              </w:rPr>
              <w:t>β</w:t>
            </w:r>
            <w:r>
              <w:rPr>
                <w:rFonts w:ascii="Calibri" w:hAnsi="Calibri"/>
                <w:spacing w:val="-5"/>
                <w:w w:val="105"/>
                <w:sz w:val="22"/>
                <w:vertAlign w:val="subscript"/>
              </w:rPr>
              <w:t>3</w:t>
            </w:r>
          </w:p>
        </w:tc>
        <w:tc>
          <w:tcPr>
            <w:tcW w:w="1721" w:type="dxa"/>
            <w:tcBorders>
              <w:top w:val="single" w:color="000000" w:sz="6" w:space="0"/>
            </w:tcBorders>
          </w:tcPr>
          <w:p w14:paraId="0534AFC1">
            <w:pPr>
              <w:pStyle w:val="53"/>
              <w:spacing w:before="45" w:line="240" w:lineRule="auto"/>
              <w:ind w:left="104" w:right="10"/>
              <w:jc w:val="center"/>
              <w:rPr>
                <w:rFonts w:ascii="Calibri" w:hAnsi="Calibri"/>
                <w:sz w:val="22"/>
              </w:rPr>
            </w:pPr>
            <w:r>
              <w:rPr>
                <w:rFonts w:ascii="Tahoma" w:hAnsi="Tahoma"/>
                <w:w w:val="110"/>
                <w:sz w:val="22"/>
              </w:rPr>
              <w:t>∆</w:t>
            </w:r>
            <w:r>
              <w:rPr>
                <w:rFonts w:ascii="Calibri" w:hAnsi="Calibri"/>
                <w:i/>
                <w:w w:val="110"/>
                <w:sz w:val="22"/>
              </w:rPr>
              <w:t>Y</w:t>
            </w:r>
            <w:r>
              <w:rPr>
                <w:rFonts w:ascii="Calibri" w:hAnsi="Calibri"/>
                <w:w w:val="110"/>
                <w:sz w:val="22"/>
                <w:vertAlign w:val="subscript"/>
              </w:rPr>
              <w:t>1</w:t>
            </w:r>
            <w:r>
              <w:rPr>
                <w:rFonts w:ascii="Calibri" w:hAnsi="Calibri"/>
                <w:spacing w:val="21"/>
                <w:w w:val="110"/>
                <w:sz w:val="22"/>
              </w:rPr>
              <w:t xml:space="preserve"> </w:t>
            </w:r>
            <w:r>
              <w:rPr>
                <w:rFonts w:ascii="Tahoma" w:hAnsi="Tahoma"/>
                <w:w w:val="110"/>
                <w:sz w:val="22"/>
              </w:rPr>
              <w:t>=</w:t>
            </w:r>
            <w:r>
              <w:rPr>
                <w:rFonts w:ascii="Tahoma" w:hAnsi="Tahoma"/>
                <w:spacing w:val="-10"/>
                <w:w w:val="110"/>
                <w:sz w:val="22"/>
              </w:rPr>
              <w:t xml:space="preserve"> </w:t>
            </w:r>
            <w:r>
              <w:rPr>
                <w:rFonts w:ascii="Calibri" w:hAnsi="Calibri"/>
                <w:i/>
                <w:w w:val="110"/>
                <w:sz w:val="22"/>
              </w:rPr>
              <w:t>β</w:t>
            </w:r>
            <w:r>
              <w:rPr>
                <w:rFonts w:ascii="Calibri" w:hAnsi="Calibri"/>
                <w:w w:val="110"/>
                <w:sz w:val="22"/>
                <w:vertAlign w:val="subscript"/>
              </w:rPr>
              <w:t>2</w:t>
            </w:r>
            <w:r>
              <w:rPr>
                <w:rFonts w:ascii="Calibri" w:hAnsi="Calibri"/>
                <w:spacing w:val="8"/>
                <w:w w:val="110"/>
                <w:sz w:val="22"/>
              </w:rPr>
              <w:t xml:space="preserve"> </w:t>
            </w:r>
            <w:r>
              <w:rPr>
                <w:rFonts w:ascii="Tahoma" w:hAnsi="Tahoma"/>
                <w:w w:val="110"/>
                <w:sz w:val="22"/>
              </w:rPr>
              <w:t>+</w:t>
            </w:r>
            <w:r>
              <w:rPr>
                <w:rFonts w:ascii="Tahoma" w:hAnsi="Tahoma"/>
                <w:spacing w:val="-24"/>
                <w:w w:val="110"/>
                <w:sz w:val="22"/>
              </w:rPr>
              <w:t xml:space="preserve"> </w:t>
            </w:r>
            <w:r>
              <w:rPr>
                <w:rFonts w:ascii="Calibri" w:hAnsi="Calibri"/>
                <w:i/>
                <w:spacing w:val="-5"/>
                <w:w w:val="110"/>
                <w:sz w:val="22"/>
              </w:rPr>
              <w:t>β</w:t>
            </w:r>
            <w:r>
              <w:rPr>
                <w:rFonts w:ascii="Calibri" w:hAnsi="Calibri"/>
                <w:spacing w:val="-5"/>
                <w:w w:val="110"/>
                <w:sz w:val="22"/>
                <w:vertAlign w:val="subscript"/>
              </w:rPr>
              <w:t>3</w:t>
            </w:r>
          </w:p>
        </w:tc>
      </w:tr>
      <w:tr w14:paraId="7D39998B">
        <w:tblPrEx>
          <w:tblCellMar>
            <w:top w:w="0" w:type="dxa"/>
            <w:left w:w="0" w:type="dxa"/>
            <w:bottom w:w="0" w:type="dxa"/>
            <w:right w:w="0" w:type="dxa"/>
          </w:tblCellMar>
        </w:tblPrEx>
        <w:trPr>
          <w:trHeight w:val="652" w:hRule="atLeast"/>
          <w:jc w:val="center"/>
        </w:trPr>
        <w:tc>
          <w:tcPr>
            <w:tcW w:w="3251" w:type="dxa"/>
            <w:tcBorders>
              <w:bottom w:val="single" w:color="000000" w:sz="8" w:space="0"/>
            </w:tcBorders>
          </w:tcPr>
          <w:p w14:paraId="324D2976">
            <w:pPr>
              <w:pStyle w:val="53"/>
              <w:spacing w:before="0" w:line="240" w:lineRule="auto"/>
              <w:ind w:left="119"/>
              <w:rPr>
                <w:rFonts w:ascii="宋体" w:eastAsia="宋体"/>
                <w:sz w:val="21"/>
              </w:rPr>
            </w:pPr>
            <w:r>
              <w:rPr>
                <w:rFonts w:ascii="宋体" w:eastAsia="宋体"/>
                <w:sz w:val="21"/>
              </w:rPr>
              <w:t>真实</w:t>
            </w:r>
            <w:r>
              <w:rPr>
                <w:rFonts w:hint="eastAsia" w:ascii="宋体" w:eastAsia="宋体"/>
                <w:sz w:val="21"/>
              </w:rPr>
              <w:t>财经</w:t>
            </w:r>
            <w:r>
              <w:rPr>
                <w:rFonts w:ascii="宋体" w:eastAsia="宋体"/>
                <w:sz w:val="21"/>
              </w:rPr>
              <w:t>新闻（控制组</w:t>
            </w:r>
            <w:r>
              <w:rPr>
                <w:spacing w:val="15"/>
                <w:sz w:val="21"/>
              </w:rPr>
              <w:t xml:space="preserve">, </w:t>
            </w:r>
            <w:r>
              <w:rPr>
                <w:rFonts w:ascii="Calibri" w:eastAsia="Calibri"/>
                <w:i/>
                <w:sz w:val="22"/>
              </w:rPr>
              <w:t>false</w:t>
            </w:r>
            <w:r>
              <w:rPr>
                <w:rFonts w:ascii="Calibri" w:eastAsia="Calibri"/>
                <w:i/>
                <w:spacing w:val="47"/>
                <w:sz w:val="22"/>
              </w:rPr>
              <w:t xml:space="preserve"> </w:t>
            </w:r>
            <w:r>
              <w:rPr>
                <w:rFonts w:ascii="Tahoma" w:eastAsia="Tahoma"/>
                <w:spacing w:val="13"/>
                <w:sz w:val="22"/>
              </w:rPr>
              <w:t xml:space="preserve">= </w:t>
            </w:r>
            <w:r>
              <w:rPr>
                <w:rFonts w:ascii="Tahoma" w:eastAsia="Tahoma"/>
                <w:spacing w:val="-5"/>
                <w:sz w:val="22"/>
              </w:rPr>
              <w:t>0</w:t>
            </w:r>
            <w:r>
              <w:rPr>
                <w:rFonts w:ascii="宋体" w:eastAsia="宋体"/>
                <w:spacing w:val="-5"/>
                <w:sz w:val="21"/>
              </w:rPr>
              <w:t>）</w:t>
            </w:r>
          </w:p>
          <w:p w14:paraId="553C635D">
            <w:pPr>
              <w:pStyle w:val="53"/>
              <w:spacing w:before="39" w:line="240" w:lineRule="auto"/>
              <w:ind w:left="119"/>
              <w:rPr>
                <w:sz w:val="21"/>
              </w:rPr>
            </w:pPr>
            <w:r>
              <w:rPr>
                <w:spacing w:val="-5"/>
                <w:sz w:val="21"/>
              </w:rPr>
              <w:t>DID</w:t>
            </w:r>
          </w:p>
        </w:tc>
        <w:tc>
          <w:tcPr>
            <w:tcW w:w="3478" w:type="dxa"/>
            <w:tcBorders>
              <w:bottom w:val="single" w:color="000000" w:sz="8" w:space="0"/>
            </w:tcBorders>
          </w:tcPr>
          <w:p w14:paraId="08BCDC47">
            <w:pPr>
              <w:pStyle w:val="53"/>
              <w:tabs>
                <w:tab w:val="left" w:pos="2299"/>
              </w:tabs>
              <w:spacing w:before="0" w:line="240" w:lineRule="auto"/>
              <w:ind w:left="691"/>
              <w:rPr>
                <w:rFonts w:ascii="Calibri" w:hAnsi="Calibri"/>
                <w:sz w:val="22"/>
              </w:rPr>
            </w:pPr>
            <w:r>
              <w:rPr>
                <w:rFonts w:ascii="Calibri" w:hAnsi="Calibri"/>
                <w:i/>
                <w:spacing w:val="-5"/>
                <w:w w:val="110"/>
                <w:sz w:val="22"/>
              </w:rPr>
              <w:t>β</w:t>
            </w:r>
            <w:r>
              <w:rPr>
                <w:rFonts w:ascii="Calibri" w:hAnsi="Calibri"/>
                <w:spacing w:val="-5"/>
                <w:w w:val="110"/>
                <w:sz w:val="22"/>
                <w:vertAlign w:val="subscript"/>
              </w:rPr>
              <w:t>0</w:t>
            </w:r>
            <w:r>
              <w:rPr>
                <w:rFonts w:ascii="Calibri" w:hAnsi="Calibri"/>
                <w:sz w:val="22"/>
              </w:rPr>
              <w:tab/>
            </w:r>
            <w:r>
              <w:rPr>
                <w:rFonts w:ascii="Calibri" w:hAnsi="Calibri"/>
                <w:i/>
                <w:w w:val="110"/>
                <w:sz w:val="22"/>
              </w:rPr>
              <w:t>β</w:t>
            </w:r>
            <w:r>
              <w:rPr>
                <w:rFonts w:ascii="Calibri" w:hAnsi="Calibri"/>
                <w:w w:val="110"/>
                <w:sz w:val="22"/>
                <w:vertAlign w:val="subscript"/>
              </w:rPr>
              <w:t>0</w:t>
            </w:r>
            <w:r>
              <w:rPr>
                <w:rFonts w:ascii="Calibri" w:hAnsi="Calibri"/>
                <w:spacing w:val="-9"/>
                <w:w w:val="110"/>
                <w:sz w:val="22"/>
              </w:rPr>
              <w:t xml:space="preserve"> </w:t>
            </w:r>
            <w:r>
              <w:rPr>
                <w:rFonts w:ascii="Tahoma" w:hAnsi="Tahoma"/>
                <w:w w:val="110"/>
                <w:sz w:val="22"/>
              </w:rPr>
              <w:t>+</w:t>
            </w:r>
            <w:r>
              <w:rPr>
                <w:rFonts w:ascii="Tahoma" w:hAnsi="Tahoma"/>
                <w:spacing w:val="-28"/>
                <w:w w:val="110"/>
                <w:sz w:val="22"/>
              </w:rPr>
              <w:t xml:space="preserve"> </w:t>
            </w:r>
            <w:r>
              <w:rPr>
                <w:rFonts w:ascii="Calibri" w:hAnsi="Calibri"/>
                <w:i/>
                <w:spacing w:val="-5"/>
                <w:w w:val="110"/>
                <w:sz w:val="22"/>
              </w:rPr>
              <w:t>β</w:t>
            </w:r>
            <w:r>
              <w:rPr>
                <w:rFonts w:ascii="Calibri" w:hAnsi="Calibri"/>
                <w:spacing w:val="-5"/>
                <w:w w:val="110"/>
                <w:sz w:val="22"/>
                <w:vertAlign w:val="subscript"/>
              </w:rPr>
              <w:t>2</w:t>
            </w:r>
          </w:p>
        </w:tc>
        <w:tc>
          <w:tcPr>
            <w:tcW w:w="1721" w:type="dxa"/>
            <w:tcBorders>
              <w:bottom w:val="single" w:color="000000" w:sz="8" w:space="0"/>
            </w:tcBorders>
          </w:tcPr>
          <w:p w14:paraId="505B3C13">
            <w:pPr>
              <w:pStyle w:val="53"/>
              <w:spacing w:before="0" w:line="240" w:lineRule="auto"/>
              <w:ind w:left="464"/>
              <w:rPr>
                <w:rFonts w:ascii="Calibri" w:hAnsi="Calibri"/>
                <w:sz w:val="22"/>
              </w:rPr>
            </w:pPr>
            <w:r>
              <w:rPr>
                <w:rFonts w:ascii="Tahoma" w:hAnsi="Tahoma"/>
                <w:w w:val="110"/>
                <w:sz w:val="22"/>
              </w:rPr>
              <w:t>∆</w:t>
            </w:r>
            <w:r>
              <w:rPr>
                <w:rFonts w:ascii="Calibri" w:hAnsi="Calibri"/>
                <w:i/>
                <w:w w:val="110"/>
                <w:sz w:val="22"/>
              </w:rPr>
              <w:t>Y</w:t>
            </w:r>
            <w:r>
              <w:rPr>
                <w:rFonts w:ascii="Calibri" w:hAnsi="Calibri"/>
                <w:w w:val="110"/>
                <w:sz w:val="22"/>
                <w:vertAlign w:val="subscript"/>
              </w:rPr>
              <w:t>0</w:t>
            </w:r>
            <w:r>
              <w:rPr>
                <w:rFonts w:ascii="Calibri" w:hAnsi="Calibri"/>
                <w:spacing w:val="32"/>
                <w:w w:val="110"/>
                <w:sz w:val="22"/>
              </w:rPr>
              <w:t xml:space="preserve"> </w:t>
            </w:r>
            <w:r>
              <w:rPr>
                <w:rFonts w:ascii="Tahoma" w:hAnsi="Tahoma"/>
                <w:w w:val="110"/>
                <w:sz w:val="22"/>
              </w:rPr>
              <w:t xml:space="preserve">= </w:t>
            </w:r>
            <w:r>
              <w:rPr>
                <w:rFonts w:ascii="Calibri" w:hAnsi="Calibri"/>
                <w:i/>
                <w:spacing w:val="-5"/>
                <w:w w:val="110"/>
                <w:sz w:val="22"/>
              </w:rPr>
              <w:t>β</w:t>
            </w:r>
            <w:r>
              <w:rPr>
                <w:rFonts w:ascii="Calibri" w:hAnsi="Calibri"/>
                <w:spacing w:val="-5"/>
                <w:w w:val="110"/>
                <w:sz w:val="22"/>
                <w:vertAlign w:val="subscript"/>
              </w:rPr>
              <w:t>2</w:t>
            </w:r>
          </w:p>
          <w:p w14:paraId="571C8C27">
            <w:pPr>
              <w:pStyle w:val="53"/>
              <w:spacing w:before="15" w:line="240" w:lineRule="auto"/>
              <w:ind w:left="484"/>
              <w:rPr>
                <w:rFonts w:ascii="Calibri" w:hAnsi="Calibri"/>
                <w:sz w:val="22"/>
              </w:rPr>
            </w:pPr>
            <w:r>
              <w:rPr>
                <w:rFonts w:ascii="Tahoma" w:hAnsi="Tahoma"/>
                <w:w w:val="115"/>
                <w:sz w:val="22"/>
              </w:rPr>
              <w:t>∆</w:t>
            </w:r>
            <w:r>
              <w:rPr>
                <w:rFonts w:ascii="Calibri" w:hAnsi="Calibri"/>
                <w:i/>
                <w:w w:val="115"/>
                <w:sz w:val="22"/>
              </w:rPr>
              <w:t>Y</w:t>
            </w:r>
            <w:r>
              <w:rPr>
                <w:rFonts w:ascii="Calibri" w:hAnsi="Calibri"/>
                <w:i/>
                <w:spacing w:val="58"/>
                <w:w w:val="115"/>
                <w:sz w:val="22"/>
              </w:rPr>
              <w:t xml:space="preserve"> </w:t>
            </w:r>
            <w:r>
              <w:rPr>
                <w:rFonts w:ascii="Tahoma" w:hAnsi="Tahoma"/>
                <w:w w:val="115"/>
                <w:sz w:val="22"/>
              </w:rPr>
              <w:t>=</w:t>
            </w:r>
            <w:r>
              <w:rPr>
                <w:rFonts w:ascii="Tahoma" w:hAnsi="Tahoma"/>
                <w:spacing w:val="-15"/>
                <w:w w:val="115"/>
                <w:sz w:val="22"/>
              </w:rPr>
              <w:t xml:space="preserve"> </w:t>
            </w:r>
            <w:r>
              <w:rPr>
                <w:rFonts w:ascii="Calibri" w:hAnsi="Calibri"/>
                <w:i/>
                <w:spacing w:val="-5"/>
                <w:w w:val="115"/>
                <w:sz w:val="22"/>
              </w:rPr>
              <w:t>β</w:t>
            </w:r>
            <w:r>
              <w:rPr>
                <w:rFonts w:ascii="Calibri" w:hAnsi="Calibri"/>
                <w:spacing w:val="-5"/>
                <w:w w:val="115"/>
                <w:sz w:val="22"/>
                <w:vertAlign w:val="subscript"/>
              </w:rPr>
              <w:t>3</w:t>
            </w:r>
          </w:p>
        </w:tc>
      </w:tr>
    </w:tbl>
    <w:p w14:paraId="25C4607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利用DID方法，最为重要的是处理组和控制组必须满足平行趋势假设，即如果不存在虚假</w:t>
      </w:r>
    </w:p>
    <w:p w14:paraId="79B6399A">
      <w:pPr>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财经新闻，换言之，新闻都是真实的，那么受到新闻影响的个股的异常收益率并不存在系统性差异。本文按照新闻真伪性计算异常收益率的平均值，如图1所示，可得出三点简单的判断：</w:t>
      </w:r>
    </w:p>
    <w:p w14:paraId="5ECCD0DD">
      <w:pPr>
        <w:ind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1）在事件窗口期，受虚假财经新闻影响的个股呈现出更为剧烈的异常收益率变动，主要表现为异常收益率为负，即股价下跌，这说明虚假财经新闻可能通过捏造事实引起投资者的恐慌以使得股价下跌，或是发布利空消息以扭曲原本的理性投资策略。</w:t>
      </w:r>
    </w:p>
    <w:p w14:paraId="72759B4E">
      <w:pPr>
        <w:ind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（2）在事件发生日前，受虚假财经新闻影响的个股在异常收益率上与受到真实财经新闻影响的个股呈现出较为接近的均值，说明不存在严重的事前行为，为平行趋势假设提供了较为有力的支撑。</w:t>
      </w:r>
    </w:p>
    <w:p w14:paraId="24D3E431">
      <w:pPr>
        <w:ind w:firstLine="560" w:firstLineChars="200"/>
        <w:jc w:val="left"/>
        <w:rPr>
          <w:rFonts w:ascii="Times New Roman" w:hAnsi="Times New Roman" w:eastAsia="宋体" w:cs="Times New Roman"/>
          <w:sz w:val="21"/>
          <w:szCs w:val="21"/>
        </w:rPr>
      </w:pPr>
      <w:r>
        <mc:AlternateContent>
          <mc:Choice Requires="wps">
            <w:drawing>
              <wp:anchor distT="0" distB="0" distL="114300" distR="114300" simplePos="0" relativeHeight="251664384" behindDoc="0" locked="0" layoutInCell="1" allowOverlap="1">
                <wp:simplePos x="0" y="0"/>
                <wp:positionH relativeFrom="column">
                  <wp:posOffset>712470</wp:posOffset>
                </wp:positionH>
                <wp:positionV relativeFrom="paragraph">
                  <wp:posOffset>4424045</wp:posOffset>
                </wp:positionV>
                <wp:extent cx="4187825" cy="635"/>
                <wp:effectExtent l="0" t="0" r="0" b="0"/>
                <wp:wrapTopAndBottom/>
                <wp:docPr id="770597909" name="文本框 1"/>
                <wp:cNvGraphicFramePr/>
                <a:graphic xmlns:a="http://schemas.openxmlformats.org/drawingml/2006/main">
                  <a:graphicData uri="http://schemas.microsoft.com/office/word/2010/wordprocessingShape">
                    <wps:wsp>
                      <wps:cNvSpPr txBox="1"/>
                      <wps:spPr>
                        <a:xfrm>
                          <a:off x="0" y="0"/>
                          <a:ext cx="4187825" cy="635"/>
                        </a:xfrm>
                        <a:prstGeom prst="rect">
                          <a:avLst/>
                        </a:prstGeom>
                        <a:solidFill>
                          <a:prstClr val="white"/>
                        </a:solidFill>
                        <a:ln>
                          <a:noFill/>
                        </a:ln>
                      </wps:spPr>
                      <wps:txbx>
                        <w:txbxContent>
                          <w:p w14:paraId="4067DA05">
                            <w:pPr>
                              <w:pStyle w:val="11"/>
                              <w:jc w:val="center"/>
                              <w:rPr>
                                <w:rFonts w:hint="eastAsia" w:ascii="Times New Roman" w:hAnsi="黑体"/>
                                <w:szCs w:val="28"/>
                              </w:rPr>
                            </w:pPr>
                            <w:r>
                              <w:rPr>
                                <w:rFonts w:hint="eastAsia"/>
                              </w:rPr>
                              <w:t>图</w:t>
                            </w:r>
                            <w:r>
                              <w:rPr>
                                <w:rFonts w:hint="eastAsia"/>
                              </w:rPr>
                              <w:fldChar w:fldCharType="begin"/>
                            </w:r>
                            <w:r>
                              <w:rPr>
                                <w:rFonts w:hint="eastAsia"/>
                              </w:rPr>
                              <w:instrText xml:space="preserve"> SEQ 图表 \* ARABIC </w:instrText>
                            </w:r>
                            <w:r>
                              <w:rPr>
                                <w:rFonts w:hint="eastAsia"/>
                              </w:rPr>
                              <w:fldChar w:fldCharType="separate"/>
                            </w:r>
                            <w:r>
                              <w:rPr>
                                <w:rFonts w:hint="eastAsia"/>
                              </w:rPr>
                              <w:t>1</w:t>
                            </w:r>
                            <w:r>
                              <w:rPr>
                                <w:rFonts w:hint="eastAsia"/>
                              </w:rPr>
                              <w:fldChar w:fldCharType="end"/>
                            </w:r>
                            <w:r>
                              <w:rPr>
                                <w:rFonts w:hint="eastAsia"/>
                              </w:rPr>
                              <w:t>日平均股票异常收益率（分组）</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6.1pt;margin-top:348.35pt;height:0.05pt;width:329.75pt;mso-wrap-distance-bottom:0pt;mso-wrap-distance-top:0pt;z-index:251664384;mso-width-relative:page;mso-height-relative:page;" fillcolor="#FFFFFF" filled="t" stroked="f" coordsize="21600,21600" o:gfxdata="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w59j22gAAAAsBAAAPAAAAAAAAAAEAIAAA&#10;ACIAAABkcnMvZG93bnJldi54bWxQSwECFAAUAAAACACHTuJAp7AWSUMCAAB6BAAADgAAAAAAAAAB&#10;ACAAAAApAQAAZHJzL2Uyb0RvYy54bWxQSwUGAAAAAAYABgBZAQAA3gUAAAAA&#10;">
                <v:fill on="t" focussize="0,0"/>
                <v:stroke on="f"/>
                <v:imagedata o:title=""/>
                <o:lock v:ext="edit" aspectratio="f"/>
                <v:textbox inset="0mm,0mm,0mm,0mm" style="mso-fit-shape-to-text:t;">
                  <w:txbxContent>
                    <w:p w14:paraId="4067DA05">
                      <w:pPr>
                        <w:pStyle w:val="11"/>
                        <w:jc w:val="center"/>
                        <w:rPr>
                          <w:rFonts w:hint="eastAsia" w:ascii="Times New Roman" w:hAnsi="黑体"/>
                          <w:szCs w:val="28"/>
                        </w:rPr>
                      </w:pPr>
                      <w:r>
                        <w:rPr>
                          <w:rFonts w:hint="eastAsia"/>
                        </w:rPr>
                        <w:t>图</w:t>
                      </w:r>
                      <w:r>
                        <w:rPr>
                          <w:rFonts w:hint="eastAsia"/>
                        </w:rPr>
                        <w:fldChar w:fldCharType="begin"/>
                      </w:r>
                      <w:r>
                        <w:rPr>
                          <w:rFonts w:hint="eastAsia"/>
                        </w:rPr>
                        <w:instrText xml:space="preserve"> SEQ 图表 \* ARABIC </w:instrText>
                      </w:r>
                      <w:r>
                        <w:rPr>
                          <w:rFonts w:hint="eastAsia"/>
                        </w:rPr>
                        <w:fldChar w:fldCharType="separate"/>
                      </w:r>
                      <w:r>
                        <w:rPr>
                          <w:rFonts w:hint="eastAsia"/>
                        </w:rPr>
                        <w:t>1</w:t>
                      </w:r>
                      <w:r>
                        <w:rPr>
                          <w:rFonts w:hint="eastAsia"/>
                        </w:rPr>
                        <w:fldChar w:fldCharType="end"/>
                      </w:r>
                      <w:r>
                        <w:rPr>
                          <w:rFonts w:hint="eastAsia"/>
                        </w:rPr>
                        <w:t>日平均股票异常收益率（分组）</w:t>
                      </w:r>
                    </w:p>
                  </w:txbxContent>
                </v:textbox>
                <w10:wrap type="topAndBottom"/>
              </v:shape>
            </w:pict>
          </mc:Fallback>
        </mc:AlternateContent>
      </w:r>
      <w:r>
        <w:rPr>
          <w:rFonts w:ascii="Times New Roman"/>
          <w:sz w:val="20"/>
        </w:rPr>
        <w:drawing>
          <wp:anchor distT="0" distB="0" distL="0" distR="0" simplePos="0" relativeHeight="251660288" behindDoc="1" locked="0" layoutInCell="1" allowOverlap="1">
            <wp:simplePos x="0" y="0"/>
            <wp:positionH relativeFrom="margin">
              <wp:align>center</wp:align>
            </wp:positionH>
            <wp:positionV relativeFrom="paragraph">
              <wp:posOffset>1272540</wp:posOffset>
            </wp:positionV>
            <wp:extent cx="4187825" cy="3094355"/>
            <wp:effectExtent l="0" t="0" r="3175"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187825" cy="3094355"/>
                    </a:xfrm>
                    <a:prstGeom prst="rect">
                      <a:avLst/>
                    </a:prstGeom>
                  </pic:spPr>
                </pic:pic>
              </a:graphicData>
            </a:graphic>
          </wp:anchor>
        </w:drawing>
      </w:r>
      <w:r>
        <w:rPr>
          <w:rFonts w:hint="eastAsia" w:ascii="Times New Roman" w:hAnsi="Times New Roman" w:eastAsia="宋体" w:cs="Times New Roman"/>
          <w:sz w:val="21"/>
          <w:szCs w:val="21"/>
        </w:rPr>
        <w:t>（3）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6FE5F228">
      <w:pPr>
        <w:spacing w:line="240" w:lineRule="auto"/>
        <w:jc w:val="center"/>
        <w:outlineLvl w:val="0"/>
        <w:rPr>
          <w:rFonts w:ascii="Times New Roman" w:hAnsi="Times New Roman" w:eastAsia="宋体" w:cs="Times New Roman"/>
          <w:b/>
          <w:bCs/>
          <w:sz w:val="24"/>
          <w:szCs w:val="24"/>
        </w:rPr>
      </w:pPr>
      <w:r>
        <w:rPr>
          <w:rFonts w:ascii="Times New Roman" w:hAnsi="Times New Roman" w:eastAsia="宋体" w:cs="Times New Roman"/>
          <w:sz w:val="21"/>
          <w:szCs w:val="21"/>
        </w:rPr>
        <w:br w:type="page"/>
      </w:r>
      <w:bookmarkStart w:id="14" w:name="_Toc5872"/>
      <w:r>
        <w:rPr>
          <w:rFonts w:hint="eastAsia" w:ascii="Times New Roman" w:hAnsi="Times New Roman" w:eastAsia="宋体" w:cs="Times New Roman"/>
          <w:b/>
          <w:bCs/>
          <w:sz w:val="24"/>
          <w:szCs w:val="24"/>
        </w:rPr>
        <w:t>三、实证结果分析</w:t>
      </w:r>
      <w:bookmarkEnd w:id="14"/>
    </w:p>
    <w:p w14:paraId="6387D7DF">
      <w:pPr>
        <w:outlineLvl w:val="1"/>
        <w:rPr>
          <w:rFonts w:ascii="Times New Roman" w:hAnsi="Times New Roman" w:eastAsia="宋体" w:cs="Times New Roman"/>
          <w:b/>
          <w:bCs/>
          <w:sz w:val="24"/>
          <w:szCs w:val="24"/>
        </w:rPr>
      </w:pPr>
      <w:bookmarkStart w:id="15" w:name="_Toc8105"/>
      <w:r>
        <w:rPr>
          <w:rFonts w:hint="eastAsia" w:ascii="Times New Roman" w:hAnsi="Times New Roman" w:eastAsia="宋体" w:cs="Times New Roman"/>
          <w:b/>
          <w:bCs/>
          <w:sz w:val="24"/>
          <w:szCs w:val="24"/>
        </w:rPr>
        <w:t>（一）描述性统计</w:t>
      </w:r>
      <w:bookmarkEnd w:id="15"/>
    </w:p>
    <w:p w14:paraId="6D718337">
      <w:pPr>
        <w:ind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表3报告了主要变量的描述性统计结果。被解释变量CAR的均值为-0.0171，中位数为-0.0065，表明事件窗口期内市场整体反应轻微负面，但接近中性（均值绝对值接近零）。其标准差为0.1343，极值区间较大（-1.0337至0.8608），暗示不同企业的市场反应存在显著异质性。解释变量Sentiment的均值为0.0189（中位数0.2000），分布略右偏，取值范围为-0.9（极端负面）至0.8（积极）。情绪值的离散程度较高（标准差0.4822），为分析其对CAR的非对称影响提供了可能。</w:t>
      </w:r>
    </w:p>
    <w:tbl>
      <w:tblPr>
        <w:tblStyle w:val="22"/>
        <w:tblpPr w:leftFromText="180" w:rightFromText="180" w:vertAnchor="page" w:horzAnchor="margin" w:tblpXSpec="center" w:tblpY="6548"/>
        <w:tblW w:w="4487" w:type="pct"/>
        <w:tblInd w:w="0" w:type="dxa"/>
        <w:tblLayout w:type="autofit"/>
        <w:tblCellMar>
          <w:top w:w="0" w:type="dxa"/>
          <w:left w:w="0" w:type="dxa"/>
          <w:bottom w:w="0" w:type="dxa"/>
          <w:right w:w="0" w:type="dxa"/>
        </w:tblCellMar>
      </w:tblPr>
      <w:tblGrid>
        <w:gridCol w:w="1555"/>
        <w:gridCol w:w="1156"/>
        <w:gridCol w:w="1154"/>
        <w:gridCol w:w="1286"/>
        <w:gridCol w:w="1505"/>
        <w:gridCol w:w="1281"/>
      </w:tblGrid>
      <w:tr w14:paraId="0F15FD96">
        <w:tblPrEx>
          <w:tblCellMar>
            <w:top w:w="0" w:type="dxa"/>
            <w:left w:w="0" w:type="dxa"/>
            <w:bottom w:w="0" w:type="dxa"/>
            <w:right w:w="0" w:type="dxa"/>
          </w:tblCellMar>
        </w:tblPrEx>
        <w:trPr>
          <w:trHeight w:val="28" w:hRule="atLeast"/>
        </w:trPr>
        <w:tc>
          <w:tcPr>
            <w:tcW w:w="5000" w:type="pct"/>
            <w:gridSpan w:val="6"/>
            <w:tcBorders>
              <w:bottom w:val="single" w:color="000000" w:sz="4" w:space="0"/>
            </w:tcBorders>
          </w:tcPr>
          <w:p w14:paraId="36C3C2D4">
            <w:pPr>
              <w:pStyle w:val="53"/>
              <w:spacing w:before="0" w:line="240" w:lineRule="auto"/>
              <w:ind w:right="114"/>
              <w:jc w:val="center"/>
              <w:rPr>
                <w:rFonts w:ascii="宋体" w:eastAsia="宋体"/>
                <w:spacing w:val="-4"/>
                <w:sz w:val="18"/>
                <w:szCs w:val="18"/>
              </w:rPr>
            </w:pPr>
            <w:r>
              <w:rPr>
                <w:rFonts w:hint="eastAsia" w:ascii="宋体" w:eastAsia="宋体"/>
                <w:spacing w:val="-4"/>
                <w:sz w:val="18"/>
                <w:szCs w:val="18"/>
              </w:rPr>
              <w:t>表3 描述性统计</w:t>
            </w:r>
          </w:p>
        </w:tc>
      </w:tr>
      <w:tr w14:paraId="1CEB3620">
        <w:tblPrEx>
          <w:tblCellMar>
            <w:top w:w="0" w:type="dxa"/>
            <w:left w:w="0" w:type="dxa"/>
            <w:bottom w:w="0" w:type="dxa"/>
            <w:right w:w="0" w:type="dxa"/>
          </w:tblCellMar>
        </w:tblPrEx>
        <w:trPr>
          <w:trHeight w:val="28" w:hRule="atLeast"/>
        </w:trPr>
        <w:tc>
          <w:tcPr>
            <w:tcW w:w="980" w:type="pct"/>
            <w:tcBorders>
              <w:top w:val="single" w:color="000000" w:sz="4" w:space="0"/>
              <w:bottom w:val="single" w:color="000000" w:sz="4" w:space="0"/>
            </w:tcBorders>
          </w:tcPr>
          <w:p w14:paraId="59AE0A4E">
            <w:pPr>
              <w:pStyle w:val="53"/>
              <w:spacing w:before="0" w:line="240" w:lineRule="auto"/>
              <w:ind w:left="119"/>
              <w:rPr>
                <w:rFonts w:ascii="宋体" w:eastAsia="宋体"/>
                <w:sz w:val="18"/>
                <w:szCs w:val="18"/>
              </w:rPr>
            </w:pPr>
            <w:r>
              <w:rPr>
                <w:rFonts w:ascii="宋体" w:eastAsia="宋体"/>
                <w:spacing w:val="-4"/>
                <w:sz w:val="18"/>
                <w:szCs w:val="18"/>
              </w:rPr>
              <w:t>变量名</w:t>
            </w:r>
          </w:p>
        </w:tc>
        <w:tc>
          <w:tcPr>
            <w:tcW w:w="728" w:type="pct"/>
            <w:tcBorders>
              <w:top w:val="single" w:color="000000" w:sz="4" w:space="0"/>
              <w:bottom w:val="single" w:color="000000" w:sz="4" w:space="0"/>
            </w:tcBorders>
          </w:tcPr>
          <w:p w14:paraId="04CE2FA0">
            <w:pPr>
              <w:pStyle w:val="53"/>
              <w:spacing w:before="0" w:line="240" w:lineRule="auto"/>
              <w:ind w:right="116"/>
              <w:jc w:val="right"/>
              <w:rPr>
                <w:rFonts w:ascii="宋体" w:eastAsia="宋体"/>
                <w:sz w:val="18"/>
                <w:szCs w:val="18"/>
              </w:rPr>
            </w:pPr>
            <w:r>
              <w:rPr>
                <w:rFonts w:ascii="宋体" w:eastAsia="宋体"/>
                <w:spacing w:val="-5"/>
                <w:sz w:val="18"/>
                <w:szCs w:val="18"/>
              </w:rPr>
              <w:t>均值</w:t>
            </w:r>
          </w:p>
        </w:tc>
        <w:tc>
          <w:tcPr>
            <w:tcW w:w="727" w:type="pct"/>
            <w:tcBorders>
              <w:top w:val="single" w:color="000000" w:sz="4" w:space="0"/>
              <w:bottom w:val="single" w:color="000000" w:sz="4" w:space="0"/>
            </w:tcBorders>
          </w:tcPr>
          <w:p w14:paraId="7505C611">
            <w:pPr>
              <w:pStyle w:val="53"/>
              <w:spacing w:before="0" w:line="240" w:lineRule="auto"/>
              <w:ind w:left="106" w:right="52"/>
              <w:jc w:val="center"/>
              <w:rPr>
                <w:rFonts w:ascii="宋体" w:eastAsia="宋体"/>
                <w:sz w:val="18"/>
                <w:szCs w:val="18"/>
              </w:rPr>
            </w:pPr>
            <w:r>
              <w:rPr>
                <w:rFonts w:ascii="宋体" w:eastAsia="宋体"/>
                <w:spacing w:val="-4"/>
                <w:sz w:val="18"/>
                <w:szCs w:val="18"/>
              </w:rPr>
              <w:t>中位数</w:t>
            </w:r>
          </w:p>
        </w:tc>
        <w:tc>
          <w:tcPr>
            <w:tcW w:w="810" w:type="pct"/>
            <w:tcBorders>
              <w:top w:val="single" w:color="000000" w:sz="4" w:space="0"/>
              <w:bottom w:val="single" w:color="000000" w:sz="4" w:space="0"/>
            </w:tcBorders>
          </w:tcPr>
          <w:p w14:paraId="798C7C2C">
            <w:pPr>
              <w:pStyle w:val="53"/>
              <w:spacing w:before="0" w:line="240" w:lineRule="auto"/>
              <w:ind w:right="115"/>
              <w:jc w:val="right"/>
              <w:rPr>
                <w:rFonts w:ascii="宋体" w:eastAsia="宋体"/>
                <w:sz w:val="18"/>
                <w:szCs w:val="18"/>
              </w:rPr>
            </w:pPr>
            <w:r>
              <w:rPr>
                <w:rFonts w:ascii="宋体" w:eastAsia="宋体"/>
                <w:spacing w:val="-4"/>
                <w:sz w:val="18"/>
                <w:szCs w:val="18"/>
              </w:rPr>
              <w:t>标准差</w:t>
            </w:r>
          </w:p>
        </w:tc>
        <w:tc>
          <w:tcPr>
            <w:tcW w:w="948" w:type="pct"/>
            <w:tcBorders>
              <w:top w:val="single" w:color="000000" w:sz="4" w:space="0"/>
              <w:bottom w:val="single" w:color="000000" w:sz="4" w:space="0"/>
            </w:tcBorders>
          </w:tcPr>
          <w:p w14:paraId="1D84A9E2">
            <w:pPr>
              <w:pStyle w:val="53"/>
              <w:spacing w:before="0" w:line="240" w:lineRule="auto"/>
              <w:ind w:right="115"/>
              <w:jc w:val="right"/>
              <w:rPr>
                <w:rFonts w:ascii="宋体" w:eastAsia="宋体"/>
                <w:sz w:val="18"/>
                <w:szCs w:val="18"/>
              </w:rPr>
            </w:pPr>
            <w:r>
              <w:rPr>
                <w:rFonts w:ascii="宋体" w:eastAsia="宋体"/>
                <w:spacing w:val="-4"/>
                <w:sz w:val="18"/>
                <w:szCs w:val="18"/>
              </w:rPr>
              <w:t>最小值</w:t>
            </w:r>
          </w:p>
        </w:tc>
        <w:tc>
          <w:tcPr>
            <w:tcW w:w="807" w:type="pct"/>
            <w:tcBorders>
              <w:top w:val="single" w:color="000000" w:sz="4" w:space="0"/>
              <w:bottom w:val="single" w:color="000000" w:sz="4" w:space="0"/>
            </w:tcBorders>
          </w:tcPr>
          <w:p w14:paraId="05760D5C">
            <w:pPr>
              <w:pStyle w:val="53"/>
              <w:spacing w:before="0" w:line="240" w:lineRule="auto"/>
              <w:ind w:right="114"/>
              <w:jc w:val="right"/>
              <w:rPr>
                <w:rFonts w:ascii="宋体" w:eastAsia="宋体"/>
                <w:sz w:val="18"/>
                <w:szCs w:val="18"/>
              </w:rPr>
            </w:pPr>
            <w:r>
              <w:rPr>
                <w:rFonts w:ascii="宋体" w:eastAsia="宋体"/>
                <w:spacing w:val="-4"/>
                <w:sz w:val="18"/>
                <w:szCs w:val="18"/>
              </w:rPr>
              <w:t>最大值</w:t>
            </w:r>
          </w:p>
        </w:tc>
      </w:tr>
      <w:tr w14:paraId="790C9A0A">
        <w:trPr>
          <w:trHeight w:val="231" w:hRule="atLeast"/>
        </w:trPr>
        <w:tc>
          <w:tcPr>
            <w:tcW w:w="980" w:type="pct"/>
            <w:tcBorders>
              <w:top w:val="single" w:color="000000" w:sz="4" w:space="0"/>
            </w:tcBorders>
          </w:tcPr>
          <w:p w14:paraId="068829D8">
            <w:pPr>
              <w:pStyle w:val="53"/>
              <w:spacing w:before="0" w:line="240" w:lineRule="auto"/>
              <w:ind w:left="119"/>
              <w:rPr>
                <w:sz w:val="18"/>
                <w:szCs w:val="18"/>
              </w:rPr>
            </w:pPr>
            <w:r>
              <w:rPr>
                <w:spacing w:val="-5"/>
                <w:sz w:val="18"/>
                <w:szCs w:val="18"/>
              </w:rPr>
              <w:t>ARE</w:t>
            </w:r>
          </w:p>
        </w:tc>
        <w:tc>
          <w:tcPr>
            <w:tcW w:w="728" w:type="pct"/>
            <w:tcBorders>
              <w:top w:val="single" w:color="000000" w:sz="4" w:space="0"/>
            </w:tcBorders>
          </w:tcPr>
          <w:p w14:paraId="30B9EA22">
            <w:pPr>
              <w:pStyle w:val="53"/>
              <w:spacing w:before="0" w:line="240" w:lineRule="auto"/>
              <w:ind w:right="116"/>
              <w:jc w:val="right"/>
              <w:rPr>
                <w:sz w:val="18"/>
                <w:szCs w:val="18"/>
              </w:rPr>
            </w:pPr>
            <w:r>
              <w:rPr>
                <w:spacing w:val="-2"/>
                <w:sz w:val="18"/>
                <w:szCs w:val="18"/>
              </w:rPr>
              <w:t>4.7622</w:t>
            </w:r>
          </w:p>
        </w:tc>
        <w:tc>
          <w:tcPr>
            <w:tcW w:w="727" w:type="pct"/>
            <w:tcBorders>
              <w:top w:val="single" w:color="000000" w:sz="4" w:space="0"/>
            </w:tcBorders>
          </w:tcPr>
          <w:p w14:paraId="6757E9B3">
            <w:pPr>
              <w:pStyle w:val="53"/>
              <w:spacing w:before="0" w:line="240" w:lineRule="auto"/>
              <w:ind w:left="106"/>
              <w:jc w:val="center"/>
              <w:rPr>
                <w:sz w:val="18"/>
                <w:szCs w:val="18"/>
              </w:rPr>
            </w:pPr>
            <w:r>
              <w:rPr>
                <w:spacing w:val="-2"/>
                <w:sz w:val="18"/>
                <w:szCs w:val="18"/>
              </w:rPr>
              <w:t>5.4785</w:t>
            </w:r>
          </w:p>
        </w:tc>
        <w:tc>
          <w:tcPr>
            <w:tcW w:w="810" w:type="pct"/>
            <w:tcBorders>
              <w:top w:val="single" w:color="000000" w:sz="4" w:space="0"/>
            </w:tcBorders>
          </w:tcPr>
          <w:p w14:paraId="32AD5F94">
            <w:pPr>
              <w:pStyle w:val="53"/>
              <w:spacing w:before="0" w:line="240" w:lineRule="auto"/>
              <w:ind w:right="115"/>
              <w:jc w:val="right"/>
              <w:rPr>
                <w:sz w:val="18"/>
                <w:szCs w:val="18"/>
              </w:rPr>
            </w:pPr>
            <w:r>
              <w:rPr>
                <w:spacing w:val="-2"/>
                <w:sz w:val="18"/>
                <w:szCs w:val="18"/>
              </w:rPr>
              <w:t>12.9832</w:t>
            </w:r>
          </w:p>
        </w:tc>
        <w:tc>
          <w:tcPr>
            <w:tcW w:w="948" w:type="pct"/>
            <w:tcBorders>
              <w:top w:val="single" w:color="000000" w:sz="4" w:space="0"/>
            </w:tcBorders>
          </w:tcPr>
          <w:p w14:paraId="40388BA7">
            <w:pPr>
              <w:pStyle w:val="53"/>
              <w:spacing w:before="0" w:line="240" w:lineRule="auto"/>
              <w:ind w:right="115"/>
              <w:jc w:val="right"/>
              <w:rPr>
                <w:sz w:val="18"/>
                <w:szCs w:val="18"/>
              </w:rPr>
            </w:pPr>
            <w:r>
              <w:rPr>
                <w:sz w:val="18"/>
                <w:szCs w:val="18"/>
              </w:rPr>
              <w:t>-</w:t>
            </w:r>
            <w:r>
              <w:rPr>
                <w:spacing w:val="-2"/>
                <w:sz w:val="18"/>
                <w:szCs w:val="18"/>
              </w:rPr>
              <w:t>131.8140</w:t>
            </w:r>
          </w:p>
        </w:tc>
        <w:tc>
          <w:tcPr>
            <w:tcW w:w="807" w:type="pct"/>
            <w:tcBorders>
              <w:top w:val="single" w:color="000000" w:sz="4" w:space="0"/>
            </w:tcBorders>
          </w:tcPr>
          <w:p w14:paraId="54526C2B">
            <w:pPr>
              <w:pStyle w:val="53"/>
              <w:spacing w:before="0" w:line="240" w:lineRule="auto"/>
              <w:ind w:right="114"/>
              <w:jc w:val="right"/>
              <w:rPr>
                <w:sz w:val="18"/>
                <w:szCs w:val="18"/>
              </w:rPr>
            </w:pPr>
            <w:r>
              <w:rPr>
                <w:spacing w:val="-2"/>
                <w:sz w:val="18"/>
                <w:szCs w:val="18"/>
              </w:rPr>
              <w:t>113.0584</w:t>
            </w:r>
          </w:p>
        </w:tc>
      </w:tr>
      <w:tr w14:paraId="1561A496">
        <w:tblPrEx>
          <w:tblCellMar>
            <w:top w:w="0" w:type="dxa"/>
            <w:left w:w="0" w:type="dxa"/>
            <w:bottom w:w="0" w:type="dxa"/>
            <w:right w:w="0" w:type="dxa"/>
          </w:tblCellMar>
        </w:tblPrEx>
        <w:trPr>
          <w:trHeight w:val="239" w:hRule="atLeast"/>
        </w:trPr>
        <w:tc>
          <w:tcPr>
            <w:tcW w:w="980" w:type="pct"/>
          </w:tcPr>
          <w:p w14:paraId="737E6B77">
            <w:pPr>
              <w:pStyle w:val="53"/>
              <w:spacing w:before="0" w:line="240" w:lineRule="auto"/>
              <w:ind w:left="119"/>
              <w:rPr>
                <w:sz w:val="18"/>
                <w:szCs w:val="18"/>
              </w:rPr>
            </w:pPr>
            <w:r>
              <w:rPr>
                <w:spacing w:val="-5"/>
                <w:sz w:val="18"/>
                <w:szCs w:val="18"/>
              </w:rPr>
              <w:t>OPM</w:t>
            </w:r>
          </w:p>
        </w:tc>
        <w:tc>
          <w:tcPr>
            <w:tcW w:w="728" w:type="pct"/>
          </w:tcPr>
          <w:p w14:paraId="53ED9B8E">
            <w:pPr>
              <w:pStyle w:val="53"/>
              <w:spacing w:before="0" w:line="240" w:lineRule="auto"/>
              <w:ind w:right="116"/>
              <w:jc w:val="right"/>
              <w:rPr>
                <w:sz w:val="18"/>
                <w:szCs w:val="18"/>
              </w:rPr>
            </w:pPr>
            <w:r>
              <w:rPr>
                <w:sz w:val="18"/>
                <w:szCs w:val="18"/>
              </w:rPr>
              <w:t>-</w:t>
            </w:r>
            <w:r>
              <w:rPr>
                <w:spacing w:val="-2"/>
                <w:sz w:val="18"/>
                <w:szCs w:val="18"/>
              </w:rPr>
              <w:t>5.6752</w:t>
            </w:r>
          </w:p>
        </w:tc>
        <w:tc>
          <w:tcPr>
            <w:tcW w:w="727" w:type="pct"/>
          </w:tcPr>
          <w:p w14:paraId="5D758301">
            <w:pPr>
              <w:pStyle w:val="53"/>
              <w:spacing w:before="0" w:line="240" w:lineRule="auto"/>
              <w:ind w:left="106"/>
              <w:jc w:val="center"/>
              <w:rPr>
                <w:sz w:val="18"/>
                <w:szCs w:val="18"/>
              </w:rPr>
            </w:pPr>
            <w:r>
              <w:rPr>
                <w:spacing w:val="-2"/>
                <w:sz w:val="18"/>
                <w:szCs w:val="18"/>
              </w:rPr>
              <w:t>7.8353</w:t>
            </w:r>
          </w:p>
        </w:tc>
        <w:tc>
          <w:tcPr>
            <w:tcW w:w="810" w:type="pct"/>
          </w:tcPr>
          <w:p w14:paraId="002FB733">
            <w:pPr>
              <w:pStyle w:val="53"/>
              <w:spacing w:before="0" w:line="240" w:lineRule="auto"/>
              <w:ind w:right="115"/>
              <w:jc w:val="right"/>
              <w:rPr>
                <w:sz w:val="18"/>
                <w:szCs w:val="18"/>
              </w:rPr>
            </w:pPr>
            <w:r>
              <w:rPr>
                <w:spacing w:val="-2"/>
                <w:sz w:val="18"/>
                <w:szCs w:val="18"/>
              </w:rPr>
              <w:t>170.4002</w:t>
            </w:r>
          </w:p>
        </w:tc>
        <w:tc>
          <w:tcPr>
            <w:tcW w:w="948" w:type="pct"/>
          </w:tcPr>
          <w:p w14:paraId="4193E057">
            <w:pPr>
              <w:pStyle w:val="53"/>
              <w:spacing w:before="0" w:line="240" w:lineRule="auto"/>
              <w:ind w:right="115"/>
              <w:jc w:val="right"/>
              <w:rPr>
                <w:sz w:val="18"/>
                <w:szCs w:val="18"/>
              </w:rPr>
            </w:pPr>
            <w:r>
              <w:rPr>
                <w:sz w:val="18"/>
                <w:szCs w:val="18"/>
              </w:rPr>
              <w:t>-</w:t>
            </w:r>
            <w:r>
              <w:rPr>
                <w:spacing w:val="-2"/>
                <w:sz w:val="18"/>
                <w:szCs w:val="18"/>
              </w:rPr>
              <w:t>3547.7926</w:t>
            </w:r>
          </w:p>
        </w:tc>
        <w:tc>
          <w:tcPr>
            <w:tcW w:w="807" w:type="pct"/>
          </w:tcPr>
          <w:p w14:paraId="61124804">
            <w:pPr>
              <w:pStyle w:val="53"/>
              <w:spacing w:before="0" w:line="240" w:lineRule="auto"/>
              <w:ind w:right="114"/>
              <w:jc w:val="right"/>
              <w:rPr>
                <w:sz w:val="18"/>
                <w:szCs w:val="18"/>
              </w:rPr>
            </w:pPr>
            <w:r>
              <w:rPr>
                <w:spacing w:val="-2"/>
                <w:sz w:val="18"/>
                <w:szCs w:val="18"/>
              </w:rPr>
              <w:t>129.2813</w:t>
            </w:r>
          </w:p>
        </w:tc>
      </w:tr>
      <w:tr w14:paraId="3DF5D206">
        <w:tblPrEx>
          <w:tblCellMar>
            <w:top w:w="0" w:type="dxa"/>
            <w:left w:w="0" w:type="dxa"/>
            <w:bottom w:w="0" w:type="dxa"/>
            <w:right w:w="0" w:type="dxa"/>
          </w:tblCellMar>
        </w:tblPrEx>
        <w:trPr>
          <w:trHeight w:val="239" w:hRule="atLeast"/>
        </w:trPr>
        <w:tc>
          <w:tcPr>
            <w:tcW w:w="980" w:type="pct"/>
          </w:tcPr>
          <w:p w14:paraId="5DF3CDE1">
            <w:pPr>
              <w:pStyle w:val="53"/>
              <w:spacing w:before="0" w:line="240" w:lineRule="auto"/>
              <w:ind w:left="119"/>
              <w:rPr>
                <w:sz w:val="18"/>
                <w:szCs w:val="18"/>
              </w:rPr>
            </w:pPr>
            <w:r>
              <w:rPr>
                <w:spacing w:val="-5"/>
                <w:sz w:val="18"/>
                <w:szCs w:val="18"/>
              </w:rPr>
              <w:t>CR</w:t>
            </w:r>
          </w:p>
        </w:tc>
        <w:tc>
          <w:tcPr>
            <w:tcW w:w="728" w:type="pct"/>
          </w:tcPr>
          <w:p w14:paraId="6D2E2433">
            <w:pPr>
              <w:pStyle w:val="53"/>
              <w:spacing w:before="0" w:line="240" w:lineRule="auto"/>
              <w:ind w:right="116"/>
              <w:jc w:val="right"/>
              <w:rPr>
                <w:sz w:val="18"/>
                <w:szCs w:val="18"/>
              </w:rPr>
            </w:pPr>
            <w:r>
              <w:rPr>
                <w:spacing w:val="-2"/>
                <w:sz w:val="18"/>
                <w:szCs w:val="18"/>
              </w:rPr>
              <w:t>2.3182</w:t>
            </w:r>
          </w:p>
        </w:tc>
        <w:tc>
          <w:tcPr>
            <w:tcW w:w="727" w:type="pct"/>
          </w:tcPr>
          <w:p w14:paraId="1E2FB536">
            <w:pPr>
              <w:pStyle w:val="53"/>
              <w:spacing w:before="0" w:line="240" w:lineRule="auto"/>
              <w:ind w:left="106"/>
              <w:jc w:val="center"/>
              <w:rPr>
                <w:sz w:val="18"/>
                <w:szCs w:val="18"/>
              </w:rPr>
            </w:pPr>
            <w:r>
              <w:rPr>
                <w:spacing w:val="-2"/>
                <w:sz w:val="18"/>
                <w:szCs w:val="18"/>
              </w:rPr>
              <w:t>1.5383</w:t>
            </w:r>
          </w:p>
        </w:tc>
        <w:tc>
          <w:tcPr>
            <w:tcW w:w="810" w:type="pct"/>
          </w:tcPr>
          <w:p w14:paraId="274795B0">
            <w:pPr>
              <w:pStyle w:val="53"/>
              <w:spacing w:before="0" w:line="240" w:lineRule="auto"/>
              <w:ind w:right="115"/>
              <w:jc w:val="right"/>
              <w:rPr>
                <w:sz w:val="18"/>
                <w:szCs w:val="18"/>
              </w:rPr>
            </w:pPr>
            <w:r>
              <w:rPr>
                <w:spacing w:val="-2"/>
                <w:sz w:val="18"/>
                <w:szCs w:val="18"/>
              </w:rPr>
              <w:t>3.6680</w:t>
            </w:r>
          </w:p>
        </w:tc>
        <w:tc>
          <w:tcPr>
            <w:tcW w:w="948" w:type="pct"/>
          </w:tcPr>
          <w:p w14:paraId="004635D7">
            <w:pPr>
              <w:pStyle w:val="53"/>
              <w:spacing w:before="0" w:line="240" w:lineRule="auto"/>
              <w:ind w:right="115"/>
              <w:jc w:val="right"/>
              <w:rPr>
                <w:sz w:val="18"/>
                <w:szCs w:val="18"/>
              </w:rPr>
            </w:pPr>
            <w:r>
              <w:rPr>
                <w:spacing w:val="-2"/>
                <w:sz w:val="18"/>
                <w:szCs w:val="18"/>
              </w:rPr>
              <w:t>0.1086</w:t>
            </w:r>
          </w:p>
        </w:tc>
        <w:tc>
          <w:tcPr>
            <w:tcW w:w="807" w:type="pct"/>
          </w:tcPr>
          <w:p w14:paraId="208C35BA">
            <w:pPr>
              <w:pStyle w:val="53"/>
              <w:spacing w:before="0" w:line="240" w:lineRule="auto"/>
              <w:ind w:right="114"/>
              <w:jc w:val="right"/>
              <w:rPr>
                <w:sz w:val="18"/>
                <w:szCs w:val="18"/>
              </w:rPr>
            </w:pPr>
            <w:r>
              <w:rPr>
                <w:spacing w:val="-2"/>
                <w:sz w:val="18"/>
                <w:szCs w:val="18"/>
              </w:rPr>
              <w:t>54.5074</w:t>
            </w:r>
          </w:p>
        </w:tc>
      </w:tr>
      <w:tr w14:paraId="22732720">
        <w:tblPrEx>
          <w:tblCellMar>
            <w:top w:w="0" w:type="dxa"/>
            <w:left w:w="0" w:type="dxa"/>
            <w:bottom w:w="0" w:type="dxa"/>
            <w:right w:w="0" w:type="dxa"/>
          </w:tblCellMar>
        </w:tblPrEx>
        <w:trPr>
          <w:trHeight w:val="239" w:hRule="atLeast"/>
        </w:trPr>
        <w:tc>
          <w:tcPr>
            <w:tcW w:w="980" w:type="pct"/>
          </w:tcPr>
          <w:p w14:paraId="1A8713E9">
            <w:pPr>
              <w:pStyle w:val="53"/>
              <w:spacing w:before="0" w:line="240" w:lineRule="auto"/>
              <w:ind w:left="119"/>
              <w:rPr>
                <w:sz w:val="18"/>
                <w:szCs w:val="18"/>
              </w:rPr>
            </w:pPr>
            <w:r>
              <w:rPr>
                <w:spacing w:val="-5"/>
                <w:sz w:val="18"/>
                <w:szCs w:val="18"/>
              </w:rPr>
              <w:t>QR</w:t>
            </w:r>
          </w:p>
        </w:tc>
        <w:tc>
          <w:tcPr>
            <w:tcW w:w="728" w:type="pct"/>
          </w:tcPr>
          <w:p w14:paraId="4B13A26B">
            <w:pPr>
              <w:pStyle w:val="53"/>
              <w:spacing w:before="0" w:line="240" w:lineRule="auto"/>
              <w:ind w:right="116"/>
              <w:jc w:val="right"/>
              <w:rPr>
                <w:sz w:val="18"/>
                <w:szCs w:val="18"/>
              </w:rPr>
            </w:pPr>
            <w:r>
              <w:rPr>
                <w:spacing w:val="-2"/>
                <w:sz w:val="18"/>
                <w:szCs w:val="18"/>
              </w:rPr>
              <w:t>1.5404</w:t>
            </w:r>
          </w:p>
        </w:tc>
        <w:tc>
          <w:tcPr>
            <w:tcW w:w="727" w:type="pct"/>
          </w:tcPr>
          <w:p w14:paraId="4B4AB55E">
            <w:pPr>
              <w:pStyle w:val="53"/>
              <w:spacing w:before="0" w:line="240" w:lineRule="auto"/>
              <w:ind w:left="106"/>
              <w:jc w:val="center"/>
              <w:rPr>
                <w:sz w:val="18"/>
                <w:szCs w:val="18"/>
              </w:rPr>
            </w:pPr>
            <w:r>
              <w:rPr>
                <w:spacing w:val="-2"/>
                <w:sz w:val="18"/>
                <w:szCs w:val="18"/>
              </w:rPr>
              <w:t>1.0120</w:t>
            </w:r>
          </w:p>
        </w:tc>
        <w:tc>
          <w:tcPr>
            <w:tcW w:w="810" w:type="pct"/>
          </w:tcPr>
          <w:p w14:paraId="0C1CB077">
            <w:pPr>
              <w:pStyle w:val="53"/>
              <w:spacing w:before="0" w:line="240" w:lineRule="auto"/>
              <w:ind w:right="115"/>
              <w:jc w:val="right"/>
              <w:rPr>
                <w:sz w:val="18"/>
                <w:szCs w:val="18"/>
              </w:rPr>
            </w:pPr>
            <w:r>
              <w:rPr>
                <w:spacing w:val="-2"/>
                <w:sz w:val="18"/>
                <w:szCs w:val="18"/>
              </w:rPr>
              <w:t>2.0664</w:t>
            </w:r>
          </w:p>
        </w:tc>
        <w:tc>
          <w:tcPr>
            <w:tcW w:w="948" w:type="pct"/>
          </w:tcPr>
          <w:p w14:paraId="43AA8C7D">
            <w:pPr>
              <w:pStyle w:val="53"/>
              <w:spacing w:before="0" w:line="240" w:lineRule="auto"/>
              <w:ind w:right="115"/>
              <w:jc w:val="right"/>
              <w:rPr>
                <w:sz w:val="18"/>
                <w:szCs w:val="18"/>
              </w:rPr>
            </w:pPr>
            <w:r>
              <w:rPr>
                <w:spacing w:val="-2"/>
                <w:sz w:val="18"/>
                <w:szCs w:val="18"/>
              </w:rPr>
              <w:t>0.0119</w:t>
            </w:r>
          </w:p>
        </w:tc>
        <w:tc>
          <w:tcPr>
            <w:tcW w:w="807" w:type="pct"/>
          </w:tcPr>
          <w:p w14:paraId="00DC674A">
            <w:pPr>
              <w:pStyle w:val="53"/>
              <w:spacing w:before="0" w:line="240" w:lineRule="auto"/>
              <w:ind w:right="114"/>
              <w:jc w:val="right"/>
              <w:rPr>
                <w:sz w:val="18"/>
                <w:szCs w:val="18"/>
              </w:rPr>
            </w:pPr>
            <w:r>
              <w:rPr>
                <w:spacing w:val="-2"/>
                <w:sz w:val="18"/>
                <w:szCs w:val="18"/>
              </w:rPr>
              <w:t>22.0579</w:t>
            </w:r>
          </w:p>
        </w:tc>
      </w:tr>
      <w:tr w14:paraId="5BDA2463">
        <w:tblPrEx>
          <w:tblCellMar>
            <w:top w:w="0" w:type="dxa"/>
            <w:left w:w="0" w:type="dxa"/>
            <w:bottom w:w="0" w:type="dxa"/>
            <w:right w:w="0" w:type="dxa"/>
          </w:tblCellMar>
        </w:tblPrEx>
        <w:trPr>
          <w:trHeight w:val="239" w:hRule="atLeast"/>
        </w:trPr>
        <w:tc>
          <w:tcPr>
            <w:tcW w:w="980" w:type="pct"/>
          </w:tcPr>
          <w:p w14:paraId="36B0B4AB">
            <w:pPr>
              <w:pStyle w:val="53"/>
              <w:spacing w:before="0" w:line="240" w:lineRule="auto"/>
              <w:ind w:left="119"/>
              <w:rPr>
                <w:sz w:val="18"/>
                <w:szCs w:val="18"/>
              </w:rPr>
            </w:pPr>
            <w:r>
              <w:rPr>
                <w:spacing w:val="-5"/>
                <w:sz w:val="18"/>
                <w:szCs w:val="18"/>
              </w:rPr>
              <w:t>ND</w:t>
            </w:r>
          </w:p>
        </w:tc>
        <w:tc>
          <w:tcPr>
            <w:tcW w:w="728" w:type="pct"/>
          </w:tcPr>
          <w:p w14:paraId="340FD262">
            <w:pPr>
              <w:pStyle w:val="53"/>
              <w:spacing w:before="0" w:line="240" w:lineRule="auto"/>
              <w:ind w:right="116"/>
              <w:jc w:val="right"/>
              <w:rPr>
                <w:sz w:val="18"/>
                <w:szCs w:val="18"/>
              </w:rPr>
            </w:pPr>
            <w:r>
              <w:rPr>
                <w:spacing w:val="-2"/>
                <w:sz w:val="18"/>
                <w:szCs w:val="18"/>
              </w:rPr>
              <w:t>52.4751</w:t>
            </w:r>
          </w:p>
        </w:tc>
        <w:tc>
          <w:tcPr>
            <w:tcW w:w="727" w:type="pct"/>
          </w:tcPr>
          <w:p w14:paraId="5E06DC0E">
            <w:pPr>
              <w:pStyle w:val="53"/>
              <w:spacing w:before="0" w:line="240" w:lineRule="auto"/>
              <w:ind w:left="1"/>
              <w:jc w:val="center"/>
              <w:rPr>
                <w:sz w:val="18"/>
                <w:szCs w:val="18"/>
              </w:rPr>
            </w:pPr>
            <w:r>
              <w:rPr>
                <w:spacing w:val="-2"/>
                <w:sz w:val="18"/>
                <w:szCs w:val="18"/>
              </w:rPr>
              <w:t>53.6437</w:t>
            </w:r>
          </w:p>
        </w:tc>
        <w:tc>
          <w:tcPr>
            <w:tcW w:w="810" w:type="pct"/>
          </w:tcPr>
          <w:p w14:paraId="4834F8DA">
            <w:pPr>
              <w:pStyle w:val="53"/>
              <w:spacing w:before="0" w:line="240" w:lineRule="auto"/>
              <w:ind w:right="115"/>
              <w:jc w:val="right"/>
              <w:rPr>
                <w:sz w:val="18"/>
                <w:szCs w:val="18"/>
              </w:rPr>
            </w:pPr>
            <w:r>
              <w:rPr>
                <w:spacing w:val="-2"/>
                <w:sz w:val="18"/>
                <w:szCs w:val="18"/>
              </w:rPr>
              <w:t>24.3072</w:t>
            </w:r>
          </w:p>
        </w:tc>
        <w:tc>
          <w:tcPr>
            <w:tcW w:w="948" w:type="pct"/>
          </w:tcPr>
          <w:p w14:paraId="333B8F06">
            <w:pPr>
              <w:pStyle w:val="53"/>
              <w:spacing w:before="0" w:line="240" w:lineRule="auto"/>
              <w:ind w:right="115"/>
              <w:jc w:val="right"/>
              <w:rPr>
                <w:sz w:val="18"/>
                <w:szCs w:val="18"/>
              </w:rPr>
            </w:pPr>
            <w:r>
              <w:rPr>
                <w:sz w:val="18"/>
                <w:szCs w:val="18"/>
              </w:rPr>
              <w:t>-</w:t>
            </w:r>
            <w:r>
              <w:rPr>
                <w:spacing w:val="-2"/>
                <w:sz w:val="18"/>
                <w:szCs w:val="18"/>
              </w:rPr>
              <w:t>157.8540</w:t>
            </w:r>
          </w:p>
        </w:tc>
        <w:tc>
          <w:tcPr>
            <w:tcW w:w="807" w:type="pct"/>
          </w:tcPr>
          <w:p w14:paraId="0EEAAC21">
            <w:pPr>
              <w:pStyle w:val="53"/>
              <w:spacing w:before="0" w:line="240" w:lineRule="auto"/>
              <w:ind w:right="114"/>
              <w:jc w:val="right"/>
              <w:rPr>
                <w:sz w:val="18"/>
                <w:szCs w:val="18"/>
              </w:rPr>
            </w:pPr>
            <w:r>
              <w:rPr>
                <w:spacing w:val="-2"/>
                <w:sz w:val="18"/>
                <w:szCs w:val="18"/>
              </w:rPr>
              <w:t>97.8369</w:t>
            </w:r>
          </w:p>
        </w:tc>
      </w:tr>
      <w:tr w14:paraId="6D0EDD09">
        <w:tblPrEx>
          <w:tblCellMar>
            <w:top w:w="0" w:type="dxa"/>
            <w:left w:w="0" w:type="dxa"/>
            <w:bottom w:w="0" w:type="dxa"/>
            <w:right w:w="0" w:type="dxa"/>
          </w:tblCellMar>
        </w:tblPrEx>
        <w:trPr>
          <w:trHeight w:val="239" w:hRule="atLeast"/>
        </w:trPr>
        <w:tc>
          <w:tcPr>
            <w:tcW w:w="980" w:type="pct"/>
          </w:tcPr>
          <w:p w14:paraId="5AB2BEDB">
            <w:pPr>
              <w:pStyle w:val="53"/>
              <w:spacing w:before="0" w:line="240" w:lineRule="auto"/>
              <w:ind w:left="119"/>
              <w:rPr>
                <w:sz w:val="18"/>
                <w:szCs w:val="18"/>
              </w:rPr>
            </w:pPr>
            <w:r>
              <w:rPr>
                <w:spacing w:val="-5"/>
                <w:sz w:val="18"/>
                <w:szCs w:val="18"/>
              </w:rPr>
              <w:t>AT</w:t>
            </w:r>
          </w:p>
        </w:tc>
        <w:tc>
          <w:tcPr>
            <w:tcW w:w="728" w:type="pct"/>
          </w:tcPr>
          <w:p w14:paraId="1650D00C">
            <w:pPr>
              <w:pStyle w:val="53"/>
              <w:spacing w:before="0" w:line="240" w:lineRule="auto"/>
              <w:ind w:right="116"/>
              <w:jc w:val="right"/>
              <w:rPr>
                <w:sz w:val="18"/>
                <w:szCs w:val="18"/>
              </w:rPr>
            </w:pPr>
            <w:r>
              <w:rPr>
                <w:spacing w:val="-2"/>
                <w:sz w:val="18"/>
                <w:szCs w:val="18"/>
              </w:rPr>
              <w:t>0.6376</w:t>
            </w:r>
          </w:p>
        </w:tc>
        <w:tc>
          <w:tcPr>
            <w:tcW w:w="727" w:type="pct"/>
          </w:tcPr>
          <w:p w14:paraId="354A12D5">
            <w:pPr>
              <w:pStyle w:val="53"/>
              <w:spacing w:before="0" w:line="240" w:lineRule="auto"/>
              <w:ind w:left="106"/>
              <w:jc w:val="center"/>
              <w:rPr>
                <w:sz w:val="18"/>
                <w:szCs w:val="18"/>
              </w:rPr>
            </w:pPr>
            <w:r>
              <w:rPr>
                <w:spacing w:val="-2"/>
                <w:sz w:val="18"/>
                <w:szCs w:val="18"/>
              </w:rPr>
              <w:t>0.5221</w:t>
            </w:r>
          </w:p>
        </w:tc>
        <w:tc>
          <w:tcPr>
            <w:tcW w:w="810" w:type="pct"/>
          </w:tcPr>
          <w:p w14:paraId="75C1513D">
            <w:pPr>
              <w:pStyle w:val="53"/>
              <w:spacing w:before="0" w:line="240" w:lineRule="auto"/>
              <w:ind w:right="115"/>
              <w:jc w:val="right"/>
              <w:rPr>
                <w:sz w:val="18"/>
                <w:szCs w:val="18"/>
              </w:rPr>
            </w:pPr>
            <w:r>
              <w:rPr>
                <w:spacing w:val="-2"/>
                <w:sz w:val="18"/>
                <w:szCs w:val="18"/>
              </w:rPr>
              <w:t>0.5188</w:t>
            </w:r>
          </w:p>
        </w:tc>
        <w:tc>
          <w:tcPr>
            <w:tcW w:w="948" w:type="pct"/>
          </w:tcPr>
          <w:p w14:paraId="14568587">
            <w:pPr>
              <w:pStyle w:val="53"/>
              <w:spacing w:before="0" w:line="240" w:lineRule="auto"/>
              <w:ind w:right="115"/>
              <w:jc w:val="right"/>
              <w:rPr>
                <w:sz w:val="18"/>
                <w:szCs w:val="18"/>
              </w:rPr>
            </w:pPr>
            <w:r>
              <w:rPr>
                <w:spacing w:val="-2"/>
                <w:sz w:val="18"/>
                <w:szCs w:val="18"/>
              </w:rPr>
              <w:t>0.0048</w:t>
            </w:r>
          </w:p>
        </w:tc>
        <w:tc>
          <w:tcPr>
            <w:tcW w:w="807" w:type="pct"/>
          </w:tcPr>
          <w:p w14:paraId="564D42F7">
            <w:pPr>
              <w:pStyle w:val="53"/>
              <w:spacing w:before="0" w:line="240" w:lineRule="auto"/>
              <w:ind w:right="114"/>
              <w:jc w:val="right"/>
              <w:rPr>
                <w:sz w:val="18"/>
                <w:szCs w:val="18"/>
              </w:rPr>
            </w:pPr>
            <w:r>
              <w:rPr>
                <w:spacing w:val="-2"/>
                <w:sz w:val="18"/>
                <w:szCs w:val="18"/>
              </w:rPr>
              <w:t>4.7532</w:t>
            </w:r>
          </w:p>
        </w:tc>
      </w:tr>
      <w:tr w14:paraId="422D540B">
        <w:tblPrEx>
          <w:tblCellMar>
            <w:top w:w="0" w:type="dxa"/>
            <w:left w:w="0" w:type="dxa"/>
            <w:bottom w:w="0" w:type="dxa"/>
            <w:right w:w="0" w:type="dxa"/>
          </w:tblCellMar>
        </w:tblPrEx>
        <w:trPr>
          <w:trHeight w:val="487" w:hRule="atLeast"/>
        </w:trPr>
        <w:tc>
          <w:tcPr>
            <w:tcW w:w="980" w:type="pct"/>
          </w:tcPr>
          <w:p w14:paraId="6E42A445">
            <w:pPr>
              <w:pStyle w:val="53"/>
              <w:spacing w:before="0" w:line="240" w:lineRule="auto"/>
              <w:ind w:left="119"/>
              <w:rPr>
                <w:sz w:val="18"/>
                <w:szCs w:val="18"/>
              </w:rPr>
            </w:pPr>
            <w:r>
              <w:rPr>
                <w:spacing w:val="-2"/>
                <w:sz w:val="18"/>
                <w:szCs w:val="18"/>
              </w:rPr>
              <w:t>sentiment</w:t>
            </w:r>
          </w:p>
        </w:tc>
        <w:tc>
          <w:tcPr>
            <w:tcW w:w="728" w:type="pct"/>
          </w:tcPr>
          <w:p w14:paraId="0DA4CA9A">
            <w:pPr>
              <w:pStyle w:val="53"/>
              <w:spacing w:before="0" w:line="240" w:lineRule="auto"/>
              <w:ind w:right="116"/>
              <w:jc w:val="right"/>
              <w:rPr>
                <w:sz w:val="18"/>
                <w:szCs w:val="18"/>
              </w:rPr>
            </w:pPr>
            <w:r>
              <w:rPr>
                <w:spacing w:val="-2"/>
                <w:sz w:val="18"/>
                <w:szCs w:val="18"/>
              </w:rPr>
              <w:t>0.0189</w:t>
            </w:r>
          </w:p>
        </w:tc>
        <w:tc>
          <w:tcPr>
            <w:tcW w:w="727" w:type="pct"/>
          </w:tcPr>
          <w:p w14:paraId="05FD4034">
            <w:pPr>
              <w:pStyle w:val="53"/>
              <w:spacing w:before="0" w:line="240" w:lineRule="auto"/>
              <w:ind w:left="106"/>
              <w:jc w:val="center"/>
              <w:rPr>
                <w:sz w:val="18"/>
                <w:szCs w:val="18"/>
              </w:rPr>
            </w:pPr>
            <w:r>
              <w:rPr>
                <w:spacing w:val="-2"/>
                <w:sz w:val="18"/>
                <w:szCs w:val="18"/>
              </w:rPr>
              <w:t>0.2000</w:t>
            </w:r>
          </w:p>
        </w:tc>
        <w:tc>
          <w:tcPr>
            <w:tcW w:w="810" w:type="pct"/>
          </w:tcPr>
          <w:p w14:paraId="5F94BE97">
            <w:pPr>
              <w:pStyle w:val="53"/>
              <w:spacing w:before="0" w:line="240" w:lineRule="auto"/>
              <w:ind w:right="115"/>
              <w:jc w:val="right"/>
              <w:rPr>
                <w:sz w:val="18"/>
                <w:szCs w:val="18"/>
              </w:rPr>
            </w:pPr>
            <w:r>
              <w:rPr>
                <w:spacing w:val="-2"/>
                <w:sz w:val="18"/>
                <w:szCs w:val="18"/>
              </w:rPr>
              <w:t>0.4822</w:t>
            </w:r>
          </w:p>
        </w:tc>
        <w:tc>
          <w:tcPr>
            <w:tcW w:w="948" w:type="pct"/>
          </w:tcPr>
          <w:p w14:paraId="68608D6E">
            <w:pPr>
              <w:pStyle w:val="53"/>
              <w:spacing w:before="0" w:line="240" w:lineRule="auto"/>
              <w:ind w:right="115"/>
              <w:jc w:val="right"/>
              <w:rPr>
                <w:sz w:val="18"/>
                <w:szCs w:val="18"/>
              </w:rPr>
            </w:pPr>
            <w:r>
              <w:rPr>
                <w:sz w:val="18"/>
                <w:szCs w:val="18"/>
              </w:rPr>
              <w:t>-</w:t>
            </w:r>
            <w:r>
              <w:rPr>
                <w:spacing w:val="-2"/>
                <w:sz w:val="18"/>
                <w:szCs w:val="18"/>
              </w:rPr>
              <w:t>0.9000</w:t>
            </w:r>
          </w:p>
        </w:tc>
        <w:tc>
          <w:tcPr>
            <w:tcW w:w="807" w:type="pct"/>
          </w:tcPr>
          <w:p w14:paraId="5B1EA859">
            <w:pPr>
              <w:pStyle w:val="53"/>
              <w:spacing w:before="0" w:line="240" w:lineRule="auto"/>
              <w:ind w:right="114"/>
              <w:jc w:val="right"/>
              <w:rPr>
                <w:sz w:val="18"/>
                <w:szCs w:val="18"/>
              </w:rPr>
            </w:pPr>
            <w:r>
              <w:rPr>
                <w:spacing w:val="-2"/>
                <w:sz w:val="18"/>
                <w:szCs w:val="18"/>
              </w:rPr>
              <w:t>0.8000</w:t>
            </w:r>
          </w:p>
        </w:tc>
      </w:tr>
      <w:tr w14:paraId="70C2A468">
        <w:tblPrEx>
          <w:tblCellMar>
            <w:top w:w="0" w:type="dxa"/>
            <w:left w:w="0" w:type="dxa"/>
            <w:bottom w:w="0" w:type="dxa"/>
            <w:right w:w="0" w:type="dxa"/>
          </w:tblCellMar>
        </w:tblPrEx>
        <w:trPr>
          <w:trHeight w:val="487" w:hRule="atLeast"/>
        </w:trPr>
        <w:tc>
          <w:tcPr>
            <w:tcW w:w="980" w:type="pct"/>
            <w:shd w:val="clear" w:color="auto" w:fill="auto"/>
          </w:tcPr>
          <w:p w14:paraId="5FFE118C">
            <w:pPr>
              <w:pStyle w:val="53"/>
              <w:tabs>
                <w:tab w:val="center" w:pos="621"/>
              </w:tabs>
              <w:spacing w:before="0" w:line="240" w:lineRule="auto"/>
              <w:rPr>
                <w:sz w:val="18"/>
                <w:szCs w:val="18"/>
              </w:rPr>
            </w:pPr>
            <w:r>
              <w:rPr>
                <w:rFonts w:hint="eastAsia"/>
                <w:sz w:val="18"/>
                <w:szCs w:val="18"/>
              </w:rPr>
              <w:t xml:space="preserve"> CAR</w:t>
            </w:r>
          </w:p>
        </w:tc>
        <w:tc>
          <w:tcPr>
            <w:tcW w:w="728" w:type="pct"/>
            <w:shd w:val="clear" w:color="auto" w:fill="auto"/>
          </w:tcPr>
          <w:p w14:paraId="30F402C0">
            <w:pPr>
              <w:pStyle w:val="53"/>
              <w:spacing w:before="0" w:line="240" w:lineRule="auto"/>
              <w:ind w:right="116"/>
              <w:jc w:val="right"/>
              <w:rPr>
                <w:sz w:val="18"/>
                <w:szCs w:val="18"/>
              </w:rPr>
            </w:pPr>
            <w:r>
              <w:rPr>
                <w:sz w:val="18"/>
                <w:szCs w:val="18"/>
              </w:rPr>
              <w:t>-</w:t>
            </w:r>
            <w:r>
              <w:rPr>
                <w:spacing w:val="-2"/>
                <w:sz w:val="18"/>
                <w:szCs w:val="18"/>
              </w:rPr>
              <w:t>0.0171</w:t>
            </w:r>
          </w:p>
        </w:tc>
        <w:tc>
          <w:tcPr>
            <w:tcW w:w="727" w:type="pct"/>
            <w:shd w:val="clear" w:color="auto" w:fill="auto"/>
          </w:tcPr>
          <w:p w14:paraId="1C1A3FE4">
            <w:pPr>
              <w:pStyle w:val="53"/>
              <w:spacing w:before="0" w:line="240" w:lineRule="auto"/>
              <w:ind w:left="106" w:right="70"/>
              <w:jc w:val="center"/>
              <w:rPr>
                <w:sz w:val="18"/>
                <w:szCs w:val="18"/>
              </w:rPr>
            </w:pPr>
            <w:r>
              <w:rPr>
                <w:sz w:val="18"/>
                <w:szCs w:val="18"/>
              </w:rPr>
              <w:t>-</w:t>
            </w:r>
            <w:r>
              <w:rPr>
                <w:spacing w:val="-2"/>
                <w:sz w:val="18"/>
                <w:szCs w:val="18"/>
              </w:rPr>
              <w:t>0.0065</w:t>
            </w:r>
          </w:p>
        </w:tc>
        <w:tc>
          <w:tcPr>
            <w:tcW w:w="810" w:type="pct"/>
            <w:shd w:val="clear" w:color="auto" w:fill="auto"/>
          </w:tcPr>
          <w:p w14:paraId="3611D3E3">
            <w:pPr>
              <w:pStyle w:val="53"/>
              <w:spacing w:before="0" w:line="240" w:lineRule="auto"/>
              <w:ind w:right="115"/>
              <w:jc w:val="right"/>
              <w:rPr>
                <w:sz w:val="18"/>
                <w:szCs w:val="18"/>
              </w:rPr>
            </w:pPr>
            <w:r>
              <w:rPr>
                <w:spacing w:val="-2"/>
                <w:sz w:val="18"/>
                <w:szCs w:val="18"/>
              </w:rPr>
              <w:t>0.1343</w:t>
            </w:r>
          </w:p>
        </w:tc>
        <w:tc>
          <w:tcPr>
            <w:tcW w:w="948" w:type="pct"/>
            <w:shd w:val="clear" w:color="auto" w:fill="auto"/>
          </w:tcPr>
          <w:p w14:paraId="64FA7EEF">
            <w:pPr>
              <w:pStyle w:val="53"/>
              <w:spacing w:before="0" w:line="240" w:lineRule="auto"/>
              <w:ind w:right="115"/>
              <w:jc w:val="right"/>
              <w:rPr>
                <w:sz w:val="18"/>
                <w:szCs w:val="18"/>
              </w:rPr>
            </w:pPr>
            <w:r>
              <w:rPr>
                <w:sz w:val="18"/>
                <w:szCs w:val="18"/>
              </w:rPr>
              <w:t>-</w:t>
            </w:r>
            <w:r>
              <w:rPr>
                <w:spacing w:val="-2"/>
                <w:sz w:val="18"/>
                <w:szCs w:val="18"/>
              </w:rPr>
              <w:t>1.0337</w:t>
            </w:r>
          </w:p>
        </w:tc>
        <w:tc>
          <w:tcPr>
            <w:tcW w:w="807" w:type="pct"/>
            <w:shd w:val="clear" w:color="auto" w:fill="auto"/>
          </w:tcPr>
          <w:p w14:paraId="78E47DFF">
            <w:pPr>
              <w:pStyle w:val="53"/>
              <w:spacing w:before="0" w:line="240" w:lineRule="auto"/>
              <w:ind w:right="114"/>
              <w:jc w:val="right"/>
              <w:rPr>
                <w:sz w:val="18"/>
                <w:szCs w:val="18"/>
              </w:rPr>
            </w:pPr>
            <w:r>
              <w:rPr>
                <w:spacing w:val="-2"/>
                <w:sz w:val="18"/>
                <w:szCs w:val="18"/>
              </w:rPr>
              <w:t>0.8608</w:t>
            </w:r>
          </w:p>
        </w:tc>
      </w:tr>
      <w:tr w14:paraId="357DF1A1">
        <w:tblPrEx>
          <w:tblCellMar>
            <w:top w:w="0" w:type="dxa"/>
            <w:left w:w="0" w:type="dxa"/>
            <w:bottom w:w="0" w:type="dxa"/>
            <w:right w:w="0" w:type="dxa"/>
          </w:tblCellMar>
        </w:tblPrEx>
        <w:trPr>
          <w:trHeight w:val="239" w:hRule="atLeast"/>
        </w:trPr>
        <w:tc>
          <w:tcPr>
            <w:tcW w:w="980" w:type="pct"/>
          </w:tcPr>
          <w:p w14:paraId="762A24E3">
            <w:pPr>
              <w:pStyle w:val="53"/>
              <w:spacing w:before="0" w:line="240" w:lineRule="auto"/>
              <w:ind w:left="119"/>
              <w:rPr>
                <w:sz w:val="18"/>
                <w:szCs w:val="18"/>
              </w:rPr>
            </w:pPr>
            <w:r>
              <w:rPr>
                <w:spacing w:val="-5"/>
                <w:sz w:val="18"/>
                <w:szCs w:val="18"/>
              </w:rPr>
              <w:t>TR</w:t>
            </w:r>
          </w:p>
        </w:tc>
        <w:tc>
          <w:tcPr>
            <w:tcW w:w="728" w:type="pct"/>
          </w:tcPr>
          <w:p w14:paraId="49D60316">
            <w:pPr>
              <w:pStyle w:val="53"/>
              <w:spacing w:before="0" w:line="240" w:lineRule="auto"/>
              <w:ind w:right="116"/>
              <w:jc w:val="right"/>
              <w:rPr>
                <w:sz w:val="18"/>
                <w:szCs w:val="18"/>
              </w:rPr>
            </w:pPr>
            <w:r>
              <w:rPr>
                <w:spacing w:val="-2"/>
                <w:sz w:val="18"/>
                <w:szCs w:val="18"/>
              </w:rPr>
              <w:t>6.4663</w:t>
            </w:r>
          </w:p>
        </w:tc>
        <w:tc>
          <w:tcPr>
            <w:tcW w:w="727" w:type="pct"/>
          </w:tcPr>
          <w:p w14:paraId="32414F1D">
            <w:pPr>
              <w:pStyle w:val="53"/>
              <w:spacing w:before="0" w:line="240" w:lineRule="auto"/>
              <w:ind w:left="106"/>
              <w:jc w:val="center"/>
              <w:rPr>
                <w:sz w:val="18"/>
                <w:szCs w:val="18"/>
              </w:rPr>
            </w:pPr>
            <w:r>
              <w:rPr>
                <w:spacing w:val="-2"/>
                <w:sz w:val="18"/>
                <w:szCs w:val="18"/>
              </w:rPr>
              <w:t>4.7619</w:t>
            </w:r>
          </w:p>
        </w:tc>
        <w:tc>
          <w:tcPr>
            <w:tcW w:w="810" w:type="pct"/>
          </w:tcPr>
          <w:p w14:paraId="0E84E980">
            <w:pPr>
              <w:pStyle w:val="53"/>
              <w:spacing w:before="0" w:line="240" w:lineRule="auto"/>
              <w:ind w:right="115"/>
              <w:jc w:val="right"/>
              <w:rPr>
                <w:sz w:val="18"/>
                <w:szCs w:val="18"/>
              </w:rPr>
            </w:pPr>
            <w:r>
              <w:rPr>
                <w:spacing w:val="-2"/>
                <w:sz w:val="18"/>
                <w:szCs w:val="18"/>
              </w:rPr>
              <w:t>5.8502</w:t>
            </w:r>
          </w:p>
        </w:tc>
        <w:tc>
          <w:tcPr>
            <w:tcW w:w="948" w:type="pct"/>
          </w:tcPr>
          <w:p w14:paraId="1BFE7E70">
            <w:pPr>
              <w:pStyle w:val="53"/>
              <w:spacing w:before="0" w:line="240" w:lineRule="auto"/>
              <w:ind w:right="115"/>
              <w:jc w:val="right"/>
              <w:rPr>
                <w:sz w:val="18"/>
                <w:szCs w:val="18"/>
              </w:rPr>
            </w:pPr>
            <w:r>
              <w:rPr>
                <w:spacing w:val="-2"/>
                <w:sz w:val="18"/>
                <w:szCs w:val="18"/>
              </w:rPr>
              <w:t>0.3915</w:t>
            </w:r>
          </w:p>
        </w:tc>
        <w:tc>
          <w:tcPr>
            <w:tcW w:w="807" w:type="pct"/>
          </w:tcPr>
          <w:p w14:paraId="0D45453D">
            <w:pPr>
              <w:pStyle w:val="53"/>
              <w:spacing w:before="0" w:line="240" w:lineRule="auto"/>
              <w:ind w:right="114"/>
              <w:jc w:val="right"/>
              <w:rPr>
                <w:sz w:val="18"/>
                <w:szCs w:val="18"/>
              </w:rPr>
            </w:pPr>
            <w:r>
              <w:rPr>
                <w:spacing w:val="-2"/>
                <w:sz w:val="18"/>
                <w:szCs w:val="18"/>
              </w:rPr>
              <w:t>40.1466</w:t>
            </w:r>
          </w:p>
        </w:tc>
      </w:tr>
      <w:tr w14:paraId="33E79E8D">
        <w:tblPrEx>
          <w:tblCellMar>
            <w:top w:w="0" w:type="dxa"/>
            <w:left w:w="0" w:type="dxa"/>
            <w:bottom w:w="0" w:type="dxa"/>
            <w:right w:w="0" w:type="dxa"/>
          </w:tblCellMar>
        </w:tblPrEx>
        <w:trPr>
          <w:trHeight w:val="239" w:hRule="atLeast"/>
        </w:trPr>
        <w:tc>
          <w:tcPr>
            <w:tcW w:w="980" w:type="pct"/>
          </w:tcPr>
          <w:p w14:paraId="3BAB775E">
            <w:pPr>
              <w:pStyle w:val="53"/>
              <w:spacing w:before="0" w:line="240" w:lineRule="auto"/>
              <w:ind w:left="119"/>
              <w:rPr>
                <w:sz w:val="18"/>
                <w:szCs w:val="18"/>
              </w:rPr>
            </w:pPr>
            <w:r>
              <w:rPr>
                <w:spacing w:val="-5"/>
                <w:sz w:val="18"/>
                <w:szCs w:val="18"/>
              </w:rPr>
              <w:t>Ind</w:t>
            </w:r>
          </w:p>
        </w:tc>
        <w:tc>
          <w:tcPr>
            <w:tcW w:w="728" w:type="pct"/>
          </w:tcPr>
          <w:p w14:paraId="3C0F2EBC">
            <w:pPr>
              <w:pStyle w:val="53"/>
              <w:spacing w:before="0" w:line="240" w:lineRule="auto"/>
              <w:ind w:right="116"/>
              <w:jc w:val="right"/>
              <w:rPr>
                <w:sz w:val="18"/>
                <w:szCs w:val="18"/>
              </w:rPr>
            </w:pPr>
            <w:r>
              <w:rPr>
                <w:spacing w:val="-2"/>
                <w:sz w:val="18"/>
                <w:szCs w:val="18"/>
              </w:rPr>
              <w:t>32.0086</w:t>
            </w:r>
          </w:p>
        </w:tc>
        <w:tc>
          <w:tcPr>
            <w:tcW w:w="727" w:type="pct"/>
          </w:tcPr>
          <w:p w14:paraId="2D80B71E">
            <w:pPr>
              <w:pStyle w:val="53"/>
              <w:spacing w:before="0" w:line="240" w:lineRule="auto"/>
              <w:ind w:left="1"/>
              <w:jc w:val="center"/>
              <w:rPr>
                <w:sz w:val="18"/>
                <w:szCs w:val="18"/>
              </w:rPr>
            </w:pPr>
            <w:r>
              <w:rPr>
                <w:spacing w:val="-2"/>
                <w:sz w:val="18"/>
                <w:szCs w:val="18"/>
              </w:rPr>
              <w:t>31.0000</w:t>
            </w:r>
          </w:p>
        </w:tc>
        <w:tc>
          <w:tcPr>
            <w:tcW w:w="810" w:type="pct"/>
          </w:tcPr>
          <w:p w14:paraId="3DFDC50D">
            <w:pPr>
              <w:pStyle w:val="53"/>
              <w:spacing w:before="0" w:line="240" w:lineRule="auto"/>
              <w:ind w:right="115"/>
              <w:jc w:val="right"/>
              <w:rPr>
                <w:sz w:val="18"/>
                <w:szCs w:val="18"/>
              </w:rPr>
            </w:pPr>
            <w:r>
              <w:rPr>
                <w:spacing w:val="-2"/>
                <w:sz w:val="18"/>
                <w:szCs w:val="18"/>
              </w:rPr>
              <w:t>14.5066</w:t>
            </w:r>
          </w:p>
        </w:tc>
        <w:tc>
          <w:tcPr>
            <w:tcW w:w="948" w:type="pct"/>
          </w:tcPr>
          <w:p w14:paraId="4B7D64AE">
            <w:pPr>
              <w:pStyle w:val="53"/>
              <w:spacing w:before="0" w:line="240" w:lineRule="auto"/>
              <w:ind w:right="115"/>
              <w:jc w:val="right"/>
              <w:rPr>
                <w:sz w:val="18"/>
                <w:szCs w:val="18"/>
              </w:rPr>
            </w:pPr>
            <w:r>
              <w:rPr>
                <w:spacing w:val="-2"/>
                <w:sz w:val="18"/>
                <w:szCs w:val="18"/>
              </w:rPr>
              <w:t>0.0000</w:t>
            </w:r>
          </w:p>
        </w:tc>
        <w:tc>
          <w:tcPr>
            <w:tcW w:w="807" w:type="pct"/>
          </w:tcPr>
          <w:p w14:paraId="248C42B3">
            <w:pPr>
              <w:pStyle w:val="53"/>
              <w:spacing w:before="0" w:line="240" w:lineRule="auto"/>
              <w:ind w:right="114"/>
              <w:jc w:val="right"/>
              <w:rPr>
                <w:sz w:val="18"/>
                <w:szCs w:val="18"/>
              </w:rPr>
            </w:pPr>
            <w:r>
              <w:rPr>
                <w:spacing w:val="-2"/>
                <w:sz w:val="18"/>
                <w:szCs w:val="18"/>
              </w:rPr>
              <w:t>65.0000</w:t>
            </w:r>
          </w:p>
        </w:tc>
      </w:tr>
      <w:tr w14:paraId="09A6451A">
        <w:tblPrEx>
          <w:tblCellMar>
            <w:top w:w="0" w:type="dxa"/>
            <w:left w:w="0" w:type="dxa"/>
            <w:bottom w:w="0" w:type="dxa"/>
            <w:right w:w="0" w:type="dxa"/>
          </w:tblCellMar>
        </w:tblPrEx>
        <w:trPr>
          <w:trHeight w:val="239" w:hRule="atLeast"/>
        </w:trPr>
        <w:tc>
          <w:tcPr>
            <w:tcW w:w="980" w:type="pct"/>
          </w:tcPr>
          <w:p w14:paraId="57BA52AD">
            <w:pPr>
              <w:pStyle w:val="53"/>
              <w:spacing w:before="0" w:line="240" w:lineRule="auto"/>
              <w:ind w:left="119"/>
              <w:rPr>
                <w:sz w:val="18"/>
                <w:szCs w:val="18"/>
              </w:rPr>
            </w:pPr>
            <w:r>
              <w:rPr>
                <w:spacing w:val="-5"/>
                <w:sz w:val="18"/>
                <w:szCs w:val="18"/>
              </w:rPr>
              <w:t>Soe</w:t>
            </w:r>
          </w:p>
        </w:tc>
        <w:tc>
          <w:tcPr>
            <w:tcW w:w="728" w:type="pct"/>
          </w:tcPr>
          <w:p w14:paraId="22028D51">
            <w:pPr>
              <w:pStyle w:val="53"/>
              <w:spacing w:before="0" w:line="240" w:lineRule="auto"/>
              <w:ind w:right="116"/>
              <w:jc w:val="right"/>
              <w:rPr>
                <w:sz w:val="18"/>
                <w:szCs w:val="18"/>
              </w:rPr>
            </w:pPr>
            <w:r>
              <w:rPr>
                <w:spacing w:val="-2"/>
                <w:sz w:val="18"/>
                <w:szCs w:val="18"/>
              </w:rPr>
              <w:t>0.2327</w:t>
            </w:r>
          </w:p>
        </w:tc>
        <w:tc>
          <w:tcPr>
            <w:tcW w:w="727" w:type="pct"/>
          </w:tcPr>
          <w:p w14:paraId="56F4276E">
            <w:pPr>
              <w:pStyle w:val="53"/>
              <w:spacing w:before="0" w:line="240" w:lineRule="auto"/>
              <w:ind w:left="106"/>
              <w:jc w:val="center"/>
              <w:rPr>
                <w:sz w:val="18"/>
                <w:szCs w:val="18"/>
              </w:rPr>
            </w:pPr>
            <w:r>
              <w:rPr>
                <w:spacing w:val="-2"/>
                <w:sz w:val="18"/>
                <w:szCs w:val="18"/>
              </w:rPr>
              <w:t>0.0000</w:t>
            </w:r>
          </w:p>
        </w:tc>
        <w:tc>
          <w:tcPr>
            <w:tcW w:w="810" w:type="pct"/>
          </w:tcPr>
          <w:p w14:paraId="6F9979FB">
            <w:pPr>
              <w:pStyle w:val="53"/>
              <w:spacing w:before="0" w:line="240" w:lineRule="auto"/>
              <w:ind w:right="115"/>
              <w:jc w:val="right"/>
              <w:rPr>
                <w:sz w:val="18"/>
                <w:szCs w:val="18"/>
              </w:rPr>
            </w:pPr>
            <w:r>
              <w:rPr>
                <w:spacing w:val="-2"/>
                <w:sz w:val="18"/>
                <w:szCs w:val="18"/>
              </w:rPr>
              <w:t>0.4228</w:t>
            </w:r>
          </w:p>
        </w:tc>
        <w:tc>
          <w:tcPr>
            <w:tcW w:w="948" w:type="pct"/>
          </w:tcPr>
          <w:p w14:paraId="6DE975E9">
            <w:pPr>
              <w:pStyle w:val="53"/>
              <w:spacing w:before="0" w:line="240" w:lineRule="auto"/>
              <w:ind w:right="115"/>
              <w:jc w:val="right"/>
              <w:rPr>
                <w:sz w:val="18"/>
                <w:szCs w:val="18"/>
              </w:rPr>
            </w:pPr>
            <w:r>
              <w:rPr>
                <w:spacing w:val="-2"/>
                <w:sz w:val="18"/>
                <w:szCs w:val="18"/>
              </w:rPr>
              <w:t>0.0000</w:t>
            </w:r>
          </w:p>
        </w:tc>
        <w:tc>
          <w:tcPr>
            <w:tcW w:w="807" w:type="pct"/>
          </w:tcPr>
          <w:p w14:paraId="305D62DB">
            <w:pPr>
              <w:pStyle w:val="53"/>
              <w:spacing w:before="0" w:line="240" w:lineRule="auto"/>
              <w:ind w:right="114"/>
              <w:jc w:val="right"/>
              <w:rPr>
                <w:sz w:val="18"/>
                <w:szCs w:val="18"/>
              </w:rPr>
            </w:pPr>
            <w:r>
              <w:rPr>
                <w:spacing w:val="-2"/>
                <w:sz w:val="18"/>
                <w:szCs w:val="18"/>
              </w:rPr>
              <w:t>1.0000</w:t>
            </w:r>
          </w:p>
        </w:tc>
      </w:tr>
      <w:tr w14:paraId="50BFA514">
        <w:tblPrEx>
          <w:tblCellMar>
            <w:top w:w="0" w:type="dxa"/>
            <w:left w:w="0" w:type="dxa"/>
            <w:bottom w:w="0" w:type="dxa"/>
            <w:right w:w="0" w:type="dxa"/>
          </w:tblCellMar>
        </w:tblPrEx>
        <w:trPr>
          <w:trHeight w:val="239" w:hRule="atLeast"/>
        </w:trPr>
        <w:tc>
          <w:tcPr>
            <w:tcW w:w="980" w:type="pct"/>
          </w:tcPr>
          <w:p w14:paraId="4AB5AC3E">
            <w:pPr>
              <w:pStyle w:val="53"/>
              <w:spacing w:before="0" w:line="240" w:lineRule="auto"/>
              <w:ind w:left="119"/>
              <w:rPr>
                <w:sz w:val="18"/>
                <w:szCs w:val="18"/>
              </w:rPr>
            </w:pPr>
            <w:r>
              <w:rPr>
                <w:spacing w:val="-4"/>
                <w:sz w:val="18"/>
                <w:szCs w:val="18"/>
              </w:rPr>
              <w:t>Dual</w:t>
            </w:r>
          </w:p>
        </w:tc>
        <w:tc>
          <w:tcPr>
            <w:tcW w:w="728" w:type="pct"/>
          </w:tcPr>
          <w:p w14:paraId="369DB066">
            <w:pPr>
              <w:pStyle w:val="53"/>
              <w:spacing w:before="0" w:line="240" w:lineRule="auto"/>
              <w:ind w:right="116"/>
              <w:jc w:val="right"/>
              <w:rPr>
                <w:sz w:val="18"/>
                <w:szCs w:val="18"/>
              </w:rPr>
            </w:pPr>
            <w:r>
              <w:rPr>
                <w:spacing w:val="-2"/>
                <w:sz w:val="18"/>
                <w:szCs w:val="18"/>
              </w:rPr>
              <w:t>0.3145</w:t>
            </w:r>
          </w:p>
        </w:tc>
        <w:tc>
          <w:tcPr>
            <w:tcW w:w="727" w:type="pct"/>
          </w:tcPr>
          <w:p w14:paraId="5A8505C8">
            <w:pPr>
              <w:pStyle w:val="53"/>
              <w:spacing w:before="0" w:line="240" w:lineRule="auto"/>
              <w:ind w:left="106"/>
              <w:jc w:val="center"/>
              <w:rPr>
                <w:sz w:val="18"/>
                <w:szCs w:val="18"/>
              </w:rPr>
            </w:pPr>
            <w:r>
              <w:rPr>
                <w:spacing w:val="-2"/>
                <w:sz w:val="18"/>
                <w:szCs w:val="18"/>
              </w:rPr>
              <w:t>0.0000</w:t>
            </w:r>
          </w:p>
        </w:tc>
        <w:tc>
          <w:tcPr>
            <w:tcW w:w="810" w:type="pct"/>
          </w:tcPr>
          <w:p w14:paraId="3C3BA37F">
            <w:pPr>
              <w:pStyle w:val="53"/>
              <w:spacing w:before="0" w:line="240" w:lineRule="auto"/>
              <w:ind w:right="115"/>
              <w:jc w:val="right"/>
              <w:rPr>
                <w:sz w:val="18"/>
                <w:szCs w:val="18"/>
              </w:rPr>
            </w:pPr>
            <w:r>
              <w:rPr>
                <w:spacing w:val="-2"/>
                <w:sz w:val="18"/>
                <w:szCs w:val="18"/>
              </w:rPr>
              <w:t>0.4646</w:t>
            </w:r>
          </w:p>
        </w:tc>
        <w:tc>
          <w:tcPr>
            <w:tcW w:w="948" w:type="pct"/>
          </w:tcPr>
          <w:p w14:paraId="56FC10CF">
            <w:pPr>
              <w:pStyle w:val="53"/>
              <w:spacing w:before="0" w:line="240" w:lineRule="auto"/>
              <w:ind w:right="115"/>
              <w:jc w:val="right"/>
              <w:rPr>
                <w:sz w:val="18"/>
                <w:szCs w:val="18"/>
              </w:rPr>
            </w:pPr>
            <w:r>
              <w:rPr>
                <w:spacing w:val="-2"/>
                <w:sz w:val="18"/>
                <w:szCs w:val="18"/>
              </w:rPr>
              <w:t>0.0000</w:t>
            </w:r>
          </w:p>
        </w:tc>
        <w:tc>
          <w:tcPr>
            <w:tcW w:w="807" w:type="pct"/>
          </w:tcPr>
          <w:p w14:paraId="1F1DAE97">
            <w:pPr>
              <w:pStyle w:val="53"/>
              <w:spacing w:before="0" w:line="240" w:lineRule="auto"/>
              <w:ind w:right="114"/>
              <w:jc w:val="right"/>
              <w:rPr>
                <w:sz w:val="18"/>
                <w:szCs w:val="18"/>
              </w:rPr>
            </w:pPr>
            <w:r>
              <w:rPr>
                <w:spacing w:val="-2"/>
                <w:sz w:val="18"/>
                <w:szCs w:val="18"/>
              </w:rPr>
              <w:t>1.0000</w:t>
            </w:r>
          </w:p>
        </w:tc>
      </w:tr>
      <w:tr w14:paraId="09B2E6EE">
        <w:tblPrEx>
          <w:tblCellMar>
            <w:top w:w="0" w:type="dxa"/>
            <w:left w:w="0" w:type="dxa"/>
            <w:bottom w:w="0" w:type="dxa"/>
            <w:right w:w="0" w:type="dxa"/>
          </w:tblCellMar>
        </w:tblPrEx>
        <w:trPr>
          <w:trHeight w:val="239" w:hRule="atLeast"/>
        </w:trPr>
        <w:tc>
          <w:tcPr>
            <w:tcW w:w="980" w:type="pct"/>
          </w:tcPr>
          <w:p w14:paraId="632CE261">
            <w:pPr>
              <w:pStyle w:val="53"/>
              <w:spacing w:before="0" w:line="240" w:lineRule="auto"/>
              <w:ind w:left="119"/>
              <w:rPr>
                <w:sz w:val="18"/>
                <w:szCs w:val="18"/>
              </w:rPr>
            </w:pPr>
            <w:r>
              <w:rPr>
                <w:spacing w:val="-2"/>
                <w:sz w:val="18"/>
                <w:szCs w:val="18"/>
              </w:rPr>
              <w:t>Indep</w:t>
            </w:r>
          </w:p>
        </w:tc>
        <w:tc>
          <w:tcPr>
            <w:tcW w:w="728" w:type="pct"/>
          </w:tcPr>
          <w:p w14:paraId="4BF59594">
            <w:pPr>
              <w:pStyle w:val="53"/>
              <w:spacing w:before="0" w:line="240" w:lineRule="auto"/>
              <w:ind w:right="116"/>
              <w:jc w:val="right"/>
              <w:rPr>
                <w:sz w:val="18"/>
                <w:szCs w:val="18"/>
              </w:rPr>
            </w:pPr>
            <w:r>
              <w:rPr>
                <w:spacing w:val="-2"/>
                <w:sz w:val="18"/>
                <w:szCs w:val="18"/>
              </w:rPr>
              <w:t>0.3820</w:t>
            </w:r>
          </w:p>
        </w:tc>
        <w:tc>
          <w:tcPr>
            <w:tcW w:w="727" w:type="pct"/>
          </w:tcPr>
          <w:p w14:paraId="27782FA6">
            <w:pPr>
              <w:pStyle w:val="53"/>
              <w:spacing w:before="0" w:line="240" w:lineRule="auto"/>
              <w:ind w:left="106"/>
              <w:jc w:val="center"/>
              <w:rPr>
                <w:sz w:val="18"/>
                <w:szCs w:val="18"/>
              </w:rPr>
            </w:pPr>
            <w:r>
              <w:rPr>
                <w:spacing w:val="-2"/>
                <w:sz w:val="18"/>
                <w:szCs w:val="18"/>
              </w:rPr>
              <w:t>0.3636</w:t>
            </w:r>
          </w:p>
        </w:tc>
        <w:tc>
          <w:tcPr>
            <w:tcW w:w="810" w:type="pct"/>
          </w:tcPr>
          <w:p w14:paraId="48C8C7D3">
            <w:pPr>
              <w:pStyle w:val="53"/>
              <w:spacing w:before="0" w:line="240" w:lineRule="auto"/>
              <w:ind w:right="115"/>
              <w:jc w:val="right"/>
              <w:rPr>
                <w:sz w:val="18"/>
                <w:szCs w:val="18"/>
              </w:rPr>
            </w:pPr>
            <w:r>
              <w:rPr>
                <w:spacing w:val="-2"/>
                <w:sz w:val="18"/>
                <w:szCs w:val="18"/>
              </w:rPr>
              <w:t>0.0582</w:t>
            </w:r>
          </w:p>
        </w:tc>
        <w:tc>
          <w:tcPr>
            <w:tcW w:w="948" w:type="pct"/>
          </w:tcPr>
          <w:p w14:paraId="59A6BF4B">
            <w:pPr>
              <w:pStyle w:val="53"/>
              <w:spacing w:before="0" w:line="240" w:lineRule="auto"/>
              <w:ind w:right="115"/>
              <w:jc w:val="right"/>
              <w:rPr>
                <w:sz w:val="18"/>
                <w:szCs w:val="18"/>
              </w:rPr>
            </w:pPr>
            <w:r>
              <w:rPr>
                <w:spacing w:val="-2"/>
                <w:sz w:val="18"/>
                <w:szCs w:val="18"/>
              </w:rPr>
              <w:t>0.2222</w:t>
            </w:r>
          </w:p>
        </w:tc>
        <w:tc>
          <w:tcPr>
            <w:tcW w:w="807" w:type="pct"/>
          </w:tcPr>
          <w:p w14:paraId="6D0591AF">
            <w:pPr>
              <w:pStyle w:val="53"/>
              <w:spacing w:before="0" w:line="240" w:lineRule="auto"/>
              <w:ind w:right="114"/>
              <w:jc w:val="right"/>
              <w:rPr>
                <w:sz w:val="18"/>
                <w:szCs w:val="18"/>
              </w:rPr>
            </w:pPr>
            <w:r>
              <w:rPr>
                <w:spacing w:val="-2"/>
                <w:sz w:val="18"/>
                <w:szCs w:val="18"/>
              </w:rPr>
              <w:t>0.6667</w:t>
            </w:r>
          </w:p>
        </w:tc>
      </w:tr>
      <w:tr w14:paraId="31DAAEAD">
        <w:tblPrEx>
          <w:tblCellMar>
            <w:top w:w="0" w:type="dxa"/>
            <w:left w:w="0" w:type="dxa"/>
            <w:bottom w:w="0" w:type="dxa"/>
            <w:right w:w="0" w:type="dxa"/>
          </w:tblCellMar>
        </w:tblPrEx>
        <w:trPr>
          <w:trHeight w:val="239" w:hRule="atLeast"/>
        </w:trPr>
        <w:tc>
          <w:tcPr>
            <w:tcW w:w="980" w:type="pct"/>
          </w:tcPr>
          <w:p w14:paraId="2F51F1C8">
            <w:pPr>
              <w:pStyle w:val="53"/>
              <w:spacing w:before="0" w:line="240" w:lineRule="auto"/>
              <w:ind w:left="119"/>
              <w:rPr>
                <w:sz w:val="18"/>
                <w:szCs w:val="18"/>
              </w:rPr>
            </w:pPr>
            <w:r>
              <w:rPr>
                <w:spacing w:val="-5"/>
                <w:sz w:val="18"/>
                <w:szCs w:val="18"/>
              </w:rPr>
              <w:t>Lev</w:t>
            </w:r>
          </w:p>
        </w:tc>
        <w:tc>
          <w:tcPr>
            <w:tcW w:w="728" w:type="pct"/>
          </w:tcPr>
          <w:p w14:paraId="75B55DC5">
            <w:pPr>
              <w:pStyle w:val="53"/>
              <w:spacing w:before="0" w:line="240" w:lineRule="auto"/>
              <w:ind w:right="116"/>
              <w:jc w:val="right"/>
              <w:rPr>
                <w:sz w:val="18"/>
                <w:szCs w:val="18"/>
              </w:rPr>
            </w:pPr>
            <w:r>
              <w:rPr>
                <w:spacing w:val="-2"/>
                <w:sz w:val="18"/>
                <w:szCs w:val="18"/>
              </w:rPr>
              <w:t>0.4745</w:t>
            </w:r>
          </w:p>
        </w:tc>
        <w:tc>
          <w:tcPr>
            <w:tcW w:w="727" w:type="pct"/>
          </w:tcPr>
          <w:p w14:paraId="49DB3FC8">
            <w:pPr>
              <w:pStyle w:val="53"/>
              <w:spacing w:before="0" w:line="240" w:lineRule="auto"/>
              <w:ind w:left="106"/>
              <w:jc w:val="center"/>
              <w:rPr>
                <w:sz w:val="18"/>
                <w:szCs w:val="18"/>
              </w:rPr>
            </w:pPr>
            <w:r>
              <w:rPr>
                <w:spacing w:val="-2"/>
                <w:sz w:val="18"/>
                <w:szCs w:val="18"/>
              </w:rPr>
              <w:t>0.4636</w:t>
            </w:r>
          </w:p>
        </w:tc>
        <w:tc>
          <w:tcPr>
            <w:tcW w:w="810" w:type="pct"/>
          </w:tcPr>
          <w:p w14:paraId="7B2AC72D">
            <w:pPr>
              <w:pStyle w:val="53"/>
              <w:spacing w:before="0" w:line="240" w:lineRule="auto"/>
              <w:ind w:right="115"/>
              <w:jc w:val="right"/>
              <w:rPr>
                <w:sz w:val="18"/>
                <w:szCs w:val="18"/>
              </w:rPr>
            </w:pPr>
            <w:r>
              <w:rPr>
                <w:spacing w:val="-2"/>
                <w:sz w:val="18"/>
                <w:szCs w:val="18"/>
              </w:rPr>
              <w:t>0.2422</w:t>
            </w:r>
          </w:p>
        </w:tc>
        <w:tc>
          <w:tcPr>
            <w:tcW w:w="948" w:type="pct"/>
          </w:tcPr>
          <w:p w14:paraId="3327FC4A">
            <w:pPr>
              <w:pStyle w:val="53"/>
              <w:spacing w:before="0" w:line="240" w:lineRule="auto"/>
              <w:ind w:right="115"/>
              <w:jc w:val="right"/>
              <w:rPr>
                <w:sz w:val="18"/>
                <w:szCs w:val="18"/>
              </w:rPr>
            </w:pPr>
            <w:r>
              <w:rPr>
                <w:spacing w:val="-2"/>
                <w:sz w:val="18"/>
                <w:szCs w:val="18"/>
              </w:rPr>
              <w:t>0.0216</w:t>
            </w:r>
          </w:p>
        </w:tc>
        <w:tc>
          <w:tcPr>
            <w:tcW w:w="807" w:type="pct"/>
          </w:tcPr>
          <w:p w14:paraId="20066EF0">
            <w:pPr>
              <w:pStyle w:val="53"/>
              <w:spacing w:before="0" w:line="240" w:lineRule="auto"/>
              <w:ind w:right="114"/>
              <w:jc w:val="right"/>
              <w:rPr>
                <w:sz w:val="18"/>
                <w:szCs w:val="18"/>
              </w:rPr>
            </w:pPr>
            <w:r>
              <w:rPr>
                <w:spacing w:val="-2"/>
                <w:sz w:val="18"/>
                <w:szCs w:val="18"/>
              </w:rPr>
              <w:t>2.5785</w:t>
            </w:r>
          </w:p>
        </w:tc>
      </w:tr>
      <w:tr w14:paraId="4BEA01D7">
        <w:tblPrEx>
          <w:tblCellMar>
            <w:top w:w="0" w:type="dxa"/>
            <w:left w:w="0" w:type="dxa"/>
            <w:bottom w:w="0" w:type="dxa"/>
            <w:right w:w="0" w:type="dxa"/>
          </w:tblCellMar>
        </w:tblPrEx>
        <w:trPr>
          <w:trHeight w:val="239" w:hRule="atLeast"/>
        </w:trPr>
        <w:tc>
          <w:tcPr>
            <w:tcW w:w="980" w:type="pct"/>
          </w:tcPr>
          <w:p w14:paraId="2D6BF33F">
            <w:pPr>
              <w:pStyle w:val="53"/>
              <w:spacing w:before="0" w:line="240" w:lineRule="auto"/>
              <w:ind w:left="119"/>
              <w:rPr>
                <w:sz w:val="18"/>
                <w:szCs w:val="18"/>
              </w:rPr>
            </w:pPr>
            <w:r>
              <w:rPr>
                <w:spacing w:val="-4"/>
                <w:sz w:val="18"/>
                <w:szCs w:val="18"/>
              </w:rPr>
              <w:t>Size</w:t>
            </w:r>
          </w:p>
        </w:tc>
        <w:tc>
          <w:tcPr>
            <w:tcW w:w="728" w:type="pct"/>
          </w:tcPr>
          <w:p w14:paraId="215F8DE8">
            <w:pPr>
              <w:pStyle w:val="53"/>
              <w:spacing w:before="0" w:line="240" w:lineRule="auto"/>
              <w:ind w:right="116"/>
              <w:jc w:val="right"/>
              <w:rPr>
                <w:sz w:val="18"/>
                <w:szCs w:val="18"/>
              </w:rPr>
            </w:pPr>
            <w:r>
              <w:rPr>
                <w:spacing w:val="-2"/>
                <w:sz w:val="18"/>
                <w:szCs w:val="18"/>
              </w:rPr>
              <w:t>9.8079</w:t>
            </w:r>
          </w:p>
        </w:tc>
        <w:tc>
          <w:tcPr>
            <w:tcW w:w="727" w:type="pct"/>
          </w:tcPr>
          <w:p w14:paraId="69D3C4D6">
            <w:pPr>
              <w:pStyle w:val="53"/>
              <w:spacing w:before="0" w:line="240" w:lineRule="auto"/>
              <w:ind w:left="106"/>
              <w:jc w:val="center"/>
              <w:rPr>
                <w:sz w:val="18"/>
                <w:szCs w:val="18"/>
              </w:rPr>
            </w:pPr>
            <w:r>
              <w:rPr>
                <w:spacing w:val="-2"/>
                <w:sz w:val="18"/>
                <w:szCs w:val="18"/>
              </w:rPr>
              <w:t>9.7201</w:t>
            </w:r>
          </w:p>
        </w:tc>
        <w:tc>
          <w:tcPr>
            <w:tcW w:w="810" w:type="pct"/>
          </w:tcPr>
          <w:p w14:paraId="7C33317C">
            <w:pPr>
              <w:pStyle w:val="53"/>
              <w:spacing w:before="0" w:line="240" w:lineRule="auto"/>
              <w:ind w:right="115"/>
              <w:jc w:val="right"/>
              <w:rPr>
                <w:sz w:val="18"/>
                <w:szCs w:val="18"/>
              </w:rPr>
            </w:pPr>
            <w:r>
              <w:rPr>
                <w:spacing w:val="-2"/>
                <w:sz w:val="18"/>
                <w:szCs w:val="18"/>
              </w:rPr>
              <w:t>0.6482</w:t>
            </w:r>
          </w:p>
        </w:tc>
        <w:tc>
          <w:tcPr>
            <w:tcW w:w="948" w:type="pct"/>
          </w:tcPr>
          <w:p w14:paraId="52FE69E4">
            <w:pPr>
              <w:pStyle w:val="53"/>
              <w:spacing w:before="0" w:line="240" w:lineRule="auto"/>
              <w:ind w:right="115"/>
              <w:jc w:val="right"/>
              <w:rPr>
                <w:sz w:val="18"/>
                <w:szCs w:val="18"/>
              </w:rPr>
            </w:pPr>
            <w:r>
              <w:rPr>
                <w:spacing w:val="-2"/>
                <w:sz w:val="18"/>
                <w:szCs w:val="18"/>
              </w:rPr>
              <w:t>8.2894</w:t>
            </w:r>
          </w:p>
        </w:tc>
        <w:tc>
          <w:tcPr>
            <w:tcW w:w="807" w:type="pct"/>
          </w:tcPr>
          <w:p w14:paraId="053135CF">
            <w:pPr>
              <w:pStyle w:val="53"/>
              <w:spacing w:before="0" w:line="240" w:lineRule="auto"/>
              <w:ind w:right="114"/>
              <w:jc w:val="right"/>
              <w:rPr>
                <w:sz w:val="18"/>
                <w:szCs w:val="18"/>
              </w:rPr>
            </w:pPr>
            <w:r>
              <w:rPr>
                <w:spacing w:val="-2"/>
                <w:sz w:val="18"/>
                <w:szCs w:val="18"/>
              </w:rPr>
              <w:t>12.1593</w:t>
            </w:r>
          </w:p>
        </w:tc>
      </w:tr>
      <w:tr w14:paraId="569C5AF4">
        <w:tblPrEx>
          <w:tblCellMar>
            <w:top w:w="0" w:type="dxa"/>
            <w:left w:w="0" w:type="dxa"/>
            <w:bottom w:w="0" w:type="dxa"/>
            <w:right w:w="0" w:type="dxa"/>
          </w:tblCellMar>
        </w:tblPrEx>
        <w:trPr>
          <w:trHeight w:val="245" w:hRule="atLeast"/>
        </w:trPr>
        <w:tc>
          <w:tcPr>
            <w:tcW w:w="980" w:type="pct"/>
            <w:tcBorders>
              <w:bottom w:val="single" w:color="000000" w:sz="4" w:space="0"/>
            </w:tcBorders>
          </w:tcPr>
          <w:p w14:paraId="6B55856C">
            <w:pPr>
              <w:pStyle w:val="53"/>
              <w:spacing w:before="0" w:line="240" w:lineRule="auto"/>
              <w:ind w:left="119"/>
              <w:rPr>
                <w:sz w:val="18"/>
                <w:szCs w:val="18"/>
              </w:rPr>
            </w:pPr>
            <w:r>
              <w:rPr>
                <w:spacing w:val="-4"/>
                <w:sz w:val="18"/>
                <w:szCs w:val="18"/>
              </w:rPr>
              <w:t>Big4</w:t>
            </w:r>
          </w:p>
        </w:tc>
        <w:tc>
          <w:tcPr>
            <w:tcW w:w="728" w:type="pct"/>
            <w:tcBorders>
              <w:bottom w:val="single" w:color="000000" w:sz="4" w:space="0"/>
            </w:tcBorders>
          </w:tcPr>
          <w:p w14:paraId="4AEC64CA">
            <w:pPr>
              <w:pStyle w:val="53"/>
              <w:spacing w:before="0" w:line="240" w:lineRule="auto"/>
              <w:ind w:right="116"/>
              <w:jc w:val="right"/>
              <w:rPr>
                <w:sz w:val="18"/>
                <w:szCs w:val="18"/>
              </w:rPr>
            </w:pPr>
            <w:r>
              <w:rPr>
                <w:spacing w:val="-2"/>
                <w:sz w:val="18"/>
                <w:szCs w:val="18"/>
              </w:rPr>
              <w:t>0.9246</w:t>
            </w:r>
          </w:p>
        </w:tc>
        <w:tc>
          <w:tcPr>
            <w:tcW w:w="727" w:type="pct"/>
            <w:tcBorders>
              <w:bottom w:val="single" w:color="000000" w:sz="4" w:space="0"/>
            </w:tcBorders>
          </w:tcPr>
          <w:p w14:paraId="69E36A3A">
            <w:pPr>
              <w:pStyle w:val="53"/>
              <w:spacing w:before="0" w:line="240" w:lineRule="auto"/>
              <w:ind w:left="106"/>
              <w:jc w:val="center"/>
              <w:rPr>
                <w:sz w:val="18"/>
                <w:szCs w:val="18"/>
              </w:rPr>
            </w:pPr>
            <w:r>
              <w:rPr>
                <w:spacing w:val="-2"/>
                <w:sz w:val="18"/>
                <w:szCs w:val="18"/>
              </w:rPr>
              <w:t>1.0000</w:t>
            </w:r>
          </w:p>
        </w:tc>
        <w:tc>
          <w:tcPr>
            <w:tcW w:w="810" w:type="pct"/>
            <w:tcBorders>
              <w:bottom w:val="single" w:color="000000" w:sz="4" w:space="0"/>
            </w:tcBorders>
          </w:tcPr>
          <w:p w14:paraId="546F32E6">
            <w:pPr>
              <w:pStyle w:val="53"/>
              <w:spacing w:before="0" w:line="240" w:lineRule="auto"/>
              <w:ind w:right="115"/>
              <w:jc w:val="right"/>
              <w:rPr>
                <w:sz w:val="18"/>
                <w:szCs w:val="18"/>
              </w:rPr>
            </w:pPr>
            <w:r>
              <w:rPr>
                <w:spacing w:val="-2"/>
                <w:sz w:val="18"/>
                <w:szCs w:val="18"/>
              </w:rPr>
              <w:t>0.2642</w:t>
            </w:r>
          </w:p>
        </w:tc>
        <w:tc>
          <w:tcPr>
            <w:tcW w:w="948" w:type="pct"/>
            <w:tcBorders>
              <w:bottom w:val="single" w:color="000000" w:sz="4" w:space="0"/>
            </w:tcBorders>
          </w:tcPr>
          <w:p w14:paraId="490076BF">
            <w:pPr>
              <w:pStyle w:val="53"/>
              <w:spacing w:before="0" w:line="240" w:lineRule="auto"/>
              <w:ind w:right="115"/>
              <w:jc w:val="right"/>
              <w:rPr>
                <w:sz w:val="18"/>
                <w:szCs w:val="18"/>
              </w:rPr>
            </w:pPr>
            <w:r>
              <w:rPr>
                <w:spacing w:val="-2"/>
                <w:sz w:val="18"/>
                <w:szCs w:val="18"/>
              </w:rPr>
              <w:t>0.0000</w:t>
            </w:r>
          </w:p>
        </w:tc>
        <w:tc>
          <w:tcPr>
            <w:tcW w:w="807" w:type="pct"/>
            <w:tcBorders>
              <w:bottom w:val="single" w:color="000000" w:sz="4" w:space="0"/>
            </w:tcBorders>
          </w:tcPr>
          <w:p w14:paraId="31D86B62">
            <w:pPr>
              <w:pStyle w:val="53"/>
              <w:spacing w:before="0" w:line="240" w:lineRule="auto"/>
              <w:ind w:right="114"/>
              <w:jc w:val="right"/>
              <w:rPr>
                <w:sz w:val="18"/>
                <w:szCs w:val="18"/>
              </w:rPr>
            </w:pPr>
            <w:r>
              <w:rPr>
                <w:spacing w:val="-2"/>
                <w:sz w:val="18"/>
                <w:szCs w:val="18"/>
              </w:rPr>
              <w:t>1.0000</w:t>
            </w:r>
          </w:p>
        </w:tc>
      </w:tr>
    </w:tbl>
    <w:p w14:paraId="475A2000">
      <w:pPr>
        <w:outlineLvl w:val="1"/>
        <w:rPr>
          <w:rFonts w:ascii="Times New Roman" w:hAnsi="Times New Roman" w:eastAsia="宋体" w:cs="Times New Roman"/>
          <w:b/>
          <w:bCs/>
          <w:sz w:val="24"/>
          <w:szCs w:val="24"/>
        </w:rPr>
      </w:pPr>
      <w:bookmarkStart w:id="16" w:name="_Toc11202"/>
      <w:r>
        <w:rPr>
          <w:rFonts w:hint="eastAsia" w:ascii="Times New Roman" w:hAnsi="Times New Roman" w:eastAsia="宋体" w:cs="Times New Roman"/>
          <w:b/>
          <w:bCs/>
          <w:sz w:val="24"/>
          <w:szCs w:val="24"/>
        </w:rPr>
        <w:t>（二）新闻发布日与交易日不一致对股票异常收益率的影响</w:t>
      </w:r>
      <w:bookmarkEnd w:id="16"/>
    </w:p>
    <w:p w14:paraId="678A8646">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表4显示了OLS回归的估计结果，其中因变量为累计异常收益率（Cumulative Abnormal Return , CAR），主要解释变量为新闻发布时间与交易日是否一致（mismatch），同时控制了一系列财务与市场特征变量。</w:t>
      </w:r>
    </w:p>
    <w:tbl>
      <w:tblPr>
        <w:tblStyle w:val="22"/>
        <w:tblpPr w:leftFromText="180" w:rightFromText="180" w:vertAnchor="text" w:horzAnchor="margin" w:tblpXSpec="center" w:tblpY="207"/>
        <w:tblW w:w="4410" w:type="pct"/>
        <w:tblInd w:w="0" w:type="dxa"/>
        <w:tblLayout w:type="autofit"/>
        <w:tblCellMar>
          <w:top w:w="0" w:type="dxa"/>
          <w:left w:w="0" w:type="dxa"/>
          <w:bottom w:w="0" w:type="dxa"/>
          <w:right w:w="0" w:type="dxa"/>
        </w:tblCellMar>
      </w:tblPr>
      <w:tblGrid>
        <w:gridCol w:w="1847"/>
        <w:gridCol w:w="2103"/>
        <w:gridCol w:w="1978"/>
        <w:gridCol w:w="1872"/>
      </w:tblGrid>
      <w:tr w14:paraId="79939B88">
        <w:tblPrEx>
          <w:tblCellMar>
            <w:top w:w="0" w:type="dxa"/>
            <w:left w:w="0" w:type="dxa"/>
            <w:bottom w:w="0" w:type="dxa"/>
            <w:right w:w="0" w:type="dxa"/>
          </w:tblCellMar>
        </w:tblPrEx>
        <w:trPr>
          <w:trHeight w:val="225" w:hRule="atLeast"/>
        </w:trPr>
        <w:tc>
          <w:tcPr>
            <w:tcW w:w="5000" w:type="pct"/>
            <w:gridSpan w:val="4"/>
            <w:tcBorders>
              <w:bottom w:val="single" w:color="000000" w:sz="4" w:space="0"/>
            </w:tcBorders>
          </w:tcPr>
          <w:p w14:paraId="484E294F">
            <w:pPr>
              <w:pStyle w:val="53"/>
              <w:spacing w:before="0" w:line="240" w:lineRule="auto"/>
              <w:ind w:right="119"/>
              <w:jc w:val="center"/>
              <w:rPr>
                <w:sz w:val="18"/>
                <w:szCs w:val="18"/>
              </w:rPr>
            </w:pPr>
            <w:r>
              <w:rPr>
                <w:rFonts w:hint="eastAsia" w:eastAsia="宋体"/>
                <w:sz w:val="21"/>
                <w:szCs w:val="21"/>
              </w:rPr>
              <w:t>表4 新闻发布日期非交易日对累计异常收益率的影响</w:t>
            </w:r>
          </w:p>
        </w:tc>
      </w:tr>
      <w:tr w14:paraId="212E066D">
        <w:tblPrEx>
          <w:tblCellMar>
            <w:top w:w="0" w:type="dxa"/>
            <w:left w:w="0" w:type="dxa"/>
            <w:bottom w:w="0" w:type="dxa"/>
            <w:right w:w="0" w:type="dxa"/>
          </w:tblCellMar>
        </w:tblPrEx>
        <w:trPr>
          <w:trHeight w:val="225" w:hRule="atLeast"/>
        </w:trPr>
        <w:tc>
          <w:tcPr>
            <w:tcW w:w="1184" w:type="pct"/>
            <w:tcBorders>
              <w:top w:val="single" w:color="000000" w:sz="4" w:space="0"/>
              <w:bottom w:val="single" w:color="000000" w:sz="4" w:space="0"/>
            </w:tcBorders>
          </w:tcPr>
          <w:p w14:paraId="2EC29676">
            <w:pPr>
              <w:pStyle w:val="53"/>
              <w:spacing w:before="0" w:line="240" w:lineRule="auto"/>
              <w:ind w:left="119"/>
              <w:rPr>
                <w:rFonts w:ascii="宋体" w:eastAsia="宋体"/>
                <w:sz w:val="18"/>
                <w:szCs w:val="18"/>
              </w:rPr>
            </w:pPr>
            <w:r>
              <w:rPr>
                <w:rFonts w:ascii="宋体" w:eastAsia="宋体"/>
                <w:spacing w:val="-5"/>
                <w:sz w:val="18"/>
                <w:szCs w:val="18"/>
              </w:rPr>
              <w:t>变量</w:t>
            </w:r>
          </w:p>
        </w:tc>
        <w:tc>
          <w:tcPr>
            <w:tcW w:w="1348" w:type="pct"/>
            <w:tcBorders>
              <w:top w:val="single" w:color="000000" w:sz="4" w:space="0"/>
              <w:bottom w:val="single" w:color="000000" w:sz="4" w:space="0"/>
            </w:tcBorders>
          </w:tcPr>
          <w:p w14:paraId="7A12EFA0">
            <w:pPr>
              <w:pStyle w:val="53"/>
              <w:spacing w:before="0" w:line="240" w:lineRule="auto"/>
              <w:ind w:right="118"/>
              <w:jc w:val="right"/>
              <w:rPr>
                <w:rFonts w:ascii="宋体" w:eastAsia="宋体"/>
                <w:sz w:val="18"/>
                <w:szCs w:val="18"/>
              </w:rPr>
            </w:pPr>
            <w:r>
              <w:rPr>
                <w:rFonts w:ascii="宋体" w:eastAsia="宋体"/>
                <w:spacing w:val="-5"/>
                <w:sz w:val="18"/>
                <w:szCs w:val="18"/>
              </w:rPr>
              <w:t>系数</w:t>
            </w:r>
          </w:p>
        </w:tc>
        <w:tc>
          <w:tcPr>
            <w:tcW w:w="1268" w:type="pct"/>
            <w:tcBorders>
              <w:top w:val="single" w:color="000000" w:sz="4" w:space="0"/>
              <w:bottom w:val="single" w:color="000000" w:sz="4" w:space="0"/>
            </w:tcBorders>
          </w:tcPr>
          <w:p w14:paraId="437FC742">
            <w:pPr>
              <w:pStyle w:val="53"/>
              <w:spacing w:before="0" w:line="240" w:lineRule="auto"/>
              <w:ind w:right="118"/>
              <w:jc w:val="right"/>
              <w:rPr>
                <w:rFonts w:ascii="宋体" w:eastAsia="宋体"/>
                <w:sz w:val="18"/>
                <w:szCs w:val="18"/>
              </w:rPr>
            </w:pPr>
            <w:r>
              <w:rPr>
                <w:rFonts w:ascii="宋体" w:eastAsia="宋体"/>
                <w:spacing w:val="-4"/>
                <w:sz w:val="18"/>
                <w:szCs w:val="18"/>
              </w:rPr>
              <w:t>标准误</w:t>
            </w:r>
          </w:p>
        </w:tc>
        <w:tc>
          <w:tcPr>
            <w:tcW w:w="1200" w:type="pct"/>
            <w:tcBorders>
              <w:top w:val="single" w:color="000000" w:sz="4" w:space="0"/>
              <w:bottom w:val="single" w:color="000000" w:sz="4" w:space="0"/>
            </w:tcBorders>
          </w:tcPr>
          <w:p w14:paraId="180C0BD1">
            <w:pPr>
              <w:pStyle w:val="53"/>
              <w:spacing w:before="0" w:line="240" w:lineRule="auto"/>
              <w:ind w:right="119"/>
              <w:jc w:val="right"/>
              <w:rPr>
                <w:rFonts w:ascii="宋体" w:eastAsia="宋体"/>
                <w:sz w:val="18"/>
                <w:szCs w:val="18"/>
              </w:rPr>
            </w:pPr>
            <w:r>
              <w:rPr>
                <w:sz w:val="18"/>
                <w:szCs w:val="18"/>
              </w:rPr>
              <w:t>P</w:t>
            </w:r>
            <w:r>
              <w:rPr>
                <w:spacing w:val="-2"/>
                <w:sz w:val="18"/>
                <w:szCs w:val="18"/>
              </w:rPr>
              <w:t xml:space="preserve"> </w:t>
            </w:r>
            <w:r>
              <w:rPr>
                <w:rFonts w:ascii="宋体" w:eastAsia="宋体"/>
                <w:spacing w:val="-10"/>
                <w:sz w:val="18"/>
                <w:szCs w:val="18"/>
              </w:rPr>
              <w:t>值</w:t>
            </w:r>
          </w:p>
        </w:tc>
      </w:tr>
      <w:tr w14:paraId="27FCBAD6">
        <w:tblPrEx>
          <w:tblCellMar>
            <w:top w:w="0" w:type="dxa"/>
            <w:left w:w="0" w:type="dxa"/>
            <w:bottom w:w="0" w:type="dxa"/>
            <w:right w:w="0" w:type="dxa"/>
          </w:tblCellMar>
        </w:tblPrEx>
        <w:trPr>
          <w:trHeight w:val="220" w:hRule="atLeast"/>
        </w:trPr>
        <w:tc>
          <w:tcPr>
            <w:tcW w:w="1184" w:type="pct"/>
            <w:tcBorders>
              <w:top w:val="single" w:color="000000" w:sz="4" w:space="0"/>
            </w:tcBorders>
          </w:tcPr>
          <w:p w14:paraId="7DB95198">
            <w:pPr>
              <w:pStyle w:val="53"/>
              <w:spacing w:before="9" w:line="240" w:lineRule="auto"/>
              <w:ind w:left="119"/>
              <w:rPr>
                <w:sz w:val="18"/>
                <w:szCs w:val="18"/>
              </w:rPr>
            </w:pPr>
            <w:r>
              <w:rPr>
                <w:spacing w:val="-2"/>
                <w:sz w:val="18"/>
                <w:szCs w:val="18"/>
              </w:rPr>
              <w:t>Intercept</w:t>
            </w:r>
          </w:p>
        </w:tc>
        <w:tc>
          <w:tcPr>
            <w:tcW w:w="1348" w:type="pct"/>
            <w:tcBorders>
              <w:top w:val="single" w:color="000000" w:sz="4" w:space="0"/>
            </w:tcBorders>
          </w:tcPr>
          <w:p w14:paraId="497C37CB">
            <w:pPr>
              <w:pStyle w:val="53"/>
              <w:spacing w:before="9" w:line="240" w:lineRule="auto"/>
              <w:ind w:right="118"/>
              <w:jc w:val="right"/>
              <w:rPr>
                <w:sz w:val="18"/>
                <w:szCs w:val="18"/>
              </w:rPr>
            </w:pPr>
            <w:r>
              <w:rPr>
                <w:spacing w:val="-2"/>
                <w:sz w:val="18"/>
                <w:szCs w:val="18"/>
              </w:rPr>
              <w:t>0.0140</w:t>
            </w:r>
          </w:p>
        </w:tc>
        <w:tc>
          <w:tcPr>
            <w:tcW w:w="1268" w:type="pct"/>
            <w:tcBorders>
              <w:top w:val="single" w:color="000000" w:sz="4" w:space="0"/>
            </w:tcBorders>
          </w:tcPr>
          <w:p w14:paraId="3D753F16">
            <w:pPr>
              <w:pStyle w:val="53"/>
              <w:spacing w:before="9" w:line="240" w:lineRule="auto"/>
              <w:ind w:right="118"/>
              <w:jc w:val="right"/>
              <w:rPr>
                <w:sz w:val="18"/>
                <w:szCs w:val="18"/>
              </w:rPr>
            </w:pPr>
            <w:r>
              <w:rPr>
                <w:spacing w:val="-2"/>
                <w:sz w:val="18"/>
                <w:szCs w:val="18"/>
              </w:rPr>
              <w:t>0.170</w:t>
            </w:r>
          </w:p>
        </w:tc>
        <w:tc>
          <w:tcPr>
            <w:tcW w:w="1200" w:type="pct"/>
            <w:tcBorders>
              <w:top w:val="single" w:color="000000" w:sz="4" w:space="0"/>
            </w:tcBorders>
          </w:tcPr>
          <w:p w14:paraId="56020EC0">
            <w:pPr>
              <w:pStyle w:val="53"/>
              <w:spacing w:before="9" w:line="240" w:lineRule="auto"/>
              <w:ind w:right="119"/>
              <w:jc w:val="right"/>
              <w:rPr>
                <w:sz w:val="18"/>
                <w:szCs w:val="18"/>
              </w:rPr>
            </w:pPr>
            <w:r>
              <w:rPr>
                <w:spacing w:val="-2"/>
                <w:sz w:val="18"/>
                <w:szCs w:val="18"/>
              </w:rPr>
              <w:t>0.934</w:t>
            </w:r>
          </w:p>
        </w:tc>
      </w:tr>
      <w:tr w14:paraId="07434141">
        <w:tblPrEx>
          <w:tblCellMar>
            <w:top w:w="0" w:type="dxa"/>
            <w:left w:w="0" w:type="dxa"/>
            <w:bottom w:w="0" w:type="dxa"/>
            <w:right w:w="0" w:type="dxa"/>
          </w:tblCellMar>
        </w:tblPrEx>
        <w:trPr>
          <w:trHeight w:val="227" w:hRule="atLeast"/>
        </w:trPr>
        <w:tc>
          <w:tcPr>
            <w:tcW w:w="1184" w:type="pct"/>
          </w:tcPr>
          <w:p w14:paraId="25986A7A">
            <w:pPr>
              <w:pStyle w:val="53"/>
              <w:spacing w:line="240" w:lineRule="auto"/>
              <w:ind w:left="119"/>
              <w:rPr>
                <w:sz w:val="18"/>
                <w:szCs w:val="18"/>
              </w:rPr>
            </w:pPr>
            <w:r>
              <w:rPr>
                <w:spacing w:val="-2"/>
                <w:sz w:val="18"/>
                <w:szCs w:val="18"/>
              </w:rPr>
              <w:t>mismatch</w:t>
            </w:r>
          </w:p>
        </w:tc>
        <w:tc>
          <w:tcPr>
            <w:tcW w:w="1348" w:type="pct"/>
          </w:tcPr>
          <w:p w14:paraId="63398FC7">
            <w:pPr>
              <w:pStyle w:val="53"/>
              <w:spacing w:line="240" w:lineRule="auto"/>
              <w:ind w:right="118"/>
              <w:jc w:val="right"/>
              <w:rPr>
                <w:sz w:val="18"/>
                <w:szCs w:val="18"/>
              </w:rPr>
            </w:pPr>
            <w:r>
              <w:rPr>
                <w:sz w:val="18"/>
                <w:szCs w:val="18"/>
              </w:rPr>
              <w:t>-</w:t>
            </w:r>
            <w:r>
              <w:rPr>
                <w:spacing w:val="-2"/>
                <w:sz w:val="18"/>
                <w:szCs w:val="18"/>
              </w:rPr>
              <w:t>0.0057</w:t>
            </w:r>
          </w:p>
        </w:tc>
        <w:tc>
          <w:tcPr>
            <w:tcW w:w="1268" w:type="pct"/>
          </w:tcPr>
          <w:p w14:paraId="324DADBF">
            <w:pPr>
              <w:pStyle w:val="53"/>
              <w:spacing w:line="240" w:lineRule="auto"/>
              <w:ind w:right="118"/>
              <w:jc w:val="right"/>
              <w:rPr>
                <w:sz w:val="18"/>
                <w:szCs w:val="18"/>
              </w:rPr>
            </w:pPr>
            <w:r>
              <w:rPr>
                <w:spacing w:val="-2"/>
                <w:sz w:val="18"/>
                <w:szCs w:val="18"/>
              </w:rPr>
              <w:t>0.009</w:t>
            </w:r>
          </w:p>
        </w:tc>
        <w:tc>
          <w:tcPr>
            <w:tcW w:w="1200" w:type="pct"/>
          </w:tcPr>
          <w:p w14:paraId="690F33CD">
            <w:pPr>
              <w:pStyle w:val="53"/>
              <w:spacing w:line="240" w:lineRule="auto"/>
              <w:ind w:right="119"/>
              <w:jc w:val="right"/>
              <w:rPr>
                <w:sz w:val="18"/>
                <w:szCs w:val="18"/>
              </w:rPr>
            </w:pPr>
            <w:r>
              <w:rPr>
                <w:spacing w:val="-2"/>
                <w:sz w:val="18"/>
                <w:szCs w:val="18"/>
              </w:rPr>
              <w:t>0.518</w:t>
            </w:r>
          </w:p>
        </w:tc>
      </w:tr>
      <w:tr w14:paraId="1E5A7134">
        <w:tblPrEx>
          <w:tblCellMar>
            <w:top w:w="0" w:type="dxa"/>
            <w:left w:w="0" w:type="dxa"/>
            <w:bottom w:w="0" w:type="dxa"/>
            <w:right w:w="0" w:type="dxa"/>
          </w:tblCellMar>
        </w:tblPrEx>
        <w:trPr>
          <w:trHeight w:val="227" w:hRule="atLeast"/>
        </w:trPr>
        <w:tc>
          <w:tcPr>
            <w:tcW w:w="1184" w:type="pct"/>
          </w:tcPr>
          <w:p w14:paraId="3A2AFECE">
            <w:pPr>
              <w:pStyle w:val="53"/>
              <w:spacing w:line="240" w:lineRule="auto"/>
              <w:ind w:left="119"/>
              <w:rPr>
                <w:sz w:val="18"/>
                <w:szCs w:val="18"/>
              </w:rPr>
            </w:pPr>
            <w:r>
              <w:rPr>
                <w:spacing w:val="-5"/>
                <w:sz w:val="18"/>
                <w:szCs w:val="18"/>
              </w:rPr>
              <w:t>ARE</w:t>
            </w:r>
          </w:p>
        </w:tc>
        <w:tc>
          <w:tcPr>
            <w:tcW w:w="1348" w:type="pct"/>
          </w:tcPr>
          <w:p w14:paraId="1E7DF46A">
            <w:pPr>
              <w:pStyle w:val="53"/>
              <w:spacing w:line="240" w:lineRule="auto"/>
              <w:ind w:right="118"/>
              <w:jc w:val="right"/>
              <w:rPr>
                <w:sz w:val="18"/>
                <w:szCs w:val="18"/>
              </w:rPr>
            </w:pPr>
            <w:r>
              <w:rPr>
                <w:spacing w:val="-2"/>
                <w:sz w:val="18"/>
                <w:szCs w:val="18"/>
              </w:rPr>
              <w:t>0.0005</w:t>
            </w:r>
          </w:p>
        </w:tc>
        <w:tc>
          <w:tcPr>
            <w:tcW w:w="1268" w:type="pct"/>
          </w:tcPr>
          <w:p w14:paraId="6116363C">
            <w:pPr>
              <w:pStyle w:val="53"/>
              <w:spacing w:line="240" w:lineRule="auto"/>
              <w:ind w:right="118"/>
              <w:jc w:val="right"/>
              <w:rPr>
                <w:sz w:val="18"/>
                <w:szCs w:val="18"/>
              </w:rPr>
            </w:pPr>
            <w:r>
              <w:rPr>
                <w:spacing w:val="-2"/>
                <w:sz w:val="18"/>
                <w:szCs w:val="18"/>
              </w:rPr>
              <w:t>0.000</w:t>
            </w:r>
          </w:p>
        </w:tc>
        <w:tc>
          <w:tcPr>
            <w:tcW w:w="1200" w:type="pct"/>
          </w:tcPr>
          <w:p w14:paraId="2C2B90B0">
            <w:pPr>
              <w:pStyle w:val="53"/>
              <w:spacing w:before="0" w:line="240" w:lineRule="auto"/>
              <w:ind w:right="129"/>
              <w:jc w:val="right"/>
              <w:rPr>
                <w:rFonts w:ascii="Lucida Sans Unicode" w:hAnsi="Lucida Sans Unicode"/>
                <w:sz w:val="18"/>
                <w:szCs w:val="18"/>
              </w:rPr>
            </w:pPr>
            <w:r>
              <w:rPr>
                <w:spacing w:val="-2"/>
                <w:sz w:val="18"/>
                <w:szCs w:val="18"/>
              </w:rPr>
              <w:t>0.096</w:t>
            </w:r>
            <w:r>
              <w:rPr>
                <w:rFonts w:ascii="Lucida Sans Unicode" w:hAnsi="Lucida Sans Unicode"/>
                <w:spacing w:val="-2"/>
                <w:sz w:val="18"/>
                <w:szCs w:val="18"/>
                <w:vertAlign w:val="superscript"/>
              </w:rPr>
              <w:t>∗</w:t>
            </w:r>
          </w:p>
        </w:tc>
      </w:tr>
      <w:tr w14:paraId="5D97ECEC">
        <w:tblPrEx>
          <w:tblCellMar>
            <w:top w:w="0" w:type="dxa"/>
            <w:left w:w="0" w:type="dxa"/>
            <w:bottom w:w="0" w:type="dxa"/>
            <w:right w:w="0" w:type="dxa"/>
          </w:tblCellMar>
        </w:tblPrEx>
        <w:trPr>
          <w:trHeight w:val="227" w:hRule="atLeast"/>
        </w:trPr>
        <w:tc>
          <w:tcPr>
            <w:tcW w:w="1184" w:type="pct"/>
          </w:tcPr>
          <w:p w14:paraId="0EB59363">
            <w:pPr>
              <w:pStyle w:val="53"/>
              <w:spacing w:line="240" w:lineRule="auto"/>
              <w:ind w:left="119"/>
              <w:rPr>
                <w:sz w:val="18"/>
                <w:szCs w:val="18"/>
              </w:rPr>
            </w:pPr>
            <w:r>
              <w:rPr>
                <w:spacing w:val="-5"/>
                <w:sz w:val="18"/>
                <w:szCs w:val="18"/>
              </w:rPr>
              <w:t>OPM</w:t>
            </w:r>
          </w:p>
        </w:tc>
        <w:tc>
          <w:tcPr>
            <w:tcW w:w="1348" w:type="pct"/>
          </w:tcPr>
          <w:p w14:paraId="66E3F8FB">
            <w:pPr>
              <w:pStyle w:val="53"/>
              <w:spacing w:line="240" w:lineRule="auto"/>
              <w:ind w:right="118"/>
              <w:jc w:val="right"/>
              <w:rPr>
                <w:sz w:val="18"/>
                <w:szCs w:val="18"/>
              </w:rPr>
            </w:pPr>
            <w:r>
              <w:rPr>
                <w:spacing w:val="-2"/>
                <w:sz w:val="18"/>
                <w:szCs w:val="18"/>
              </w:rPr>
              <w:t>-0.0000073</w:t>
            </w:r>
          </w:p>
        </w:tc>
        <w:tc>
          <w:tcPr>
            <w:tcW w:w="1268" w:type="pct"/>
          </w:tcPr>
          <w:p w14:paraId="52D3A1FB">
            <w:pPr>
              <w:pStyle w:val="53"/>
              <w:spacing w:line="240" w:lineRule="auto"/>
              <w:ind w:right="118"/>
              <w:jc w:val="right"/>
              <w:rPr>
                <w:sz w:val="18"/>
                <w:szCs w:val="18"/>
              </w:rPr>
            </w:pPr>
            <w:r>
              <w:rPr>
                <w:spacing w:val="-2"/>
                <w:sz w:val="18"/>
                <w:szCs w:val="18"/>
              </w:rPr>
              <w:t>0.0000195</w:t>
            </w:r>
          </w:p>
        </w:tc>
        <w:tc>
          <w:tcPr>
            <w:tcW w:w="1200" w:type="pct"/>
          </w:tcPr>
          <w:p w14:paraId="1BF9EA22">
            <w:pPr>
              <w:pStyle w:val="53"/>
              <w:spacing w:line="240" w:lineRule="auto"/>
              <w:ind w:right="119"/>
              <w:jc w:val="right"/>
              <w:rPr>
                <w:sz w:val="18"/>
                <w:szCs w:val="18"/>
              </w:rPr>
            </w:pPr>
            <w:r>
              <w:rPr>
                <w:spacing w:val="-2"/>
                <w:sz w:val="18"/>
                <w:szCs w:val="18"/>
              </w:rPr>
              <w:t>0.707</w:t>
            </w:r>
          </w:p>
        </w:tc>
      </w:tr>
      <w:tr w14:paraId="15EBA872">
        <w:tblPrEx>
          <w:tblCellMar>
            <w:top w:w="0" w:type="dxa"/>
            <w:left w:w="0" w:type="dxa"/>
            <w:bottom w:w="0" w:type="dxa"/>
            <w:right w:w="0" w:type="dxa"/>
          </w:tblCellMar>
        </w:tblPrEx>
        <w:trPr>
          <w:trHeight w:val="227" w:hRule="atLeast"/>
        </w:trPr>
        <w:tc>
          <w:tcPr>
            <w:tcW w:w="1184" w:type="pct"/>
          </w:tcPr>
          <w:p w14:paraId="2868FA05">
            <w:pPr>
              <w:pStyle w:val="53"/>
              <w:spacing w:line="240" w:lineRule="auto"/>
              <w:ind w:left="119"/>
              <w:rPr>
                <w:sz w:val="18"/>
                <w:szCs w:val="18"/>
              </w:rPr>
            </w:pPr>
            <w:r>
              <w:rPr>
                <w:spacing w:val="-5"/>
                <w:sz w:val="18"/>
                <w:szCs w:val="18"/>
              </w:rPr>
              <w:t>CR</w:t>
            </w:r>
          </w:p>
        </w:tc>
        <w:tc>
          <w:tcPr>
            <w:tcW w:w="1348" w:type="pct"/>
          </w:tcPr>
          <w:p w14:paraId="5E4C54F3">
            <w:pPr>
              <w:pStyle w:val="53"/>
              <w:spacing w:line="240" w:lineRule="auto"/>
              <w:ind w:right="118"/>
              <w:jc w:val="right"/>
              <w:rPr>
                <w:sz w:val="18"/>
                <w:szCs w:val="18"/>
              </w:rPr>
            </w:pPr>
            <w:r>
              <w:rPr>
                <w:spacing w:val="-2"/>
                <w:sz w:val="18"/>
                <w:szCs w:val="18"/>
              </w:rPr>
              <w:t>0.0018</w:t>
            </w:r>
          </w:p>
        </w:tc>
        <w:tc>
          <w:tcPr>
            <w:tcW w:w="1268" w:type="pct"/>
          </w:tcPr>
          <w:p w14:paraId="3163E4E4">
            <w:pPr>
              <w:pStyle w:val="53"/>
              <w:spacing w:line="240" w:lineRule="auto"/>
              <w:ind w:right="118"/>
              <w:jc w:val="right"/>
              <w:rPr>
                <w:sz w:val="18"/>
                <w:szCs w:val="18"/>
              </w:rPr>
            </w:pPr>
            <w:r>
              <w:rPr>
                <w:spacing w:val="-2"/>
                <w:sz w:val="18"/>
                <w:szCs w:val="18"/>
              </w:rPr>
              <w:t>0.002</w:t>
            </w:r>
          </w:p>
        </w:tc>
        <w:tc>
          <w:tcPr>
            <w:tcW w:w="1200" w:type="pct"/>
          </w:tcPr>
          <w:p w14:paraId="6050C6E8">
            <w:pPr>
              <w:pStyle w:val="53"/>
              <w:spacing w:line="240" w:lineRule="auto"/>
              <w:ind w:right="119"/>
              <w:jc w:val="right"/>
              <w:rPr>
                <w:sz w:val="18"/>
                <w:szCs w:val="18"/>
              </w:rPr>
            </w:pPr>
            <w:r>
              <w:rPr>
                <w:spacing w:val="-2"/>
                <w:sz w:val="18"/>
                <w:szCs w:val="18"/>
              </w:rPr>
              <w:t>0.256</w:t>
            </w:r>
          </w:p>
        </w:tc>
      </w:tr>
      <w:tr w14:paraId="2669FC15">
        <w:tblPrEx>
          <w:tblCellMar>
            <w:top w:w="0" w:type="dxa"/>
            <w:left w:w="0" w:type="dxa"/>
            <w:bottom w:w="0" w:type="dxa"/>
            <w:right w:w="0" w:type="dxa"/>
          </w:tblCellMar>
        </w:tblPrEx>
        <w:trPr>
          <w:trHeight w:val="227" w:hRule="atLeast"/>
        </w:trPr>
        <w:tc>
          <w:tcPr>
            <w:tcW w:w="1184" w:type="pct"/>
          </w:tcPr>
          <w:p w14:paraId="0CA9E20D">
            <w:pPr>
              <w:pStyle w:val="53"/>
              <w:spacing w:line="240" w:lineRule="auto"/>
              <w:ind w:left="119"/>
              <w:rPr>
                <w:sz w:val="18"/>
                <w:szCs w:val="18"/>
              </w:rPr>
            </w:pPr>
            <w:r>
              <w:rPr>
                <w:spacing w:val="-5"/>
                <w:sz w:val="18"/>
                <w:szCs w:val="18"/>
              </w:rPr>
              <w:t>QR</w:t>
            </w:r>
          </w:p>
        </w:tc>
        <w:tc>
          <w:tcPr>
            <w:tcW w:w="1348" w:type="pct"/>
          </w:tcPr>
          <w:p w14:paraId="6C51CEE2">
            <w:pPr>
              <w:pStyle w:val="53"/>
              <w:spacing w:line="240" w:lineRule="auto"/>
              <w:ind w:right="118"/>
              <w:jc w:val="right"/>
              <w:rPr>
                <w:sz w:val="18"/>
                <w:szCs w:val="18"/>
              </w:rPr>
            </w:pPr>
            <w:r>
              <w:rPr>
                <w:sz w:val="18"/>
                <w:szCs w:val="18"/>
              </w:rPr>
              <w:t>-</w:t>
            </w:r>
            <w:r>
              <w:rPr>
                <w:spacing w:val="-2"/>
                <w:sz w:val="18"/>
                <w:szCs w:val="18"/>
              </w:rPr>
              <w:t>0.0048</w:t>
            </w:r>
          </w:p>
        </w:tc>
        <w:tc>
          <w:tcPr>
            <w:tcW w:w="1268" w:type="pct"/>
          </w:tcPr>
          <w:p w14:paraId="197A9CDB">
            <w:pPr>
              <w:pStyle w:val="53"/>
              <w:spacing w:line="240" w:lineRule="auto"/>
              <w:ind w:right="118"/>
              <w:jc w:val="right"/>
              <w:rPr>
                <w:sz w:val="18"/>
                <w:szCs w:val="18"/>
              </w:rPr>
            </w:pPr>
            <w:r>
              <w:rPr>
                <w:spacing w:val="-2"/>
                <w:sz w:val="18"/>
                <w:szCs w:val="18"/>
              </w:rPr>
              <w:t>0.003</w:t>
            </w:r>
          </w:p>
        </w:tc>
        <w:tc>
          <w:tcPr>
            <w:tcW w:w="1200" w:type="pct"/>
          </w:tcPr>
          <w:p w14:paraId="0FE02EA4">
            <w:pPr>
              <w:pStyle w:val="53"/>
              <w:spacing w:before="0" w:line="240" w:lineRule="auto"/>
              <w:ind w:right="129"/>
              <w:jc w:val="right"/>
              <w:rPr>
                <w:rFonts w:ascii="Lucida Sans Unicode" w:hAnsi="Lucida Sans Unicode"/>
                <w:sz w:val="18"/>
                <w:szCs w:val="18"/>
              </w:rPr>
            </w:pPr>
            <w:r>
              <w:rPr>
                <w:spacing w:val="-2"/>
                <w:sz w:val="18"/>
                <w:szCs w:val="18"/>
              </w:rPr>
              <w:t>0.094</w:t>
            </w:r>
            <w:r>
              <w:rPr>
                <w:rFonts w:ascii="Lucida Sans Unicode" w:hAnsi="Lucida Sans Unicode"/>
                <w:spacing w:val="-2"/>
                <w:sz w:val="18"/>
                <w:szCs w:val="18"/>
                <w:vertAlign w:val="superscript"/>
              </w:rPr>
              <w:t>∗</w:t>
            </w:r>
          </w:p>
        </w:tc>
      </w:tr>
      <w:tr w14:paraId="23A41D55">
        <w:tblPrEx>
          <w:tblCellMar>
            <w:top w:w="0" w:type="dxa"/>
            <w:left w:w="0" w:type="dxa"/>
            <w:bottom w:w="0" w:type="dxa"/>
            <w:right w:w="0" w:type="dxa"/>
          </w:tblCellMar>
        </w:tblPrEx>
        <w:trPr>
          <w:trHeight w:val="227" w:hRule="atLeast"/>
        </w:trPr>
        <w:tc>
          <w:tcPr>
            <w:tcW w:w="1184" w:type="pct"/>
          </w:tcPr>
          <w:p w14:paraId="4AF87570">
            <w:pPr>
              <w:pStyle w:val="53"/>
              <w:spacing w:line="240" w:lineRule="auto"/>
              <w:ind w:left="119"/>
              <w:rPr>
                <w:sz w:val="18"/>
                <w:szCs w:val="18"/>
              </w:rPr>
            </w:pPr>
            <w:r>
              <w:rPr>
                <w:spacing w:val="-5"/>
                <w:sz w:val="18"/>
                <w:szCs w:val="18"/>
              </w:rPr>
              <w:t>ND</w:t>
            </w:r>
          </w:p>
        </w:tc>
        <w:tc>
          <w:tcPr>
            <w:tcW w:w="1348" w:type="pct"/>
          </w:tcPr>
          <w:p w14:paraId="38BE324A">
            <w:pPr>
              <w:pStyle w:val="53"/>
              <w:spacing w:line="240" w:lineRule="auto"/>
              <w:ind w:right="118"/>
              <w:jc w:val="right"/>
              <w:rPr>
                <w:sz w:val="18"/>
                <w:szCs w:val="18"/>
              </w:rPr>
            </w:pPr>
            <w:r>
              <w:rPr>
                <w:sz w:val="18"/>
                <w:szCs w:val="18"/>
              </w:rPr>
              <w:t>-</w:t>
            </w:r>
            <w:r>
              <w:rPr>
                <w:spacing w:val="-2"/>
                <w:sz w:val="18"/>
                <w:szCs w:val="18"/>
              </w:rPr>
              <w:t>0.0003</w:t>
            </w:r>
          </w:p>
        </w:tc>
        <w:tc>
          <w:tcPr>
            <w:tcW w:w="1268" w:type="pct"/>
          </w:tcPr>
          <w:p w14:paraId="739C0A3C">
            <w:pPr>
              <w:pStyle w:val="53"/>
              <w:spacing w:line="240" w:lineRule="auto"/>
              <w:ind w:right="118"/>
              <w:jc w:val="right"/>
              <w:rPr>
                <w:sz w:val="18"/>
                <w:szCs w:val="18"/>
              </w:rPr>
            </w:pPr>
            <w:r>
              <w:rPr>
                <w:spacing w:val="-2"/>
                <w:sz w:val="18"/>
                <w:szCs w:val="18"/>
              </w:rPr>
              <w:t>0.002</w:t>
            </w:r>
          </w:p>
        </w:tc>
        <w:tc>
          <w:tcPr>
            <w:tcW w:w="1200" w:type="pct"/>
          </w:tcPr>
          <w:p w14:paraId="44419955">
            <w:pPr>
              <w:pStyle w:val="53"/>
              <w:spacing w:line="240" w:lineRule="auto"/>
              <w:ind w:right="119"/>
              <w:jc w:val="right"/>
              <w:rPr>
                <w:sz w:val="18"/>
                <w:szCs w:val="18"/>
              </w:rPr>
            </w:pPr>
            <w:r>
              <w:rPr>
                <w:spacing w:val="-2"/>
                <w:sz w:val="18"/>
                <w:szCs w:val="18"/>
              </w:rPr>
              <w:t>0.855</w:t>
            </w:r>
          </w:p>
        </w:tc>
      </w:tr>
      <w:tr w14:paraId="0ED16064">
        <w:tblPrEx>
          <w:tblCellMar>
            <w:top w:w="0" w:type="dxa"/>
            <w:left w:w="0" w:type="dxa"/>
            <w:bottom w:w="0" w:type="dxa"/>
            <w:right w:w="0" w:type="dxa"/>
          </w:tblCellMar>
        </w:tblPrEx>
        <w:trPr>
          <w:trHeight w:val="227" w:hRule="atLeast"/>
        </w:trPr>
        <w:tc>
          <w:tcPr>
            <w:tcW w:w="1184" w:type="pct"/>
          </w:tcPr>
          <w:p w14:paraId="6A061C58">
            <w:pPr>
              <w:pStyle w:val="53"/>
              <w:spacing w:line="240" w:lineRule="auto"/>
              <w:ind w:left="119"/>
              <w:rPr>
                <w:sz w:val="18"/>
                <w:szCs w:val="18"/>
              </w:rPr>
            </w:pPr>
            <w:r>
              <w:rPr>
                <w:spacing w:val="-5"/>
                <w:sz w:val="18"/>
                <w:szCs w:val="18"/>
              </w:rPr>
              <w:t>AT</w:t>
            </w:r>
          </w:p>
        </w:tc>
        <w:tc>
          <w:tcPr>
            <w:tcW w:w="1348" w:type="pct"/>
          </w:tcPr>
          <w:p w14:paraId="077A4D57">
            <w:pPr>
              <w:pStyle w:val="53"/>
              <w:spacing w:line="240" w:lineRule="auto"/>
              <w:ind w:right="118"/>
              <w:jc w:val="right"/>
              <w:rPr>
                <w:sz w:val="18"/>
                <w:szCs w:val="18"/>
              </w:rPr>
            </w:pPr>
            <w:r>
              <w:rPr>
                <w:spacing w:val="-2"/>
                <w:sz w:val="18"/>
                <w:szCs w:val="18"/>
              </w:rPr>
              <w:t>0.0066</w:t>
            </w:r>
          </w:p>
        </w:tc>
        <w:tc>
          <w:tcPr>
            <w:tcW w:w="1268" w:type="pct"/>
          </w:tcPr>
          <w:p w14:paraId="79F5AF42">
            <w:pPr>
              <w:pStyle w:val="53"/>
              <w:spacing w:line="240" w:lineRule="auto"/>
              <w:ind w:right="118"/>
              <w:jc w:val="right"/>
              <w:rPr>
                <w:sz w:val="18"/>
                <w:szCs w:val="18"/>
              </w:rPr>
            </w:pPr>
            <w:r>
              <w:rPr>
                <w:spacing w:val="-2"/>
                <w:sz w:val="18"/>
                <w:szCs w:val="18"/>
              </w:rPr>
              <w:t>0.006</w:t>
            </w:r>
          </w:p>
        </w:tc>
        <w:tc>
          <w:tcPr>
            <w:tcW w:w="1200" w:type="pct"/>
          </w:tcPr>
          <w:p w14:paraId="61518111">
            <w:pPr>
              <w:pStyle w:val="53"/>
              <w:spacing w:line="240" w:lineRule="auto"/>
              <w:ind w:right="119"/>
              <w:jc w:val="right"/>
              <w:rPr>
                <w:sz w:val="18"/>
                <w:szCs w:val="18"/>
              </w:rPr>
            </w:pPr>
            <w:r>
              <w:rPr>
                <w:spacing w:val="-2"/>
                <w:sz w:val="18"/>
                <w:szCs w:val="18"/>
              </w:rPr>
              <w:t>0.298</w:t>
            </w:r>
          </w:p>
        </w:tc>
      </w:tr>
      <w:tr w14:paraId="2F9C6309">
        <w:tblPrEx>
          <w:tblCellMar>
            <w:top w:w="0" w:type="dxa"/>
            <w:left w:w="0" w:type="dxa"/>
            <w:bottom w:w="0" w:type="dxa"/>
            <w:right w:w="0" w:type="dxa"/>
          </w:tblCellMar>
        </w:tblPrEx>
        <w:trPr>
          <w:trHeight w:val="227" w:hRule="atLeast"/>
        </w:trPr>
        <w:tc>
          <w:tcPr>
            <w:tcW w:w="1184" w:type="pct"/>
          </w:tcPr>
          <w:p w14:paraId="116B8F6F">
            <w:pPr>
              <w:pStyle w:val="53"/>
              <w:spacing w:line="240" w:lineRule="auto"/>
              <w:ind w:left="119"/>
              <w:rPr>
                <w:sz w:val="18"/>
                <w:szCs w:val="18"/>
              </w:rPr>
            </w:pPr>
            <w:r>
              <w:rPr>
                <w:spacing w:val="-5"/>
                <w:sz w:val="18"/>
                <w:szCs w:val="18"/>
              </w:rPr>
              <w:t>Soe</w:t>
            </w:r>
          </w:p>
        </w:tc>
        <w:tc>
          <w:tcPr>
            <w:tcW w:w="1348" w:type="pct"/>
          </w:tcPr>
          <w:p w14:paraId="666A4427">
            <w:pPr>
              <w:pStyle w:val="53"/>
              <w:spacing w:line="240" w:lineRule="auto"/>
              <w:ind w:right="118"/>
              <w:jc w:val="right"/>
              <w:rPr>
                <w:sz w:val="18"/>
                <w:szCs w:val="18"/>
              </w:rPr>
            </w:pPr>
            <w:r>
              <w:rPr>
                <w:spacing w:val="-2"/>
                <w:sz w:val="18"/>
                <w:szCs w:val="18"/>
              </w:rPr>
              <w:t>0.0096</w:t>
            </w:r>
          </w:p>
        </w:tc>
        <w:tc>
          <w:tcPr>
            <w:tcW w:w="1268" w:type="pct"/>
          </w:tcPr>
          <w:p w14:paraId="15C57A2A">
            <w:pPr>
              <w:pStyle w:val="53"/>
              <w:spacing w:line="240" w:lineRule="auto"/>
              <w:ind w:right="118"/>
              <w:jc w:val="right"/>
              <w:rPr>
                <w:sz w:val="18"/>
                <w:szCs w:val="18"/>
              </w:rPr>
            </w:pPr>
            <w:r>
              <w:rPr>
                <w:spacing w:val="-2"/>
                <w:sz w:val="18"/>
                <w:szCs w:val="18"/>
              </w:rPr>
              <w:t>0.008</w:t>
            </w:r>
          </w:p>
        </w:tc>
        <w:tc>
          <w:tcPr>
            <w:tcW w:w="1200" w:type="pct"/>
          </w:tcPr>
          <w:p w14:paraId="53EC699C">
            <w:pPr>
              <w:pStyle w:val="53"/>
              <w:spacing w:line="240" w:lineRule="auto"/>
              <w:ind w:right="119"/>
              <w:jc w:val="right"/>
              <w:rPr>
                <w:sz w:val="18"/>
                <w:szCs w:val="18"/>
              </w:rPr>
            </w:pPr>
            <w:r>
              <w:rPr>
                <w:spacing w:val="-2"/>
                <w:sz w:val="18"/>
                <w:szCs w:val="18"/>
              </w:rPr>
              <w:t>0.248</w:t>
            </w:r>
          </w:p>
        </w:tc>
      </w:tr>
      <w:tr w14:paraId="4014DDE3">
        <w:tblPrEx>
          <w:tblCellMar>
            <w:top w:w="0" w:type="dxa"/>
            <w:left w:w="0" w:type="dxa"/>
            <w:bottom w:w="0" w:type="dxa"/>
            <w:right w:w="0" w:type="dxa"/>
          </w:tblCellMar>
        </w:tblPrEx>
        <w:trPr>
          <w:trHeight w:val="227" w:hRule="atLeast"/>
        </w:trPr>
        <w:tc>
          <w:tcPr>
            <w:tcW w:w="1184" w:type="pct"/>
          </w:tcPr>
          <w:p w14:paraId="1D901030">
            <w:pPr>
              <w:pStyle w:val="53"/>
              <w:spacing w:line="240" w:lineRule="auto"/>
              <w:ind w:left="119"/>
              <w:rPr>
                <w:sz w:val="18"/>
                <w:szCs w:val="18"/>
              </w:rPr>
            </w:pPr>
            <w:r>
              <w:rPr>
                <w:spacing w:val="-4"/>
                <w:sz w:val="18"/>
                <w:szCs w:val="18"/>
              </w:rPr>
              <w:t>Dual</w:t>
            </w:r>
          </w:p>
        </w:tc>
        <w:tc>
          <w:tcPr>
            <w:tcW w:w="1348" w:type="pct"/>
          </w:tcPr>
          <w:p w14:paraId="3AC9B297">
            <w:pPr>
              <w:pStyle w:val="53"/>
              <w:spacing w:line="240" w:lineRule="auto"/>
              <w:ind w:right="118"/>
              <w:jc w:val="right"/>
              <w:rPr>
                <w:sz w:val="18"/>
                <w:szCs w:val="18"/>
              </w:rPr>
            </w:pPr>
            <w:r>
              <w:rPr>
                <w:spacing w:val="-2"/>
                <w:sz w:val="18"/>
                <w:szCs w:val="18"/>
              </w:rPr>
              <w:t>-0.0268</w:t>
            </w:r>
          </w:p>
        </w:tc>
        <w:tc>
          <w:tcPr>
            <w:tcW w:w="1268" w:type="pct"/>
          </w:tcPr>
          <w:p w14:paraId="66D52AB0">
            <w:pPr>
              <w:pStyle w:val="53"/>
              <w:spacing w:line="240" w:lineRule="auto"/>
              <w:ind w:right="118"/>
              <w:jc w:val="right"/>
              <w:rPr>
                <w:sz w:val="18"/>
                <w:szCs w:val="18"/>
              </w:rPr>
            </w:pPr>
            <w:r>
              <w:rPr>
                <w:spacing w:val="-2"/>
                <w:sz w:val="18"/>
                <w:szCs w:val="18"/>
              </w:rPr>
              <w:t>0.007</w:t>
            </w:r>
          </w:p>
        </w:tc>
        <w:tc>
          <w:tcPr>
            <w:tcW w:w="1200" w:type="pct"/>
          </w:tcPr>
          <w:p w14:paraId="1AD387FE">
            <w:pPr>
              <w:pStyle w:val="53"/>
              <w:spacing w:before="0" w:line="240" w:lineRule="auto"/>
              <w:ind w:right="129"/>
              <w:jc w:val="right"/>
              <w:rPr>
                <w:rFonts w:ascii="Lucida Sans Unicode" w:hAnsi="Lucida Sans Unicode"/>
                <w:sz w:val="18"/>
                <w:szCs w:val="18"/>
              </w:rPr>
            </w:pPr>
            <w:r>
              <w:rPr>
                <w:spacing w:val="-2"/>
                <w:sz w:val="18"/>
                <w:szCs w:val="18"/>
              </w:rPr>
              <w:t>0.0001</w:t>
            </w:r>
            <w:r>
              <w:rPr>
                <w:rFonts w:ascii="Lucida Sans Unicode" w:hAnsi="Lucida Sans Unicode"/>
                <w:spacing w:val="-2"/>
                <w:sz w:val="18"/>
                <w:szCs w:val="18"/>
                <w:vertAlign w:val="superscript"/>
              </w:rPr>
              <w:t>∗∗∗</w:t>
            </w:r>
          </w:p>
        </w:tc>
      </w:tr>
      <w:tr w14:paraId="4DEB91BF">
        <w:tblPrEx>
          <w:tblCellMar>
            <w:top w:w="0" w:type="dxa"/>
            <w:left w:w="0" w:type="dxa"/>
            <w:bottom w:w="0" w:type="dxa"/>
            <w:right w:w="0" w:type="dxa"/>
          </w:tblCellMar>
        </w:tblPrEx>
        <w:trPr>
          <w:trHeight w:val="227" w:hRule="atLeast"/>
        </w:trPr>
        <w:tc>
          <w:tcPr>
            <w:tcW w:w="1184" w:type="pct"/>
          </w:tcPr>
          <w:p w14:paraId="7B91134B">
            <w:pPr>
              <w:pStyle w:val="53"/>
              <w:spacing w:line="240" w:lineRule="auto"/>
              <w:ind w:left="119"/>
              <w:rPr>
                <w:sz w:val="18"/>
                <w:szCs w:val="18"/>
              </w:rPr>
            </w:pPr>
            <w:r>
              <w:rPr>
                <w:spacing w:val="-2"/>
                <w:sz w:val="18"/>
                <w:szCs w:val="18"/>
              </w:rPr>
              <w:t>Indep</w:t>
            </w:r>
          </w:p>
        </w:tc>
        <w:tc>
          <w:tcPr>
            <w:tcW w:w="1348" w:type="pct"/>
          </w:tcPr>
          <w:p w14:paraId="079E2F8B">
            <w:pPr>
              <w:pStyle w:val="53"/>
              <w:spacing w:line="240" w:lineRule="auto"/>
              <w:ind w:right="118"/>
              <w:jc w:val="right"/>
              <w:rPr>
                <w:sz w:val="18"/>
                <w:szCs w:val="18"/>
              </w:rPr>
            </w:pPr>
            <w:r>
              <w:rPr>
                <w:spacing w:val="-2"/>
                <w:sz w:val="18"/>
                <w:szCs w:val="18"/>
              </w:rPr>
              <w:t>-0.0149</w:t>
            </w:r>
          </w:p>
        </w:tc>
        <w:tc>
          <w:tcPr>
            <w:tcW w:w="1268" w:type="pct"/>
          </w:tcPr>
          <w:p w14:paraId="5A928E62">
            <w:pPr>
              <w:pStyle w:val="53"/>
              <w:spacing w:line="240" w:lineRule="auto"/>
              <w:ind w:right="118"/>
              <w:jc w:val="right"/>
              <w:rPr>
                <w:sz w:val="18"/>
                <w:szCs w:val="18"/>
              </w:rPr>
            </w:pPr>
            <w:r>
              <w:rPr>
                <w:spacing w:val="-2"/>
                <w:sz w:val="18"/>
                <w:szCs w:val="18"/>
              </w:rPr>
              <w:t>0.055</w:t>
            </w:r>
          </w:p>
        </w:tc>
        <w:tc>
          <w:tcPr>
            <w:tcW w:w="1200" w:type="pct"/>
          </w:tcPr>
          <w:p w14:paraId="436D29DB">
            <w:pPr>
              <w:pStyle w:val="53"/>
              <w:spacing w:line="240" w:lineRule="auto"/>
              <w:ind w:right="119"/>
              <w:jc w:val="right"/>
              <w:rPr>
                <w:sz w:val="18"/>
                <w:szCs w:val="18"/>
              </w:rPr>
            </w:pPr>
            <w:r>
              <w:rPr>
                <w:spacing w:val="-2"/>
                <w:sz w:val="18"/>
                <w:szCs w:val="18"/>
              </w:rPr>
              <w:t>0.787</w:t>
            </w:r>
          </w:p>
        </w:tc>
      </w:tr>
      <w:tr w14:paraId="21003FD4">
        <w:tblPrEx>
          <w:tblCellMar>
            <w:top w:w="0" w:type="dxa"/>
            <w:left w:w="0" w:type="dxa"/>
            <w:bottom w:w="0" w:type="dxa"/>
            <w:right w:w="0" w:type="dxa"/>
          </w:tblCellMar>
        </w:tblPrEx>
        <w:trPr>
          <w:trHeight w:val="227" w:hRule="atLeast"/>
        </w:trPr>
        <w:tc>
          <w:tcPr>
            <w:tcW w:w="1184" w:type="pct"/>
          </w:tcPr>
          <w:p w14:paraId="61432866">
            <w:pPr>
              <w:pStyle w:val="53"/>
              <w:spacing w:line="240" w:lineRule="auto"/>
              <w:ind w:left="119"/>
              <w:rPr>
                <w:sz w:val="18"/>
                <w:szCs w:val="18"/>
              </w:rPr>
            </w:pPr>
            <w:r>
              <w:rPr>
                <w:spacing w:val="-5"/>
                <w:sz w:val="18"/>
                <w:szCs w:val="18"/>
              </w:rPr>
              <w:t>Lev</w:t>
            </w:r>
          </w:p>
        </w:tc>
        <w:tc>
          <w:tcPr>
            <w:tcW w:w="1348" w:type="pct"/>
          </w:tcPr>
          <w:p w14:paraId="6871ACFD">
            <w:pPr>
              <w:pStyle w:val="53"/>
              <w:spacing w:line="240" w:lineRule="auto"/>
              <w:ind w:right="118"/>
              <w:jc w:val="right"/>
              <w:rPr>
                <w:sz w:val="18"/>
                <w:szCs w:val="18"/>
              </w:rPr>
            </w:pPr>
            <w:r>
              <w:rPr>
                <w:spacing w:val="-2"/>
                <w:sz w:val="18"/>
                <w:szCs w:val="18"/>
              </w:rPr>
              <w:t>-0.0132</w:t>
            </w:r>
          </w:p>
        </w:tc>
        <w:tc>
          <w:tcPr>
            <w:tcW w:w="1268" w:type="pct"/>
          </w:tcPr>
          <w:p w14:paraId="6C06613D">
            <w:pPr>
              <w:pStyle w:val="53"/>
              <w:spacing w:line="240" w:lineRule="auto"/>
              <w:ind w:right="118"/>
              <w:jc w:val="right"/>
              <w:rPr>
                <w:sz w:val="18"/>
                <w:szCs w:val="18"/>
              </w:rPr>
            </w:pPr>
            <w:r>
              <w:rPr>
                <w:spacing w:val="-2"/>
                <w:sz w:val="18"/>
                <w:szCs w:val="18"/>
              </w:rPr>
              <w:t>0.158</w:t>
            </w:r>
          </w:p>
        </w:tc>
        <w:tc>
          <w:tcPr>
            <w:tcW w:w="1200" w:type="pct"/>
          </w:tcPr>
          <w:p w14:paraId="4BCD609D">
            <w:pPr>
              <w:pStyle w:val="53"/>
              <w:spacing w:line="240" w:lineRule="auto"/>
              <w:ind w:right="119"/>
              <w:jc w:val="right"/>
              <w:rPr>
                <w:sz w:val="18"/>
                <w:szCs w:val="18"/>
              </w:rPr>
            </w:pPr>
            <w:r>
              <w:rPr>
                <w:spacing w:val="-2"/>
                <w:sz w:val="18"/>
                <w:szCs w:val="18"/>
              </w:rPr>
              <w:t>0.934</w:t>
            </w:r>
          </w:p>
        </w:tc>
      </w:tr>
      <w:tr w14:paraId="1CE4DBC4">
        <w:tblPrEx>
          <w:tblCellMar>
            <w:top w:w="0" w:type="dxa"/>
            <w:left w:w="0" w:type="dxa"/>
            <w:bottom w:w="0" w:type="dxa"/>
            <w:right w:w="0" w:type="dxa"/>
          </w:tblCellMar>
        </w:tblPrEx>
        <w:trPr>
          <w:trHeight w:val="227" w:hRule="atLeast"/>
        </w:trPr>
        <w:tc>
          <w:tcPr>
            <w:tcW w:w="1184" w:type="pct"/>
          </w:tcPr>
          <w:p w14:paraId="219D64DC">
            <w:pPr>
              <w:pStyle w:val="53"/>
              <w:spacing w:line="240" w:lineRule="auto"/>
              <w:ind w:left="119"/>
              <w:rPr>
                <w:sz w:val="18"/>
                <w:szCs w:val="18"/>
              </w:rPr>
            </w:pPr>
            <w:r>
              <w:rPr>
                <w:spacing w:val="-4"/>
                <w:sz w:val="18"/>
                <w:szCs w:val="18"/>
              </w:rPr>
              <w:t>Size</w:t>
            </w:r>
          </w:p>
        </w:tc>
        <w:tc>
          <w:tcPr>
            <w:tcW w:w="1348" w:type="pct"/>
          </w:tcPr>
          <w:p w14:paraId="2E331248">
            <w:pPr>
              <w:pStyle w:val="53"/>
              <w:spacing w:line="240" w:lineRule="auto"/>
              <w:ind w:right="118"/>
              <w:jc w:val="right"/>
              <w:rPr>
                <w:sz w:val="18"/>
                <w:szCs w:val="18"/>
              </w:rPr>
            </w:pPr>
            <w:r>
              <w:rPr>
                <w:spacing w:val="-2"/>
                <w:sz w:val="18"/>
                <w:szCs w:val="18"/>
              </w:rPr>
              <w:t>0.0012</w:t>
            </w:r>
          </w:p>
        </w:tc>
        <w:tc>
          <w:tcPr>
            <w:tcW w:w="1268" w:type="pct"/>
          </w:tcPr>
          <w:p w14:paraId="78511D22">
            <w:pPr>
              <w:pStyle w:val="53"/>
              <w:spacing w:line="240" w:lineRule="auto"/>
              <w:ind w:right="118"/>
              <w:jc w:val="right"/>
              <w:rPr>
                <w:sz w:val="18"/>
                <w:szCs w:val="18"/>
              </w:rPr>
            </w:pPr>
            <w:r>
              <w:rPr>
                <w:spacing w:val="-2"/>
                <w:sz w:val="18"/>
                <w:szCs w:val="18"/>
              </w:rPr>
              <w:t>0.006</w:t>
            </w:r>
          </w:p>
        </w:tc>
        <w:tc>
          <w:tcPr>
            <w:tcW w:w="1200" w:type="pct"/>
          </w:tcPr>
          <w:p w14:paraId="5AD79E68">
            <w:pPr>
              <w:pStyle w:val="53"/>
              <w:spacing w:line="240" w:lineRule="auto"/>
              <w:ind w:right="119"/>
              <w:jc w:val="right"/>
              <w:rPr>
                <w:sz w:val="18"/>
                <w:szCs w:val="18"/>
              </w:rPr>
            </w:pPr>
            <w:r>
              <w:rPr>
                <w:spacing w:val="-2"/>
                <w:sz w:val="18"/>
                <w:szCs w:val="18"/>
              </w:rPr>
              <w:t>0.845</w:t>
            </w:r>
          </w:p>
        </w:tc>
      </w:tr>
      <w:tr w14:paraId="6BE9EB88">
        <w:tblPrEx>
          <w:tblCellMar>
            <w:top w:w="0" w:type="dxa"/>
            <w:left w:w="0" w:type="dxa"/>
            <w:bottom w:w="0" w:type="dxa"/>
            <w:right w:w="0" w:type="dxa"/>
          </w:tblCellMar>
        </w:tblPrEx>
        <w:trPr>
          <w:trHeight w:val="233" w:hRule="atLeast"/>
        </w:trPr>
        <w:tc>
          <w:tcPr>
            <w:tcW w:w="1184" w:type="pct"/>
            <w:tcBorders>
              <w:bottom w:val="single" w:color="000000" w:sz="4" w:space="0"/>
            </w:tcBorders>
          </w:tcPr>
          <w:p w14:paraId="12CFBBD5">
            <w:pPr>
              <w:pStyle w:val="53"/>
              <w:spacing w:line="240" w:lineRule="auto"/>
              <w:ind w:left="119"/>
              <w:rPr>
                <w:sz w:val="18"/>
                <w:szCs w:val="18"/>
              </w:rPr>
            </w:pPr>
            <w:r>
              <w:rPr>
                <w:spacing w:val="-4"/>
                <w:sz w:val="18"/>
                <w:szCs w:val="18"/>
              </w:rPr>
              <w:t>Big4</w:t>
            </w:r>
          </w:p>
        </w:tc>
        <w:tc>
          <w:tcPr>
            <w:tcW w:w="1348" w:type="pct"/>
            <w:tcBorders>
              <w:bottom w:val="single" w:color="000000" w:sz="4" w:space="0"/>
            </w:tcBorders>
          </w:tcPr>
          <w:p w14:paraId="466594BF">
            <w:pPr>
              <w:pStyle w:val="53"/>
              <w:spacing w:line="240" w:lineRule="auto"/>
              <w:ind w:right="118"/>
              <w:jc w:val="right"/>
              <w:rPr>
                <w:sz w:val="18"/>
                <w:szCs w:val="18"/>
              </w:rPr>
            </w:pPr>
            <w:r>
              <w:rPr>
                <w:spacing w:val="-2"/>
                <w:sz w:val="18"/>
                <w:szCs w:val="18"/>
              </w:rPr>
              <w:t>-0.0044</w:t>
            </w:r>
          </w:p>
        </w:tc>
        <w:tc>
          <w:tcPr>
            <w:tcW w:w="1268" w:type="pct"/>
            <w:tcBorders>
              <w:bottom w:val="single" w:color="000000" w:sz="4" w:space="0"/>
            </w:tcBorders>
          </w:tcPr>
          <w:p w14:paraId="42085055">
            <w:pPr>
              <w:pStyle w:val="53"/>
              <w:spacing w:line="240" w:lineRule="auto"/>
              <w:ind w:right="118"/>
              <w:jc w:val="right"/>
              <w:rPr>
                <w:sz w:val="18"/>
                <w:szCs w:val="18"/>
              </w:rPr>
            </w:pPr>
            <w:r>
              <w:rPr>
                <w:spacing w:val="-2"/>
                <w:sz w:val="18"/>
                <w:szCs w:val="18"/>
              </w:rPr>
              <w:t>0.013</w:t>
            </w:r>
          </w:p>
        </w:tc>
        <w:tc>
          <w:tcPr>
            <w:tcW w:w="1200" w:type="pct"/>
            <w:tcBorders>
              <w:bottom w:val="single" w:color="000000" w:sz="4" w:space="0"/>
            </w:tcBorders>
          </w:tcPr>
          <w:p w14:paraId="53FEAAC3">
            <w:pPr>
              <w:pStyle w:val="53"/>
              <w:spacing w:line="240" w:lineRule="auto"/>
              <w:ind w:right="119"/>
              <w:jc w:val="right"/>
              <w:rPr>
                <w:sz w:val="18"/>
                <w:szCs w:val="18"/>
              </w:rPr>
            </w:pPr>
            <w:r>
              <w:rPr>
                <w:spacing w:val="-2"/>
                <w:sz w:val="18"/>
                <w:szCs w:val="18"/>
              </w:rPr>
              <w:t>0.740</w:t>
            </w:r>
          </w:p>
        </w:tc>
      </w:tr>
    </w:tbl>
    <w:p w14:paraId="07FDA171">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回归结果表明，核心解释变量mismatch的系数估计值为-0.0057，但该系数在5%和10%水平上均不显著（p值=0.518）。这表明新闻发布时间是否为交易日对累计异常收益率（CAR）没有显著影响，未能提供统计上的证据支持市场对新闻的即时反应受到发布时间错配的影响，即说明以下假设成立：投资者不会在新闻发布后迅速“遗忘”新闻所带来投资决策的改变。</w:t>
      </w:r>
    </w:p>
    <w:p w14:paraId="28272838">
      <w:pPr>
        <w:outlineLvl w:val="1"/>
        <w:rPr>
          <w:rFonts w:ascii="Times New Roman" w:hAnsi="Times New Roman" w:eastAsia="宋体" w:cs="Times New Roman"/>
          <w:b/>
          <w:bCs/>
          <w:sz w:val="24"/>
          <w:szCs w:val="24"/>
        </w:rPr>
      </w:pPr>
      <w:bookmarkStart w:id="17" w:name="_Toc6743"/>
      <w:r>
        <w:rPr>
          <w:rFonts w:hint="eastAsia" w:ascii="Times New Roman" w:hAnsi="Times New Roman" w:eastAsia="宋体" w:cs="Times New Roman"/>
          <w:b/>
          <w:bCs/>
          <w:sz w:val="24"/>
          <w:szCs w:val="24"/>
        </w:rPr>
        <w:t>（三）新闻情绪对股票异常收益率的影响</w:t>
      </w:r>
      <w:bookmarkEnd w:id="17"/>
    </w:p>
    <w:p w14:paraId="013EC0B8">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为验证新闻情绪对股票异常收益率是否存在影响，本文构建了如下模型：</w:t>
      </w:r>
    </w:p>
    <w:p w14:paraId="5F73F42F">
      <w:pPr>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CAR=</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sentiment+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r>
                <m:rPr/>
                <w:rPr>
                  <w:rFonts w:ascii="Cambria Math" w:hAnsi="Cambria Math" w:eastAsia="宋体" w:cs="Times New Roman"/>
                  <w:sz w:val="21"/>
                  <w:szCs w:val="21"/>
                </w:rPr>
                <m:t>X+ϵ#</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6</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7E6BA8C1">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回归结果如表5所示。可以看出，无论是否控制公司治理、财务特征等变量，情绪变量（sentiment）与累计异常收益率（CAR）均呈显著正相关关系，且在1%显著性水平下显著。研究结果表明金融新闻表达的积极情绪能够显著提升事件发生后企业的累计异常收益率。这一发现暗示，正向情绪可能提高市场对企业的预期，引发投资者更积极的市场行为，从而推动股价上涨。反之，若新闻情绪为负，则可能引发市场恐慌，导致投资者抛售，从而造成股价的非理性下跌。回归结果支持了H1，即新闻的文本情绪对股票异常收益率有影响，情感越激励则影响越为显著。</w:t>
      </w:r>
    </w:p>
    <w:p w14:paraId="0335FF2F">
      <w:pPr>
        <w:jc w:val="left"/>
        <w:rPr>
          <w:rFonts w:hint="eastAsia" w:ascii="宋体" w:hAnsi="宋体" w:eastAsia="宋体" w:cs="Times New Roman"/>
          <w:b/>
          <w:bCs/>
          <w:sz w:val="21"/>
          <w:szCs w:val="21"/>
        </w:rPr>
      </w:pPr>
      <w:r>
        <w:rPr>
          <w:rFonts w:hint="eastAsia" w:ascii="Times New Roman" w:hAnsi="Times New Roman" w:eastAsia="宋体" w:cs="Times New Roman"/>
          <w:b/>
          <w:bCs/>
          <w:sz w:val="24"/>
          <w:szCs w:val="24"/>
        </w:rPr>
        <w:t>（四）虚假财经新闻对金融市场的影响的初步检验</w:t>
      </w:r>
    </w:p>
    <w:p w14:paraId="498B6658">
      <w:pPr>
        <w:ind w:firstLine="420" w:firstLineChars="200"/>
        <w:jc w:val="left"/>
        <w:rPr>
          <w:rFonts w:hint="eastAsia" w:ascii="宋体" w:hAnsi="宋体" w:eastAsia="宋体" w:cs="Times New Roman"/>
          <w:b/>
          <w:bCs/>
          <w:sz w:val="21"/>
          <w:szCs w:val="21"/>
        </w:rPr>
      </w:pPr>
      <w:r>
        <w:rPr>
          <w:rFonts w:hint="eastAsia" w:ascii="Times New Roman" w:hAnsi="Times New Roman" w:eastAsia="宋体" w:cs="Times New Roman"/>
          <w:sz w:val="21"/>
          <w:szCs w:val="21"/>
        </w:rPr>
        <w:t>基于澄清公告的内容，虚假财经新闻提供了一个准自然实现，因此本文运用DID方法来评估虚假财经新闻对金融市场影响中虚假这一属性的净效应。回归结果如表5所示。表中呈现了双重差分的估计结果，其中交互项</w:t>
      </w:r>
      <w:r>
        <w:rPr>
          <w:rFonts w:ascii="Times New Roman" w:hAnsi="Times New Roman" w:eastAsia="宋体" w:cs="Times New Roman"/>
          <w:sz w:val="21"/>
          <w:szCs w:val="21"/>
        </w:rPr>
        <w:t>did估计系数为−0.0032，P值为0.002。</w:t>
      </w:r>
    </w:p>
    <w:tbl>
      <w:tblPr>
        <w:tblStyle w:val="22"/>
        <w:tblpPr w:leftFromText="180" w:rightFromText="180" w:vertAnchor="text" w:horzAnchor="margin" w:tblpY="237"/>
        <w:tblW w:w="8812" w:type="dxa"/>
        <w:tblInd w:w="0" w:type="dxa"/>
        <w:tblLayout w:type="fixed"/>
        <w:tblCellMar>
          <w:top w:w="0" w:type="dxa"/>
          <w:left w:w="0" w:type="dxa"/>
          <w:bottom w:w="0" w:type="dxa"/>
          <w:right w:w="0" w:type="dxa"/>
        </w:tblCellMar>
      </w:tblPr>
      <w:tblGrid>
        <w:gridCol w:w="950"/>
        <w:gridCol w:w="1963"/>
        <w:gridCol w:w="1162"/>
        <w:gridCol w:w="1569"/>
        <w:gridCol w:w="1137"/>
        <w:gridCol w:w="1073"/>
        <w:gridCol w:w="958"/>
      </w:tblGrid>
      <w:tr w14:paraId="1616CD97">
        <w:tblPrEx>
          <w:tblCellMar>
            <w:top w:w="0" w:type="dxa"/>
            <w:left w:w="0" w:type="dxa"/>
            <w:bottom w:w="0" w:type="dxa"/>
            <w:right w:w="0" w:type="dxa"/>
          </w:tblCellMar>
        </w:tblPrEx>
        <w:trPr>
          <w:trHeight w:val="228" w:hRule="atLeast"/>
        </w:trPr>
        <w:tc>
          <w:tcPr>
            <w:tcW w:w="8812" w:type="dxa"/>
            <w:gridSpan w:val="7"/>
          </w:tcPr>
          <w:p w14:paraId="03E227A0">
            <w:pPr>
              <w:pStyle w:val="53"/>
              <w:spacing w:before="9" w:line="240" w:lineRule="auto"/>
              <w:ind w:right="119"/>
              <w:jc w:val="center"/>
              <w:rPr>
                <w:rFonts w:eastAsia="宋体"/>
                <w:spacing w:val="-2"/>
                <w:sz w:val="18"/>
                <w:szCs w:val="18"/>
              </w:rPr>
            </w:pPr>
            <w:r>
              <w:rPr>
                <w:rFonts w:hint="eastAsia" w:ascii="宋体" w:hAnsi="宋体" w:eastAsia="宋体"/>
                <w:b/>
                <w:bCs/>
                <w:sz w:val="21"/>
                <w:szCs w:val="21"/>
              </w:rPr>
              <w:t xml:space="preserve">表5 </w:t>
            </w:r>
            <w:r>
              <w:rPr>
                <w:rFonts w:hint="eastAsia" w:eastAsia="宋体"/>
                <w:sz w:val="21"/>
                <w:szCs w:val="21"/>
              </w:rPr>
              <w:t>OLS 回归结果与DID回归结果</w:t>
            </w:r>
          </w:p>
        </w:tc>
      </w:tr>
      <w:tr w14:paraId="77F3B8CC">
        <w:tblPrEx>
          <w:tblCellMar>
            <w:top w:w="0" w:type="dxa"/>
            <w:left w:w="0" w:type="dxa"/>
            <w:bottom w:w="0" w:type="dxa"/>
            <w:right w:w="0" w:type="dxa"/>
          </w:tblCellMar>
        </w:tblPrEx>
        <w:trPr>
          <w:trHeight w:val="228" w:hRule="atLeast"/>
        </w:trPr>
        <w:tc>
          <w:tcPr>
            <w:tcW w:w="6781" w:type="dxa"/>
            <w:gridSpan w:val="5"/>
            <w:tcBorders>
              <w:top w:val="single" w:color="000000" w:sz="4" w:space="0"/>
              <w:right w:val="single" w:color="auto" w:sz="4" w:space="0"/>
            </w:tcBorders>
          </w:tcPr>
          <w:p w14:paraId="03D9D0A2">
            <w:pPr>
              <w:pStyle w:val="53"/>
              <w:spacing w:before="9" w:line="240" w:lineRule="auto"/>
              <w:ind w:left="96"/>
              <w:jc w:val="center"/>
              <w:rPr>
                <w:rFonts w:eastAsia="宋体"/>
                <w:spacing w:val="-2"/>
                <w:sz w:val="18"/>
                <w:szCs w:val="18"/>
              </w:rPr>
            </w:pPr>
            <w:r>
              <w:rPr>
                <w:rFonts w:hint="eastAsia" w:eastAsia="宋体"/>
                <w:sz w:val="18"/>
                <w:szCs w:val="18"/>
              </w:rPr>
              <w:t>DID回归结果</w:t>
            </w:r>
          </w:p>
        </w:tc>
        <w:tc>
          <w:tcPr>
            <w:tcW w:w="2031" w:type="dxa"/>
            <w:gridSpan w:val="2"/>
            <w:tcBorders>
              <w:top w:val="single" w:color="000000" w:sz="4" w:space="0"/>
              <w:left w:val="single" w:color="auto" w:sz="4" w:space="0"/>
            </w:tcBorders>
            <w:shd w:val="clear" w:color="auto" w:fill="auto"/>
          </w:tcPr>
          <w:p w14:paraId="562581DC">
            <w:pPr>
              <w:pStyle w:val="53"/>
              <w:spacing w:before="9" w:line="240" w:lineRule="auto"/>
              <w:ind w:right="119"/>
              <w:jc w:val="center"/>
              <w:rPr>
                <w:rFonts w:eastAsia="宋体"/>
                <w:spacing w:val="-2"/>
                <w:sz w:val="18"/>
                <w:szCs w:val="18"/>
              </w:rPr>
            </w:pPr>
            <w:r>
              <w:rPr>
                <w:rFonts w:hint="eastAsia" w:eastAsia="宋体"/>
                <w:spacing w:val="-2"/>
                <w:sz w:val="18"/>
                <w:szCs w:val="18"/>
              </w:rPr>
              <w:t>OLS回归结果</w:t>
            </w:r>
          </w:p>
        </w:tc>
      </w:tr>
      <w:tr w14:paraId="1C77CE40">
        <w:tblPrEx>
          <w:tblCellMar>
            <w:top w:w="0" w:type="dxa"/>
            <w:left w:w="0" w:type="dxa"/>
            <w:bottom w:w="0" w:type="dxa"/>
            <w:right w:w="0" w:type="dxa"/>
          </w:tblCellMar>
        </w:tblPrEx>
        <w:trPr>
          <w:trHeight w:val="228" w:hRule="atLeast"/>
        </w:trPr>
        <w:tc>
          <w:tcPr>
            <w:tcW w:w="950" w:type="dxa"/>
            <w:tcBorders>
              <w:top w:val="single" w:color="000000" w:sz="4" w:space="0"/>
            </w:tcBorders>
          </w:tcPr>
          <w:p w14:paraId="5C056F2E">
            <w:pPr>
              <w:pStyle w:val="53"/>
              <w:spacing w:before="9" w:line="240" w:lineRule="auto"/>
              <w:ind w:left="119"/>
              <w:jc w:val="center"/>
              <w:rPr>
                <w:spacing w:val="-2"/>
                <w:sz w:val="18"/>
                <w:szCs w:val="18"/>
              </w:rPr>
            </w:pPr>
          </w:p>
        </w:tc>
        <w:tc>
          <w:tcPr>
            <w:tcW w:w="1963" w:type="dxa"/>
            <w:tcBorders>
              <w:top w:val="single" w:color="000000" w:sz="4" w:space="0"/>
            </w:tcBorders>
          </w:tcPr>
          <w:p w14:paraId="57872854">
            <w:pPr>
              <w:pStyle w:val="53"/>
              <w:spacing w:before="9" w:line="240" w:lineRule="auto"/>
              <w:ind w:right="42"/>
              <w:jc w:val="center"/>
              <w:rPr>
                <w:rFonts w:eastAsia="宋体"/>
                <w:sz w:val="18"/>
                <w:szCs w:val="18"/>
              </w:rPr>
            </w:pPr>
            <w:r>
              <w:rPr>
                <w:rFonts w:hint="eastAsia" w:eastAsia="宋体"/>
                <w:sz w:val="18"/>
                <w:szCs w:val="18"/>
              </w:rPr>
              <w:t>回归系数</w:t>
            </w:r>
          </w:p>
        </w:tc>
        <w:tc>
          <w:tcPr>
            <w:tcW w:w="1162" w:type="dxa"/>
            <w:tcBorders>
              <w:top w:val="single" w:color="000000" w:sz="4" w:space="0"/>
              <w:bottom w:val="single" w:color="000000" w:sz="4" w:space="0"/>
              <w:right w:val="single" w:color="000000" w:sz="4" w:space="0"/>
            </w:tcBorders>
          </w:tcPr>
          <w:p w14:paraId="7722F894">
            <w:pPr>
              <w:pStyle w:val="53"/>
              <w:spacing w:before="9" w:line="240" w:lineRule="auto"/>
              <w:ind w:right="52"/>
              <w:jc w:val="center"/>
              <w:rPr>
                <w:rFonts w:eastAsia="宋体"/>
                <w:spacing w:val="-2"/>
                <w:sz w:val="18"/>
                <w:szCs w:val="18"/>
              </w:rPr>
            </w:pPr>
            <w:r>
              <w:rPr>
                <w:rFonts w:hint="eastAsia" w:eastAsia="宋体"/>
                <w:spacing w:val="-2"/>
                <w:sz w:val="18"/>
                <w:szCs w:val="18"/>
              </w:rPr>
              <w:t>P值</w:t>
            </w:r>
          </w:p>
        </w:tc>
        <w:tc>
          <w:tcPr>
            <w:tcW w:w="1569" w:type="dxa"/>
            <w:tcBorders>
              <w:top w:val="single" w:color="000000" w:sz="4" w:space="0"/>
              <w:left w:val="single" w:color="000000" w:sz="4" w:space="0"/>
            </w:tcBorders>
          </w:tcPr>
          <w:p w14:paraId="13A72C58">
            <w:pPr>
              <w:pStyle w:val="53"/>
              <w:spacing w:before="9" w:line="240" w:lineRule="auto"/>
              <w:ind w:left="94"/>
              <w:jc w:val="center"/>
              <w:rPr>
                <w:rFonts w:eastAsia="宋体"/>
                <w:sz w:val="18"/>
                <w:szCs w:val="18"/>
              </w:rPr>
            </w:pPr>
            <w:r>
              <w:rPr>
                <w:rFonts w:hint="eastAsia" w:eastAsia="宋体"/>
                <w:sz w:val="18"/>
                <w:szCs w:val="18"/>
              </w:rPr>
              <w:t>回归系数</w:t>
            </w:r>
          </w:p>
        </w:tc>
        <w:tc>
          <w:tcPr>
            <w:tcW w:w="1137" w:type="dxa"/>
            <w:tcBorders>
              <w:top w:val="single" w:color="000000" w:sz="4" w:space="0"/>
              <w:bottom w:val="single" w:color="000000" w:sz="4" w:space="0"/>
              <w:right w:val="single" w:color="auto" w:sz="4" w:space="0"/>
            </w:tcBorders>
          </w:tcPr>
          <w:p w14:paraId="0F5CF913">
            <w:pPr>
              <w:pStyle w:val="53"/>
              <w:spacing w:before="9" w:line="240" w:lineRule="auto"/>
              <w:ind w:left="96"/>
              <w:jc w:val="center"/>
              <w:rPr>
                <w:rFonts w:eastAsia="宋体"/>
                <w:spacing w:val="-2"/>
                <w:sz w:val="18"/>
                <w:szCs w:val="18"/>
              </w:rPr>
            </w:pPr>
            <w:r>
              <w:rPr>
                <w:rFonts w:hint="eastAsia" w:eastAsia="宋体"/>
                <w:spacing w:val="-2"/>
                <w:sz w:val="18"/>
                <w:szCs w:val="18"/>
              </w:rPr>
              <w:t>P值</w:t>
            </w:r>
          </w:p>
        </w:tc>
        <w:tc>
          <w:tcPr>
            <w:tcW w:w="1073" w:type="dxa"/>
            <w:tcBorders>
              <w:top w:val="single" w:color="000000" w:sz="4" w:space="0"/>
              <w:left w:val="single" w:color="auto" w:sz="4" w:space="0"/>
            </w:tcBorders>
            <w:shd w:val="clear" w:color="auto" w:fill="auto"/>
          </w:tcPr>
          <w:p w14:paraId="7CCBFDDA">
            <w:pPr>
              <w:pStyle w:val="53"/>
              <w:spacing w:before="9" w:line="240" w:lineRule="auto"/>
              <w:ind w:right="118"/>
              <w:jc w:val="right"/>
              <w:rPr>
                <w:rFonts w:eastAsia="宋体"/>
                <w:spacing w:val="-2"/>
                <w:sz w:val="18"/>
                <w:szCs w:val="18"/>
              </w:rPr>
            </w:pPr>
            <w:r>
              <w:rPr>
                <w:rFonts w:hint="eastAsia" w:eastAsia="宋体"/>
                <w:spacing w:val="-2"/>
                <w:sz w:val="18"/>
                <w:szCs w:val="18"/>
              </w:rPr>
              <w:t>回归系数</w:t>
            </w:r>
          </w:p>
        </w:tc>
        <w:tc>
          <w:tcPr>
            <w:tcW w:w="958" w:type="dxa"/>
            <w:tcBorders>
              <w:top w:val="single" w:color="000000" w:sz="4" w:space="0"/>
            </w:tcBorders>
            <w:shd w:val="clear" w:color="auto" w:fill="auto"/>
          </w:tcPr>
          <w:p w14:paraId="38D69DFD">
            <w:pPr>
              <w:pStyle w:val="53"/>
              <w:spacing w:before="9" w:line="240" w:lineRule="auto"/>
              <w:ind w:right="119"/>
              <w:jc w:val="right"/>
              <w:rPr>
                <w:rFonts w:eastAsia="宋体"/>
                <w:spacing w:val="-2"/>
                <w:sz w:val="18"/>
                <w:szCs w:val="18"/>
              </w:rPr>
            </w:pPr>
            <w:r>
              <w:rPr>
                <w:rFonts w:hint="eastAsia" w:eastAsia="宋体"/>
                <w:spacing w:val="-2"/>
                <w:sz w:val="18"/>
                <w:szCs w:val="18"/>
              </w:rPr>
              <w:t>P值</w:t>
            </w:r>
          </w:p>
        </w:tc>
      </w:tr>
      <w:tr w14:paraId="5F606B48">
        <w:tblPrEx>
          <w:tblCellMar>
            <w:top w:w="0" w:type="dxa"/>
            <w:left w:w="0" w:type="dxa"/>
            <w:bottom w:w="0" w:type="dxa"/>
            <w:right w:w="0" w:type="dxa"/>
          </w:tblCellMar>
        </w:tblPrEx>
        <w:trPr>
          <w:trHeight w:val="228" w:hRule="atLeast"/>
        </w:trPr>
        <w:tc>
          <w:tcPr>
            <w:tcW w:w="950" w:type="dxa"/>
            <w:tcBorders>
              <w:top w:val="single" w:color="000000" w:sz="4" w:space="0"/>
            </w:tcBorders>
          </w:tcPr>
          <w:p w14:paraId="3B3030D6">
            <w:pPr>
              <w:pStyle w:val="53"/>
              <w:spacing w:before="9" w:line="240" w:lineRule="auto"/>
              <w:ind w:left="119"/>
              <w:jc w:val="center"/>
              <w:rPr>
                <w:sz w:val="18"/>
                <w:szCs w:val="18"/>
              </w:rPr>
            </w:pPr>
            <w:r>
              <w:rPr>
                <w:spacing w:val="-2"/>
                <w:sz w:val="18"/>
                <w:szCs w:val="18"/>
              </w:rPr>
              <w:t>const</w:t>
            </w:r>
          </w:p>
        </w:tc>
        <w:tc>
          <w:tcPr>
            <w:tcW w:w="1963" w:type="dxa"/>
            <w:tcBorders>
              <w:top w:val="single" w:color="000000" w:sz="4" w:space="0"/>
            </w:tcBorders>
          </w:tcPr>
          <w:p w14:paraId="42CE5570">
            <w:pPr>
              <w:pStyle w:val="53"/>
              <w:spacing w:before="9" w:line="240" w:lineRule="auto"/>
              <w:ind w:right="42"/>
              <w:jc w:val="center"/>
              <w:rPr>
                <w:sz w:val="18"/>
                <w:szCs w:val="18"/>
              </w:rPr>
            </w:pPr>
            <w:r>
              <w:rPr>
                <w:sz w:val="18"/>
                <w:szCs w:val="18"/>
              </w:rPr>
              <w:t xml:space="preserve">-0.0058 </w:t>
            </w:r>
            <w:r>
              <w:rPr>
                <w:spacing w:val="-2"/>
                <w:sz w:val="18"/>
                <w:szCs w:val="18"/>
              </w:rPr>
              <w:t>(0.2360)</w:t>
            </w:r>
          </w:p>
        </w:tc>
        <w:tc>
          <w:tcPr>
            <w:tcW w:w="1162" w:type="dxa"/>
            <w:tcBorders>
              <w:top w:val="single" w:color="000000" w:sz="4" w:space="0"/>
              <w:right w:val="single" w:color="000000" w:sz="4" w:space="0"/>
            </w:tcBorders>
          </w:tcPr>
          <w:p w14:paraId="00B07F69">
            <w:pPr>
              <w:pStyle w:val="53"/>
              <w:spacing w:before="9" w:line="240" w:lineRule="auto"/>
              <w:ind w:right="52"/>
              <w:jc w:val="center"/>
              <w:rPr>
                <w:sz w:val="18"/>
                <w:szCs w:val="18"/>
              </w:rPr>
            </w:pPr>
            <w:r>
              <w:rPr>
                <w:spacing w:val="-2"/>
                <w:sz w:val="18"/>
                <w:szCs w:val="18"/>
              </w:rPr>
              <w:t>0.9803</w:t>
            </w:r>
          </w:p>
        </w:tc>
        <w:tc>
          <w:tcPr>
            <w:tcW w:w="1569" w:type="dxa"/>
            <w:tcBorders>
              <w:top w:val="single" w:color="000000" w:sz="4" w:space="0"/>
              <w:left w:val="single" w:color="000000" w:sz="4" w:space="0"/>
            </w:tcBorders>
          </w:tcPr>
          <w:p w14:paraId="0E148AD5">
            <w:pPr>
              <w:pStyle w:val="53"/>
              <w:spacing w:before="9" w:line="240" w:lineRule="auto"/>
              <w:ind w:left="94"/>
              <w:jc w:val="center"/>
              <w:rPr>
                <w:sz w:val="18"/>
                <w:szCs w:val="18"/>
              </w:rPr>
            </w:pPr>
            <w:r>
              <w:rPr>
                <w:sz w:val="18"/>
                <w:szCs w:val="18"/>
              </w:rPr>
              <w:t xml:space="preserve">-0.0183 </w:t>
            </w:r>
            <w:r>
              <w:rPr>
                <w:spacing w:val="-2"/>
                <w:sz w:val="18"/>
                <w:szCs w:val="18"/>
              </w:rPr>
              <w:t>(0.00441)</w:t>
            </w:r>
          </w:p>
        </w:tc>
        <w:tc>
          <w:tcPr>
            <w:tcW w:w="1137" w:type="dxa"/>
            <w:tcBorders>
              <w:top w:val="single" w:color="000000" w:sz="4" w:space="0"/>
              <w:right w:val="single" w:color="000000" w:sz="4" w:space="0"/>
            </w:tcBorders>
          </w:tcPr>
          <w:p w14:paraId="451EBCE2">
            <w:pPr>
              <w:pStyle w:val="53"/>
              <w:spacing w:before="9" w:line="240" w:lineRule="auto"/>
              <w:ind w:left="96"/>
              <w:jc w:val="center"/>
              <w:rPr>
                <w:sz w:val="18"/>
                <w:szCs w:val="18"/>
              </w:rPr>
            </w:pPr>
            <w:r>
              <w:rPr>
                <w:spacing w:val="-2"/>
                <w:sz w:val="18"/>
                <w:szCs w:val="18"/>
              </w:rPr>
              <w:t>0.9803</w:t>
            </w:r>
          </w:p>
        </w:tc>
        <w:tc>
          <w:tcPr>
            <w:tcW w:w="1073" w:type="dxa"/>
            <w:tcBorders>
              <w:top w:val="single" w:color="000000" w:sz="4" w:space="0"/>
              <w:left w:val="single" w:color="000000" w:sz="4" w:space="0"/>
            </w:tcBorders>
            <w:shd w:val="clear" w:color="auto" w:fill="auto"/>
          </w:tcPr>
          <w:p w14:paraId="47411596">
            <w:pPr>
              <w:pStyle w:val="53"/>
              <w:spacing w:before="9" w:line="240" w:lineRule="auto"/>
              <w:ind w:right="118"/>
              <w:jc w:val="right"/>
              <w:rPr>
                <w:rFonts w:eastAsiaTheme="minorEastAsia"/>
                <w:sz w:val="18"/>
                <w:szCs w:val="18"/>
              </w:rPr>
            </w:pPr>
            <w:r>
              <w:rPr>
                <w:rFonts w:hint="eastAsia" w:eastAsiaTheme="minorEastAsia"/>
                <w:sz w:val="18"/>
                <w:szCs w:val="18"/>
              </w:rPr>
              <w:t>-0.02037</w:t>
            </w:r>
          </w:p>
        </w:tc>
        <w:tc>
          <w:tcPr>
            <w:tcW w:w="958" w:type="dxa"/>
            <w:tcBorders>
              <w:top w:val="single" w:color="000000" w:sz="4" w:space="0"/>
            </w:tcBorders>
            <w:shd w:val="clear" w:color="auto" w:fill="auto"/>
          </w:tcPr>
          <w:p w14:paraId="26E5F7CE">
            <w:pPr>
              <w:pStyle w:val="53"/>
              <w:spacing w:before="9" w:line="240" w:lineRule="auto"/>
              <w:ind w:right="119"/>
              <w:jc w:val="right"/>
              <w:rPr>
                <w:rFonts w:eastAsiaTheme="minorEastAsia"/>
                <w:sz w:val="18"/>
                <w:szCs w:val="18"/>
              </w:rPr>
            </w:pPr>
            <w:r>
              <w:rPr>
                <w:rFonts w:hint="eastAsia" w:eastAsiaTheme="minorEastAsia"/>
                <w:sz w:val="18"/>
                <w:szCs w:val="18"/>
              </w:rPr>
              <w:t>0.933</w:t>
            </w:r>
          </w:p>
        </w:tc>
      </w:tr>
      <w:tr w14:paraId="4CCDF2DE">
        <w:tblPrEx>
          <w:tblCellMar>
            <w:top w:w="0" w:type="dxa"/>
            <w:left w:w="0" w:type="dxa"/>
            <w:bottom w:w="0" w:type="dxa"/>
            <w:right w:w="0" w:type="dxa"/>
          </w:tblCellMar>
        </w:tblPrEx>
        <w:trPr>
          <w:trHeight w:val="236" w:hRule="atLeast"/>
        </w:trPr>
        <w:tc>
          <w:tcPr>
            <w:tcW w:w="950" w:type="dxa"/>
          </w:tcPr>
          <w:p w14:paraId="11009402">
            <w:pPr>
              <w:pStyle w:val="53"/>
              <w:spacing w:line="240" w:lineRule="auto"/>
              <w:ind w:left="119"/>
              <w:jc w:val="center"/>
              <w:rPr>
                <w:sz w:val="18"/>
                <w:szCs w:val="18"/>
              </w:rPr>
            </w:pPr>
            <w:r>
              <w:rPr>
                <w:spacing w:val="-2"/>
                <w:sz w:val="18"/>
                <w:szCs w:val="18"/>
              </w:rPr>
              <w:t>sentiment</w:t>
            </w:r>
          </w:p>
        </w:tc>
        <w:tc>
          <w:tcPr>
            <w:tcW w:w="1963" w:type="dxa"/>
          </w:tcPr>
          <w:p w14:paraId="5E3AC4F3">
            <w:pPr>
              <w:pStyle w:val="53"/>
              <w:spacing w:line="240" w:lineRule="auto"/>
              <w:ind w:right="42"/>
              <w:jc w:val="center"/>
              <w:rPr>
                <w:sz w:val="18"/>
                <w:szCs w:val="18"/>
              </w:rPr>
            </w:pPr>
            <w:r>
              <w:rPr>
                <w:sz w:val="18"/>
                <w:szCs w:val="18"/>
              </w:rPr>
              <w:t xml:space="preserve">0.0365 </w:t>
            </w:r>
            <w:r>
              <w:rPr>
                <w:spacing w:val="-2"/>
                <w:sz w:val="18"/>
                <w:szCs w:val="18"/>
              </w:rPr>
              <w:t>(0.0093)</w:t>
            </w:r>
          </w:p>
        </w:tc>
        <w:tc>
          <w:tcPr>
            <w:tcW w:w="1162" w:type="dxa"/>
            <w:tcBorders>
              <w:right w:val="single" w:color="000000" w:sz="4" w:space="0"/>
            </w:tcBorders>
          </w:tcPr>
          <w:p w14:paraId="0FA28F46">
            <w:pPr>
              <w:pStyle w:val="53"/>
              <w:spacing w:before="0" w:line="240" w:lineRule="auto"/>
              <w:ind w:right="62"/>
              <w:jc w:val="center"/>
              <w:rPr>
                <w:rFonts w:ascii="Lucida Sans Unicode" w:hAnsi="Lucida Sans Unicode"/>
                <w:sz w:val="18"/>
                <w:szCs w:val="18"/>
              </w:rPr>
            </w:pPr>
            <w:r>
              <w:rPr>
                <w:spacing w:val="-2"/>
                <w:sz w:val="18"/>
                <w:szCs w:val="18"/>
              </w:rPr>
              <w:t>0.0001</w:t>
            </w:r>
            <w:r>
              <w:rPr>
                <w:rFonts w:ascii="Lucida Sans Unicode" w:hAnsi="Lucida Sans Unicode"/>
                <w:spacing w:val="-2"/>
                <w:sz w:val="18"/>
                <w:szCs w:val="18"/>
                <w:vertAlign w:val="superscript"/>
              </w:rPr>
              <w:t>∗∗∗</w:t>
            </w:r>
          </w:p>
        </w:tc>
        <w:tc>
          <w:tcPr>
            <w:tcW w:w="1569" w:type="dxa"/>
            <w:tcBorders>
              <w:left w:val="single" w:color="000000" w:sz="4" w:space="0"/>
            </w:tcBorders>
          </w:tcPr>
          <w:p w14:paraId="6A5F209B">
            <w:pPr>
              <w:pStyle w:val="53"/>
              <w:spacing w:line="240" w:lineRule="auto"/>
              <w:ind w:left="94"/>
              <w:jc w:val="center"/>
              <w:rPr>
                <w:sz w:val="18"/>
                <w:szCs w:val="18"/>
              </w:rPr>
            </w:pPr>
            <w:r>
              <w:rPr>
                <w:sz w:val="18"/>
                <w:szCs w:val="18"/>
              </w:rPr>
              <w:t xml:space="preserve">0.0409 </w:t>
            </w:r>
            <w:r>
              <w:rPr>
                <w:spacing w:val="-2"/>
                <w:sz w:val="18"/>
                <w:szCs w:val="18"/>
              </w:rPr>
              <w:t>(0.00914)</w:t>
            </w:r>
          </w:p>
        </w:tc>
        <w:tc>
          <w:tcPr>
            <w:tcW w:w="1137" w:type="dxa"/>
            <w:tcBorders>
              <w:right w:val="single" w:color="000000" w:sz="4" w:space="0"/>
            </w:tcBorders>
          </w:tcPr>
          <w:p w14:paraId="5E72D2A4">
            <w:pPr>
              <w:pStyle w:val="53"/>
              <w:spacing w:before="0" w:line="240" w:lineRule="auto"/>
              <w:ind w:left="96" w:right="10"/>
              <w:jc w:val="center"/>
              <w:rPr>
                <w:rFonts w:ascii="Lucida Sans Unicode" w:hAnsi="Lucida Sans Unicode"/>
                <w:sz w:val="18"/>
                <w:szCs w:val="18"/>
              </w:rPr>
            </w:pPr>
            <w:r>
              <w:rPr>
                <w:spacing w:val="-2"/>
                <w:sz w:val="18"/>
                <w:szCs w:val="18"/>
              </w:rPr>
              <w:t>0.00001</w:t>
            </w:r>
            <w:r>
              <w:rPr>
                <w:rFonts w:ascii="Lucida Sans Unicode" w:hAnsi="Lucida Sans Unicode"/>
                <w:spacing w:val="-2"/>
                <w:sz w:val="18"/>
                <w:szCs w:val="18"/>
                <w:vertAlign w:val="superscript"/>
              </w:rPr>
              <w:t>∗∗∗</w:t>
            </w:r>
          </w:p>
        </w:tc>
        <w:tc>
          <w:tcPr>
            <w:tcW w:w="1073" w:type="dxa"/>
            <w:tcBorders>
              <w:left w:val="single" w:color="000000" w:sz="4" w:space="0"/>
            </w:tcBorders>
            <w:shd w:val="clear" w:color="auto" w:fill="auto"/>
          </w:tcPr>
          <w:p w14:paraId="7607D2D7">
            <w:pPr>
              <w:pStyle w:val="53"/>
              <w:spacing w:line="240" w:lineRule="auto"/>
              <w:ind w:right="118"/>
              <w:jc w:val="right"/>
              <w:rPr>
                <w:rFonts w:eastAsiaTheme="minorEastAsia"/>
                <w:sz w:val="18"/>
                <w:szCs w:val="18"/>
              </w:rPr>
            </w:pPr>
            <w:r>
              <w:rPr>
                <w:rFonts w:hint="eastAsia" w:eastAsiaTheme="minorEastAsia"/>
                <w:sz w:val="18"/>
                <w:szCs w:val="18"/>
              </w:rPr>
              <w:t>0.03921</w:t>
            </w:r>
          </w:p>
        </w:tc>
        <w:tc>
          <w:tcPr>
            <w:tcW w:w="958" w:type="dxa"/>
            <w:shd w:val="clear" w:color="auto" w:fill="auto"/>
          </w:tcPr>
          <w:p w14:paraId="25306636">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004***</w:t>
            </w:r>
          </w:p>
        </w:tc>
      </w:tr>
      <w:tr w14:paraId="65662AC0">
        <w:tblPrEx>
          <w:tblCellMar>
            <w:top w:w="0" w:type="dxa"/>
            <w:left w:w="0" w:type="dxa"/>
            <w:bottom w:w="0" w:type="dxa"/>
            <w:right w:w="0" w:type="dxa"/>
          </w:tblCellMar>
        </w:tblPrEx>
        <w:trPr>
          <w:trHeight w:val="236" w:hRule="atLeast"/>
        </w:trPr>
        <w:tc>
          <w:tcPr>
            <w:tcW w:w="950" w:type="dxa"/>
          </w:tcPr>
          <w:p w14:paraId="13EB12E8">
            <w:pPr>
              <w:pStyle w:val="53"/>
              <w:spacing w:line="240" w:lineRule="auto"/>
              <w:ind w:left="119"/>
              <w:jc w:val="center"/>
              <w:rPr>
                <w:sz w:val="18"/>
                <w:szCs w:val="18"/>
              </w:rPr>
            </w:pPr>
            <w:r>
              <w:rPr>
                <w:spacing w:val="-5"/>
                <w:sz w:val="18"/>
                <w:szCs w:val="18"/>
              </w:rPr>
              <w:t>ARE</w:t>
            </w:r>
          </w:p>
        </w:tc>
        <w:tc>
          <w:tcPr>
            <w:tcW w:w="1963" w:type="dxa"/>
          </w:tcPr>
          <w:p w14:paraId="3C41031B">
            <w:pPr>
              <w:pStyle w:val="53"/>
              <w:spacing w:line="240" w:lineRule="auto"/>
              <w:ind w:right="42"/>
              <w:jc w:val="center"/>
              <w:rPr>
                <w:sz w:val="18"/>
                <w:szCs w:val="18"/>
              </w:rPr>
            </w:pPr>
            <w:r>
              <w:rPr>
                <w:sz w:val="18"/>
                <w:szCs w:val="18"/>
              </w:rPr>
              <w:t xml:space="preserve">0.0005 </w:t>
            </w:r>
            <w:r>
              <w:rPr>
                <w:spacing w:val="-2"/>
                <w:sz w:val="18"/>
                <w:szCs w:val="18"/>
              </w:rPr>
              <w:t>(0.0005)</w:t>
            </w:r>
          </w:p>
        </w:tc>
        <w:tc>
          <w:tcPr>
            <w:tcW w:w="1162" w:type="dxa"/>
            <w:tcBorders>
              <w:right w:val="single" w:color="000000" w:sz="4" w:space="0"/>
            </w:tcBorders>
          </w:tcPr>
          <w:p w14:paraId="2520FED3">
            <w:pPr>
              <w:pStyle w:val="53"/>
              <w:spacing w:line="240" w:lineRule="auto"/>
              <w:ind w:right="52"/>
              <w:jc w:val="center"/>
              <w:rPr>
                <w:sz w:val="18"/>
                <w:szCs w:val="18"/>
              </w:rPr>
            </w:pPr>
            <w:r>
              <w:rPr>
                <w:spacing w:val="-2"/>
                <w:sz w:val="18"/>
                <w:szCs w:val="18"/>
              </w:rPr>
              <w:t>0.3040</w:t>
            </w:r>
          </w:p>
        </w:tc>
        <w:tc>
          <w:tcPr>
            <w:tcW w:w="1569" w:type="dxa"/>
            <w:tcBorders>
              <w:left w:val="single" w:color="000000" w:sz="4" w:space="0"/>
            </w:tcBorders>
          </w:tcPr>
          <w:p w14:paraId="7DDC9A39">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1315780B">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39AAF0E0">
            <w:pPr>
              <w:pStyle w:val="53"/>
              <w:spacing w:line="240" w:lineRule="auto"/>
              <w:ind w:right="118"/>
              <w:jc w:val="right"/>
              <w:rPr>
                <w:rFonts w:eastAsiaTheme="minorEastAsia"/>
                <w:sz w:val="18"/>
                <w:szCs w:val="18"/>
              </w:rPr>
            </w:pPr>
            <w:r>
              <w:rPr>
                <w:spacing w:val="-2"/>
                <w:sz w:val="18"/>
                <w:szCs w:val="18"/>
              </w:rPr>
              <w:t>0.000</w:t>
            </w:r>
            <w:r>
              <w:rPr>
                <w:rFonts w:hint="eastAsia" w:eastAsiaTheme="minorEastAsia"/>
                <w:spacing w:val="-2"/>
                <w:sz w:val="18"/>
                <w:szCs w:val="18"/>
              </w:rPr>
              <w:t>38</w:t>
            </w:r>
          </w:p>
        </w:tc>
        <w:tc>
          <w:tcPr>
            <w:tcW w:w="958" w:type="dxa"/>
            <w:shd w:val="clear" w:color="auto" w:fill="auto"/>
          </w:tcPr>
          <w:p w14:paraId="6DE781A9">
            <w:pPr>
              <w:pStyle w:val="53"/>
              <w:spacing w:before="0" w:line="240" w:lineRule="auto"/>
              <w:ind w:right="129"/>
              <w:jc w:val="right"/>
              <w:rPr>
                <w:rFonts w:ascii="Lucida Sans Unicode" w:hAnsi="Lucida Sans Unicode" w:eastAsiaTheme="minorEastAsia"/>
                <w:sz w:val="18"/>
                <w:szCs w:val="18"/>
              </w:rPr>
            </w:pPr>
            <w:r>
              <w:rPr>
                <w:spacing w:val="-2"/>
                <w:sz w:val="18"/>
                <w:szCs w:val="18"/>
              </w:rPr>
              <w:t>0.</w:t>
            </w:r>
            <w:r>
              <w:rPr>
                <w:rFonts w:hint="eastAsia" w:eastAsiaTheme="minorEastAsia"/>
                <w:spacing w:val="-2"/>
                <w:sz w:val="18"/>
                <w:szCs w:val="18"/>
              </w:rPr>
              <w:t>418</w:t>
            </w:r>
          </w:p>
        </w:tc>
      </w:tr>
      <w:tr w14:paraId="37431557">
        <w:tblPrEx>
          <w:tblCellMar>
            <w:top w:w="0" w:type="dxa"/>
            <w:left w:w="0" w:type="dxa"/>
            <w:bottom w:w="0" w:type="dxa"/>
            <w:right w:w="0" w:type="dxa"/>
          </w:tblCellMar>
        </w:tblPrEx>
        <w:trPr>
          <w:trHeight w:val="236" w:hRule="atLeast"/>
        </w:trPr>
        <w:tc>
          <w:tcPr>
            <w:tcW w:w="950" w:type="dxa"/>
          </w:tcPr>
          <w:p w14:paraId="1B82F96B">
            <w:pPr>
              <w:pStyle w:val="53"/>
              <w:spacing w:line="240" w:lineRule="auto"/>
              <w:ind w:left="119"/>
              <w:jc w:val="center"/>
              <w:rPr>
                <w:sz w:val="18"/>
                <w:szCs w:val="18"/>
              </w:rPr>
            </w:pPr>
            <w:r>
              <w:rPr>
                <w:spacing w:val="-5"/>
                <w:sz w:val="18"/>
                <w:szCs w:val="18"/>
              </w:rPr>
              <w:t>OPM</w:t>
            </w:r>
          </w:p>
        </w:tc>
        <w:tc>
          <w:tcPr>
            <w:tcW w:w="1963" w:type="dxa"/>
          </w:tcPr>
          <w:p w14:paraId="0AA74668">
            <w:pPr>
              <w:pStyle w:val="53"/>
              <w:spacing w:line="240" w:lineRule="auto"/>
              <w:ind w:right="42"/>
              <w:jc w:val="center"/>
              <w:rPr>
                <w:sz w:val="18"/>
                <w:szCs w:val="18"/>
              </w:rPr>
            </w:pPr>
            <w:r>
              <w:rPr>
                <w:sz w:val="18"/>
                <w:szCs w:val="18"/>
              </w:rPr>
              <w:t xml:space="preserve">-0.0000 </w:t>
            </w:r>
            <w:r>
              <w:rPr>
                <w:spacing w:val="-2"/>
                <w:sz w:val="18"/>
                <w:szCs w:val="18"/>
              </w:rPr>
              <w:t>(0.0000)</w:t>
            </w:r>
          </w:p>
        </w:tc>
        <w:tc>
          <w:tcPr>
            <w:tcW w:w="1162" w:type="dxa"/>
            <w:tcBorders>
              <w:right w:val="single" w:color="000000" w:sz="4" w:space="0"/>
            </w:tcBorders>
          </w:tcPr>
          <w:p w14:paraId="4E44B0AA">
            <w:pPr>
              <w:pStyle w:val="53"/>
              <w:spacing w:before="0" w:line="240" w:lineRule="auto"/>
              <w:ind w:right="62"/>
              <w:jc w:val="center"/>
              <w:rPr>
                <w:rFonts w:ascii="Lucida Sans Unicode" w:hAnsi="Lucida Sans Unicode"/>
                <w:sz w:val="18"/>
                <w:szCs w:val="18"/>
              </w:rPr>
            </w:pPr>
            <w:r>
              <w:rPr>
                <w:spacing w:val="-2"/>
                <w:sz w:val="18"/>
                <w:szCs w:val="18"/>
              </w:rPr>
              <w:t>0.0927</w:t>
            </w:r>
            <w:r>
              <w:rPr>
                <w:rFonts w:ascii="Lucida Sans Unicode" w:hAnsi="Lucida Sans Unicode"/>
                <w:spacing w:val="-2"/>
                <w:sz w:val="18"/>
                <w:szCs w:val="18"/>
                <w:vertAlign w:val="superscript"/>
              </w:rPr>
              <w:t>∗</w:t>
            </w:r>
          </w:p>
        </w:tc>
        <w:tc>
          <w:tcPr>
            <w:tcW w:w="1569" w:type="dxa"/>
            <w:tcBorders>
              <w:left w:val="single" w:color="000000" w:sz="4" w:space="0"/>
            </w:tcBorders>
          </w:tcPr>
          <w:p w14:paraId="3C3A3C08">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211DC351">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0DDACE0D">
            <w:pPr>
              <w:pStyle w:val="53"/>
              <w:spacing w:line="240" w:lineRule="auto"/>
              <w:ind w:right="118"/>
              <w:jc w:val="right"/>
              <w:rPr>
                <w:rFonts w:eastAsiaTheme="minorEastAsia"/>
                <w:sz w:val="18"/>
                <w:szCs w:val="18"/>
              </w:rPr>
            </w:pPr>
            <w:r>
              <w:rPr>
                <w:spacing w:val="-2"/>
                <w:sz w:val="18"/>
                <w:szCs w:val="18"/>
              </w:rPr>
              <w:t>-0.00000</w:t>
            </w:r>
            <w:r>
              <w:rPr>
                <w:rFonts w:hint="eastAsia" w:eastAsiaTheme="minorEastAsia"/>
                <w:spacing w:val="-2"/>
                <w:sz w:val="18"/>
                <w:szCs w:val="18"/>
              </w:rPr>
              <w:t>5</w:t>
            </w:r>
          </w:p>
        </w:tc>
        <w:tc>
          <w:tcPr>
            <w:tcW w:w="958" w:type="dxa"/>
            <w:shd w:val="clear" w:color="auto" w:fill="auto"/>
          </w:tcPr>
          <w:p w14:paraId="1E1F711D">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0816</w:t>
            </w:r>
          </w:p>
        </w:tc>
      </w:tr>
      <w:tr w14:paraId="3833ABA0">
        <w:tblPrEx>
          <w:tblCellMar>
            <w:top w:w="0" w:type="dxa"/>
            <w:left w:w="0" w:type="dxa"/>
            <w:bottom w:w="0" w:type="dxa"/>
            <w:right w:w="0" w:type="dxa"/>
          </w:tblCellMar>
        </w:tblPrEx>
        <w:trPr>
          <w:trHeight w:val="236" w:hRule="atLeast"/>
        </w:trPr>
        <w:tc>
          <w:tcPr>
            <w:tcW w:w="950" w:type="dxa"/>
          </w:tcPr>
          <w:p w14:paraId="2396801A">
            <w:pPr>
              <w:pStyle w:val="53"/>
              <w:spacing w:line="240" w:lineRule="auto"/>
              <w:ind w:left="119"/>
              <w:jc w:val="center"/>
              <w:rPr>
                <w:sz w:val="18"/>
                <w:szCs w:val="18"/>
              </w:rPr>
            </w:pPr>
            <w:r>
              <w:rPr>
                <w:spacing w:val="-5"/>
                <w:sz w:val="18"/>
                <w:szCs w:val="18"/>
              </w:rPr>
              <w:t>CR</w:t>
            </w:r>
          </w:p>
        </w:tc>
        <w:tc>
          <w:tcPr>
            <w:tcW w:w="1963" w:type="dxa"/>
          </w:tcPr>
          <w:p w14:paraId="5FBD2296">
            <w:pPr>
              <w:pStyle w:val="53"/>
              <w:spacing w:line="240" w:lineRule="auto"/>
              <w:ind w:right="42"/>
              <w:jc w:val="center"/>
              <w:rPr>
                <w:sz w:val="18"/>
                <w:szCs w:val="18"/>
              </w:rPr>
            </w:pPr>
            <w:r>
              <w:rPr>
                <w:sz w:val="18"/>
                <w:szCs w:val="18"/>
              </w:rPr>
              <w:t xml:space="preserve">0.0031 </w:t>
            </w:r>
            <w:r>
              <w:rPr>
                <w:spacing w:val="-2"/>
                <w:sz w:val="18"/>
                <w:szCs w:val="18"/>
              </w:rPr>
              <w:t>(0.0022)</w:t>
            </w:r>
          </w:p>
        </w:tc>
        <w:tc>
          <w:tcPr>
            <w:tcW w:w="1162" w:type="dxa"/>
            <w:tcBorders>
              <w:right w:val="single" w:color="000000" w:sz="4" w:space="0"/>
            </w:tcBorders>
          </w:tcPr>
          <w:p w14:paraId="75E4B6B8">
            <w:pPr>
              <w:pStyle w:val="53"/>
              <w:spacing w:line="240" w:lineRule="auto"/>
              <w:ind w:right="52"/>
              <w:jc w:val="center"/>
              <w:rPr>
                <w:sz w:val="18"/>
                <w:szCs w:val="18"/>
              </w:rPr>
            </w:pPr>
            <w:r>
              <w:rPr>
                <w:spacing w:val="-2"/>
                <w:sz w:val="18"/>
                <w:szCs w:val="18"/>
              </w:rPr>
              <w:t>0.1475</w:t>
            </w:r>
          </w:p>
        </w:tc>
        <w:tc>
          <w:tcPr>
            <w:tcW w:w="1569" w:type="dxa"/>
            <w:tcBorders>
              <w:left w:val="single" w:color="000000" w:sz="4" w:space="0"/>
            </w:tcBorders>
          </w:tcPr>
          <w:p w14:paraId="6242B611">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344F8284">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694EE1B6">
            <w:pPr>
              <w:pStyle w:val="53"/>
              <w:spacing w:line="240" w:lineRule="auto"/>
              <w:ind w:right="118"/>
              <w:jc w:val="right"/>
              <w:rPr>
                <w:rFonts w:eastAsiaTheme="minorEastAsia"/>
                <w:sz w:val="18"/>
                <w:szCs w:val="18"/>
              </w:rPr>
            </w:pPr>
            <w:r>
              <w:rPr>
                <w:spacing w:val="-2"/>
                <w:sz w:val="18"/>
                <w:szCs w:val="18"/>
              </w:rPr>
              <w:t>0.00</w:t>
            </w:r>
            <w:r>
              <w:rPr>
                <w:rFonts w:hint="eastAsia" w:eastAsiaTheme="minorEastAsia"/>
                <w:spacing w:val="-2"/>
                <w:sz w:val="18"/>
                <w:szCs w:val="18"/>
              </w:rPr>
              <w:t>315</w:t>
            </w:r>
          </w:p>
        </w:tc>
        <w:tc>
          <w:tcPr>
            <w:tcW w:w="958" w:type="dxa"/>
            <w:shd w:val="clear" w:color="auto" w:fill="auto"/>
          </w:tcPr>
          <w:p w14:paraId="1235E234">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157</w:t>
            </w:r>
          </w:p>
        </w:tc>
      </w:tr>
      <w:tr w14:paraId="0D44037A">
        <w:tblPrEx>
          <w:tblCellMar>
            <w:top w:w="0" w:type="dxa"/>
            <w:left w:w="0" w:type="dxa"/>
            <w:bottom w:w="0" w:type="dxa"/>
            <w:right w:w="0" w:type="dxa"/>
          </w:tblCellMar>
        </w:tblPrEx>
        <w:trPr>
          <w:trHeight w:val="236" w:hRule="atLeast"/>
        </w:trPr>
        <w:tc>
          <w:tcPr>
            <w:tcW w:w="950" w:type="dxa"/>
          </w:tcPr>
          <w:p w14:paraId="314BDE96">
            <w:pPr>
              <w:pStyle w:val="53"/>
              <w:spacing w:line="240" w:lineRule="auto"/>
              <w:ind w:left="119"/>
              <w:jc w:val="center"/>
              <w:rPr>
                <w:sz w:val="18"/>
                <w:szCs w:val="18"/>
              </w:rPr>
            </w:pPr>
            <w:r>
              <w:rPr>
                <w:spacing w:val="-5"/>
                <w:sz w:val="18"/>
                <w:szCs w:val="18"/>
              </w:rPr>
              <w:t>QR</w:t>
            </w:r>
          </w:p>
        </w:tc>
        <w:tc>
          <w:tcPr>
            <w:tcW w:w="1963" w:type="dxa"/>
          </w:tcPr>
          <w:p w14:paraId="46A6E294">
            <w:pPr>
              <w:pStyle w:val="53"/>
              <w:spacing w:line="240" w:lineRule="auto"/>
              <w:ind w:right="42"/>
              <w:jc w:val="center"/>
              <w:rPr>
                <w:sz w:val="18"/>
                <w:szCs w:val="18"/>
              </w:rPr>
            </w:pPr>
            <w:r>
              <w:rPr>
                <w:sz w:val="18"/>
                <w:szCs w:val="18"/>
              </w:rPr>
              <w:t xml:space="preserve">-0.0073 </w:t>
            </w:r>
            <w:r>
              <w:rPr>
                <w:spacing w:val="-2"/>
                <w:sz w:val="18"/>
                <w:szCs w:val="18"/>
              </w:rPr>
              <w:t>(0.0040)</w:t>
            </w:r>
          </w:p>
        </w:tc>
        <w:tc>
          <w:tcPr>
            <w:tcW w:w="1162" w:type="dxa"/>
            <w:tcBorders>
              <w:right w:val="single" w:color="000000" w:sz="4" w:space="0"/>
            </w:tcBorders>
          </w:tcPr>
          <w:p w14:paraId="0B4F298D">
            <w:pPr>
              <w:pStyle w:val="53"/>
              <w:spacing w:before="0" w:line="240" w:lineRule="auto"/>
              <w:ind w:right="62"/>
              <w:jc w:val="center"/>
              <w:rPr>
                <w:rFonts w:ascii="Lucida Sans Unicode" w:hAnsi="Lucida Sans Unicode"/>
                <w:sz w:val="18"/>
                <w:szCs w:val="18"/>
              </w:rPr>
            </w:pPr>
            <w:r>
              <w:rPr>
                <w:spacing w:val="-2"/>
                <w:sz w:val="18"/>
                <w:szCs w:val="18"/>
              </w:rPr>
              <w:t>0.0711</w:t>
            </w:r>
            <w:r>
              <w:rPr>
                <w:rFonts w:ascii="Lucida Sans Unicode" w:hAnsi="Lucida Sans Unicode"/>
                <w:spacing w:val="-2"/>
                <w:sz w:val="18"/>
                <w:szCs w:val="18"/>
                <w:vertAlign w:val="superscript"/>
              </w:rPr>
              <w:t>∗</w:t>
            </w:r>
          </w:p>
        </w:tc>
        <w:tc>
          <w:tcPr>
            <w:tcW w:w="1569" w:type="dxa"/>
            <w:tcBorders>
              <w:left w:val="single" w:color="000000" w:sz="4" w:space="0"/>
            </w:tcBorders>
          </w:tcPr>
          <w:p w14:paraId="76F9BB45">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659236FB">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35543132">
            <w:pPr>
              <w:pStyle w:val="53"/>
              <w:spacing w:line="240" w:lineRule="auto"/>
              <w:ind w:right="118"/>
              <w:jc w:val="right"/>
              <w:rPr>
                <w:rFonts w:eastAsiaTheme="minorEastAsia"/>
                <w:sz w:val="18"/>
                <w:szCs w:val="18"/>
              </w:rPr>
            </w:pPr>
            <w:r>
              <w:rPr>
                <w:sz w:val="18"/>
                <w:szCs w:val="18"/>
              </w:rPr>
              <w:t>-</w:t>
            </w:r>
            <w:r>
              <w:rPr>
                <w:spacing w:val="-2"/>
                <w:sz w:val="18"/>
                <w:szCs w:val="18"/>
              </w:rPr>
              <w:t>0.00</w:t>
            </w:r>
            <w:r>
              <w:rPr>
                <w:rFonts w:hint="eastAsia" w:eastAsiaTheme="minorEastAsia"/>
                <w:spacing w:val="-2"/>
                <w:sz w:val="18"/>
                <w:szCs w:val="18"/>
              </w:rPr>
              <w:t>680</w:t>
            </w:r>
          </w:p>
        </w:tc>
        <w:tc>
          <w:tcPr>
            <w:tcW w:w="958" w:type="dxa"/>
            <w:shd w:val="clear" w:color="auto" w:fill="auto"/>
          </w:tcPr>
          <w:p w14:paraId="79F02839">
            <w:pPr>
              <w:pStyle w:val="53"/>
              <w:spacing w:before="0" w:line="240" w:lineRule="auto"/>
              <w:ind w:right="129"/>
              <w:jc w:val="right"/>
              <w:rPr>
                <w:rFonts w:ascii="Lucida Sans Unicode" w:hAnsi="Lucida Sans Unicode" w:eastAsiaTheme="minorEastAsia"/>
                <w:sz w:val="18"/>
                <w:szCs w:val="18"/>
              </w:rPr>
            </w:pPr>
            <w:r>
              <w:rPr>
                <w:spacing w:val="-2"/>
                <w:sz w:val="18"/>
                <w:szCs w:val="18"/>
              </w:rPr>
              <w:t>0.</w:t>
            </w:r>
            <w:r>
              <w:rPr>
                <w:rFonts w:hint="eastAsia" w:eastAsiaTheme="minorEastAsia"/>
                <w:spacing w:val="-2"/>
                <w:sz w:val="18"/>
                <w:szCs w:val="18"/>
              </w:rPr>
              <w:t>102</w:t>
            </w:r>
          </w:p>
        </w:tc>
      </w:tr>
      <w:tr w14:paraId="36C2BAD8">
        <w:tblPrEx>
          <w:tblCellMar>
            <w:top w:w="0" w:type="dxa"/>
            <w:left w:w="0" w:type="dxa"/>
            <w:bottom w:w="0" w:type="dxa"/>
            <w:right w:w="0" w:type="dxa"/>
          </w:tblCellMar>
        </w:tblPrEx>
        <w:trPr>
          <w:trHeight w:val="236" w:hRule="atLeast"/>
        </w:trPr>
        <w:tc>
          <w:tcPr>
            <w:tcW w:w="950" w:type="dxa"/>
          </w:tcPr>
          <w:p w14:paraId="05462109">
            <w:pPr>
              <w:pStyle w:val="53"/>
              <w:spacing w:line="240" w:lineRule="auto"/>
              <w:ind w:left="119"/>
              <w:jc w:val="center"/>
              <w:rPr>
                <w:sz w:val="18"/>
                <w:szCs w:val="18"/>
              </w:rPr>
            </w:pPr>
            <w:r>
              <w:rPr>
                <w:spacing w:val="-5"/>
                <w:sz w:val="18"/>
                <w:szCs w:val="18"/>
              </w:rPr>
              <w:t>ND</w:t>
            </w:r>
          </w:p>
        </w:tc>
        <w:tc>
          <w:tcPr>
            <w:tcW w:w="1963" w:type="dxa"/>
          </w:tcPr>
          <w:p w14:paraId="6E6E1535">
            <w:pPr>
              <w:pStyle w:val="53"/>
              <w:spacing w:line="240" w:lineRule="auto"/>
              <w:ind w:right="42"/>
              <w:jc w:val="center"/>
              <w:rPr>
                <w:sz w:val="18"/>
                <w:szCs w:val="18"/>
              </w:rPr>
            </w:pPr>
            <w:r>
              <w:rPr>
                <w:sz w:val="18"/>
                <w:szCs w:val="18"/>
              </w:rPr>
              <w:t xml:space="preserve">-0.0006 </w:t>
            </w:r>
            <w:r>
              <w:rPr>
                <w:spacing w:val="-2"/>
                <w:sz w:val="18"/>
                <w:szCs w:val="18"/>
              </w:rPr>
              <w:t>(0.0022)</w:t>
            </w:r>
          </w:p>
        </w:tc>
        <w:tc>
          <w:tcPr>
            <w:tcW w:w="1162" w:type="dxa"/>
            <w:tcBorders>
              <w:right w:val="single" w:color="000000" w:sz="4" w:space="0"/>
            </w:tcBorders>
          </w:tcPr>
          <w:p w14:paraId="10308246">
            <w:pPr>
              <w:pStyle w:val="53"/>
              <w:spacing w:line="240" w:lineRule="auto"/>
              <w:ind w:right="52"/>
              <w:jc w:val="center"/>
              <w:rPr>
                <w:sz w:val="18"/>
                <w:szCs w:val="18"/>
              </w:rPr>
            </w:pPr>
            <w:r>
              <w:rPr>
                <w:spacing w:val="-2"/>
                <w:sz w:val="18"/>
                <w:szCs w:val="18"/>
              </w:rPr>
              <w:t>0.7852</w:t>
            </w:r>
          </w:p>
        </w:tc>
        <w:tc>
          <w:tcPr>
            <w:tcW w:w="1569" w:type="dxa"/>
            <w:tcBorders>
              <w:left w:val="single" w:color="000000" w:sz="4" w:space="0"/>
            </w:tcBorders>
          </w:tcPr>
          <w:p w14:paraId="30028030">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6AFC7339">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71DD3DFA">
            <w:pPr>
              <w:pStyle w:val="53"/>
              <w:spacing w:line="240" w:lineRule="auto"/>
              <w:ind w:right="118"/>
              <w:jc w:val="right"/>
              <w:rPr>
                <w:rFonts w:eastAsiaTheme="minorEastAsia"/>
                <w:sz w:val="18"/>
                <w:szCs w:val="18"/>
              </w:rPr>
            </w:pPr>
            <w:r>
              <w:rPr>
                <w:sz w:val="18"/>
                <w:szCs w:val="18"/>
              </w:rPr>
              <w:t>-</w:t>
            </w:r>
            <w:r>
              <w:rPr>
                <w:spacing w:val="-2"/>
                <w:sz w:val="18"/>
                <w:szCs w:val="18"/>
              </w:rPr>
              <w:t>0.000</w:t>
            </w:r>
            <w:r>
              <w:rPr>
                <w:rFonts w:hint="eastAsia" w:eastAsiaTheme="minorEastAsia"/>
                <w:spacing w:val="-2"/>
                <w:sz w:val="18"/>
                <w:szCs w:val="18"/>
              </w:rPr>
              <w:t>49</w:t>
            </w:r>
          </w:p>
        </w:tc>
        <w:tc>
          <w:tcPr>
            <w:tcW w:w="958" w:type="dxa"/>
            <w:shd w:val="clear" w:color="auto" w:fill="auto"/>
          </w:tcPr>
          <w:p w14:paraId="4F9F8BCB">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828</w:t>
            </w:r>
          </w:p>
        </w:tc>
      </w:tr>
      <w:tr w14:paraId="5AAC9552">
        <w:tblPrEx>
          <w:tblCellMar>
            <w:top w:w="0" w:type="dxa"/>
            <w:left w:w="0" w:type="dxa"/>
            <w:bottom w:w="0" w:type="dxa"/>
            <w:right w:w="0" w:type="dxa"/>
          </w:tblCellMar>
        </w:tblPrEx>
        <w:trPr>
          <w:trHeight w:val="236" w:hRule="atLeast"/>
        </w:trPr>
        <w:tc>
          <w:tcPr>
            <w:tcW w:w="950" w:type="dxa"/>
          </w:tcPr>
          <w:p w14:paraId="6786D0F9">
            <w:pPr>
              <w:pStyle w:val="53"/>
              <w:spacing w:line="240" w:lineRule="auto"/>
              <w:ind w:left="119"/>
              <w:jc w:val="center"/>
              <w:rPr>
                <w:sz w:val="18"/>
                <w:szCs w:val="18"/>
              </w:rPr>
            </w:pPr>
            <w:r>
              <w:rPr>
                <w:spacing w:val="-5"/>
                <w:sz w:val="18"/>
                <w:szCs w:val="18"/>
              </w:rPr>
              <w:t>AT</w:t>
            </w:r>
          </w:p>
        </w:tc>
        <w:tc>
          <w:tcPr>
            <w:tcW w:w="1963" w:type="dxa"/>
          </w:tcPr>
          <w:p w14:paraId="3A0BDEDD">
            <w:pPr>
              <w:pStyle w:val="53"/>
              <w:spacing w:line="240" w:lineRule="auto"/>
              <w:ind w:right="42"/>
              <w:jc w:val="center"/>
              <w:rPr>
                <w:sz w:val="18"/>
                <w:szCs w:val="18"/>
              </w:rPr>
            </w:pPr>
            <w:r>
              <w:rPr>
                <w:sz w:val="18"/>
                <w:szCs w:val="18"/>
              </w:rPr>
              <w:t xml:space="preserve">0.0088 </w:t>
            </w:r>
            <w:r>
              <w:rPr>
                <w:spacing w:val="-2"/>
                <w:sz w:val="18"/>
                <w:szCs w:val="18"/>
              </w:rPr>
              <w:t>(0.0090)</w:t>
            </w:r>
          </w:p>
        </w:tc>
        <w:tc>
          <w:tcPr>
            <w:tcW w:w="1162" w:type="dxa"/>
            <w:tcBorders>
              <w:right w:val="single" w:color="000000" w:sz="4" w:space="0"/>
            </w:tcBorders>
          </w:tcPr>
          <w:p w14:paraId="7471882B">
            <w:pPr>
              <w:pStyle w:val="53"/>
              <w:spacing w:line="240" w:lineRule="auto"/>
              <w:ind w:right="52"/>
              <w:jc w:val="center"/>
              <w:rPr>
                <w:sz w:val="18"/>
                <w:szCs w:val="18"/>
              </w:rPr>
            </w:pPr>
            <w:r>
              <w:rPr>
                <w:spacing w:val="-2"/>
                <w:sz w:val="18"/>
                <w:szCs w:val="18"/>
              </w:rPr>
              <w:t>0.3300</w:t>
            </w:r>
          </w:p>
        </w:tc>
        <w:tc>
          <w:tcPr>
            <w:tcW w:w="1569" w:type="dxa"/>
            <w:tcBorders>
              <w:left w:val="single" w:color="000000" w:sz="4" w:space="0"/>
            </w:tcBorders>
          </w:tcPr>
          <w:p w14:paraId="4281C931">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0810221D">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6DF966AF">
            <w:pPr>
              <w:pStyle w:val="53"/>
              <w:spacing w:line="240" w:lineRule="auto"/>
              <w:ind w:right="118"/>
              <w:jc w:val="right"/>
              <w:rPr>
                <w:rFonts w:eastAsiaTheme="minorEastAsia"/>
                <w:sz w:val="18"/>
                <w:szCs w:val="18"/>
              </w:rPr>
            </w:pPr>
            <w:r>
              <w:rPr>
                <w:spacing w:val="-2"/>
                <w:sz w:val="18"/>
                <w:szCs w:val="18"/>
              </w:rPr>
              <w:t>0.00</w:t>
            </w:r>
            <w:r>
              <w:rPr>
                <w:rFonts w:hint="eastAsia" w:eastAsiaTheme="minorEastAsia"/>
                <w:spacing w:val="-2"/>
                <w:sz w:val="18"/>
                <w:szCs w:val="18"/>
              </w:rPr>
              <w:t>836</w:t>
            </w:r>
          </w:p>
        </w:tc>
        <w:tc>
          <w:tcPr>
            <w:tcW w:w="958" w:type="dxa"/>
            <w:shd w:val="clear" w:color="auto" w:fill="auto"/>
          </w:tcPr>
          <w:p w14:paraId="13E5319A">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366</w:t>
            </w:r>
          </w:p>
        </w:tc>
      </w:tr>
      <w:tr w14:paraId="6702521F">
        <w:tblPrEx>
          <w:tblCellMar>
            <w:top w:w="0" w:type="dxa"/>
            <w:left w:w="0" w:type="dxa"/>
            <w:bottom w:w="0" w:type="dxa"/>
            <w:right w:w="0" w:type="dxa"/>
          </w:tblCellMar>
        </w:tblPrEx>
        <w:trPr>
          <w:trHeight w:val="236" w:hRule="atLeast"/>
        </w:trPr>
        <w:tc>
          <w:tcPr>
            <w:tcW w:w="950" w:type="dxa"/>
          </w:tcPr>
          <w:p w14:paraId="29E9435B">
            <w:pPr>
              <w:pStyle w:val="53"/>
              <w:spacing w:line="240" w:lineRule="auto"/>
              <w:ind w:left="119"/>
              <w:jc w:val="center"/>
              <w:rPr>
                <w:sz w:val="18"/>
                <w:szCs w:val="18"/>
              </w:rPr>
            </w:pPr>
            <w:r>
              <w:rPr>
                <w:spacing w:val="-5"/>
                <w:sz w:val="18"/>
                <w:szCs w:val="18"/>
              </w:rPr>
              <w:t>Soe</w:t>
            </w:r>
          </w:p>
        </w:tc>
        <w:tc>
          <w:tcPr>
            <w:tcW w:w="1963" w:type="dxa"/>
          </w:tcPr>
          <w:p w14:paraId="74C9C85B">
            <w:pPr>
              <w:pStyle w:val="53"/>
              <w:spacing w:line="240" w:lineRule="auto"/>
              <w:ind w:right="42"/>
              <w:jc w:val="center"/>
              <w:rPr>
                <w:sz w:val="18"/>
                <w:szCs w:val="18"/>
              </w:rPr>
            </w:pPr>
            <w:r>
              <w:rPr>
                <w:sz w:val="18"/>
                <w:szCs w:val="18"/>
              </w:rPr>
              <w:t xml:space="preserve">0.0018 </w:t>
            </w:r>
            <w:r>
              <w:rPr>
                <w:spacing w:val="-2"/>
                <w:sz w:val="18"/>
                <w:szCs w:val="18"/>
              </w:rPr>
              <w:t>(0.0117)</w:t>
            </w:r>
          </w:p>
        </w:tc>
        <w:tc>
          <w:tcPr>
            <w:tcW w:w="1162" w:type="dxa"/>
            <w:tcBorders>
              <w:right w:val="single" w:color="000000" w:sz="4" w:space="0"/>
            </w:tcBorders>
          </w:tcPr>
          <w:p w14:paraId="7C184424">
            <w:pPr>
              <w:pStyle w:val="53"/>
              <w:spacing w:line="240" w:lineRule="auto"/>
              <w:ind w:right="52"/>
              <w:jc w:val="center"/>
              <w:rPr>
                <w:sz w:val="18"/>
                <w:szCs w:val="18"/>
              </w:rPr>
            </w:pPr>
            <w:r>
              <w:rPr>
                <w:spacing w:val="-2"/>
                <w:sz w:val="18"/>
                <w:szCs w:val="18"/>
              </w:rPr>
              <w:t>0.8792</w:t>
            </w:r>
          </w:p>
        </w:tc>
        <w:tc>
          <w:tcPr>
            <w:tcW w:w="1569" w:type="dxa"/>
            <w:tcBorders>
              <w:left w:val="single" w:color="000000" w:sz="4" w:space="0"/>
            </w:tcBorders>
          </w:tcPr>
          <w:p w14:paraId="49FB074C">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3E53CFF1">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305D2885">
            <w:pPr>
              <w:pStyle w:val="53"/>
              <w:spacing w:line="240" w:lineRule="auto"/>
              <w:ind w:right="118"/>
              <w:jc w:val="right"/>
              <w:rPr>
                <w:rFonts w:eastAsiaTheme="minorEastAsia"/>
                <w:sz w:val="18"/>
                <w:szCs w:val="18"/>
              </w:rPr>
            </w:pPr>
            <w:r>
              <w:rPr>
                <w:spacing w:val="-2"/>
                <w:sz w:val="18"/>
                <w:szCs w:val="18"/>
              </w:rPr>
              <w:t>0</w:t>
            </w:r>
            <w:r>
              <w:rPr>
                <w:rFonts w:hint="eastAsia" w:eastAsiaTheme="minorEastAsia"/>
                <w:spacing w:val="-2"/>
                <w:sz w:val="18"/>
                <w:szCs w:val="18"/>
              </w:rPr>
              <w:t>-0.00432</w:t>
            </w:r>
          </w:p>
        </w:tc>
        <w:tc>
          <w:tcPr>
            <w:tcW w:w="958" w:type="dxa"/>
            <w:shd w:val="clear" w:color="auto" w:fill="auto"/>
          </w:tcPr>
          <w:p w14:paraId="00E8333D">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717</w:t>
            </w:r>
          </w:p>
        </w:tc>
      </w:tr>
      <w:tr w14:paraId="04DCA035">
        <w:tblPrEx>
          <w:tblCellMar>
            <w:top w:w="0" w:type="dxa"/>
            <w:left w:w="0" w:type="dxa"/>
            <w:bottom w:w="0" w:type="dxa"/>
            <w:right w:w="0" w:type="dxa"/>
          </w:tblCellMar>
        </w:tblPrEx>
        <w:trPr>
          <w:trHeight w:val="236" w:hRule="atLeast"/>
        </w:trPr>
        <w:tc>
          <w:tcPr>
            <w:tcW w:w="950" w:type="dxa"/>
          </w:tcPr>
          <w:p w14:paraId="5F155A7C">
            <w:pPr>
              <w:pStyle w:val="53"/>
              <w:spacing w:line="240" w:lineRule="auto"/>
              <w:ind w:left="119"/>
              <w:jc w:val="center"/>
              <w:rPr>
                <w:sz w:val="18"/>
                <w:szCs w:val="18"/>
              </w:rPr>
            </w:pPr>
            <w:r>
              <w:rPr>
                <w:spacing w:val="-4"/>
                <w:sz w:val="18"/>
                <w:szCs w:val="18"/>
              </w:rPr>
              <w:t>Dual</w:t>
            </w:r>
          </w:p>
        </w:tc>
        <w:tc>
          <w:tcPr>
            <w:tcW w:w="1963" w:type="dxa"/>
          </w:tcPr>
          <w:p w14:paraId="513D2994">
            <w:pPr>
              <w:pStyle w:val="53"/>
              <w:spacing w:line="240" w:lineRule="auto"/>
              <w:ind w:right="42"/>
              <w:jc w:val="center"/>
              <w:rPr>
                <w:sz w:val="18"/>
                <w:szCs w:val="18"/>
              </w:rPr>
            </w:pPr>
            <w:r>
              <w:rPr>
                <w:sz w:val="18"/>
                <w:szCs w:val="18"/>
              </w:rPr>
              <w:t xml:space="preserve">-0.0291 </w:t>
            </w:r>
            <w:r>
              <w:rPr>
                <w:spacing w:val="-2"/>
                <w:sz w:val="18"/>
                <w:szCs w:val="18"/>
              </w:rPr>
              <w:t>(0.0101)</w:t>
            </w:r>
          </w:p>
        </w:tc>
        <w:tc>
          <w:tcPr>
            <w:tcW w:w="1162" w:type="dxa"/>
            <w:tcBorders>
              <w:right w:val="single" w:color="000000" w:sz="4" w:space="0"/>
            </w:tcBorders>
          </w:tcPr>
          <w:p w14:paraId="3270E723">
            <w:pPr>
              <w:pStyle w:val="53"/>
              <w:spacing w:before="0" w:line="240" w:lineRule="auto"/>
              <w:ind w:right="62"/>
              <w:jc w:val="center"/>
              <w:rPr>
                <w:rFonts w:ascii="Lucida Sans Unicode" w:hAnsi="Lucida Sans Unicode"/>
                <w:sz w:val="18"/>
                <w:szCs w:val="18"/>
              </w:rPr>
            </w:pPr>
            <w:r>
              <w:rPr>
                <w:spacing w:val="-2"/>
                <w:sz w:val="18"/>
                <w:szCs w:val="18"/>
              </w:rPr>
              <w:t>0.0040</w:t>
            </w:r>
            <w:r>
              <w:rPr>
                <w:rFonts w:ascii="Lucida Sans Unicode" w:hAnsi="Lucida Sans Unicode"/>
                <w:spacing w:val="-2"/>
                <w:sz w:val="18"/>
                <w:szCs w:val="18"/>
                <w:vertAlign w:val="superscript"/>
              </w:rPr>
              <w:t>∗∗∗</w:t>
            </w:r>
          </w:p>
        </w:tc>
        <w:tc>
          <w:tcPr>
            <w:tcW w:w="1569" w:type="dxa"/>
            <w:tcBorders>
              <w:left w:val="single" w:color="000000" w:sz="4" w:space="0"/>
            </w:tcBorders>
          </w:tcPr>
          <w:p w14:paraId="305FF16C">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6BBD8F8D">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623913D3">
            <w:pPr>
              <w:pStyle w:val="53"/>
              <w:spacing w:line="240" w:lineRule="auto"/>
              <w:ind w:right="118"/>
              <w:jc w:val="right"/>
              <w:rPr>
                <w:rFonts w:eastAsiaTheme="minorEastAsia"/>
                <w:sz w:val="18"/>
                <w:szCs w:val="18"/>
              </w:rPr>
            </w:pPr>
            <w:r>
              <w:rPr>
                <w:spacing w:val="-2"/>
                <w:sz w:val="18"/>
                <w:szCs w:val="18"/>
              </w:rPr>
              <w:t>-0.02</w:t>
            </w:r>
            <w:r>
              <w:rPr>
                <w:rFonts w:hint="eastAsia" w:eastAsiaTheme="minorEastAsia"/>
                <w:spacing w:val="-2"/>
                <w:sz w:val="18"/>
                <w:szCs w:val="18"/>
              </w:rPr>
              <w:t>919</w:t>
            </w:r>
          </w:p>
        </w:tc>
        <w:tc>
          <w:tcPr>
            <w:tcW w:w="958" w:type="dxa"/>
            <w:shd w:val="clear" w:color="auto" w:fill="auto"/>
          </w:tcPr>
          <w:p w14:paraId="42BA6C61">
            <w:pPr>
              <w:pStyle w:val="53"/>
              <w:spacing w:before="0" w:line="240" w:lineRule="auto"/>
              <w:ind w:right="129"/>
              <w:jc w:val="right"/>
              <w:rPr>
                <w:rFonts w:ascii="Lucida Sans Unicode" w:hAnsi="Lucida Sans Unicode" w:eastAsiaTheme="minorEastAsia"/>
                <w:sz w:val="18"/>
                <w:szCs w:val="18"/>
              </w:rPr>
            </w:pPr>
            <w:r>
              <w:rPr>
                <w:spacing w:val="-2"/>
                <w:sz w:val="18"/>
                <w:szCs w:val="18"/>
              </w:rPr>
              <w:t>0.00</w:t>
            </w:r>
            <w:r>
              <w:rPr>
                <w:rFonts w:hint="eastAsia" w:eastAsiaTheme="minorEastAsia"/>
                <w:spacing w:val="-2"/>
                <w:sz w:val="18"/>
                <w:szCs w:val="18"/>
              </w:rPr>
              <w:t>513</w:t>
            </w:r>
          </w:p>
        </w:tc>
      </w:tr>
      <w:tr w14:paraId="4A6926F8">
        <w:tblPrEx>
          <w:tblCellMar>
            <w:top w:w="0" w:type="dxa"/>
            <w:left w:w="0" w:type="dxa"/>
            <w:bottom w:w="0" w:type="dxa"/>
            <w:right w:w="0" w:type="dxa"/>
          </w:tblCellMar>
        </w:tblPrEx>
        <w:trPr>
          <w:trHeight w:val="236" w:hRule="atLeast"/>
        </w:trPr>
        <w:tc>
          <w:tcPr>
            <w:tcW w:w="950" w:type="dxa"/>
          </w:tcPr>
          <w:p w14:paraId="1EFAB200">
            <w:pPr>
              <w:pStyle w:val="53"/>
              <w:spacing w:line="240" w:lineRule="auto"/>
              <w:ind w:left="119"/>
              <w:jc w:val="center"/>
              <w:rPr>
                <w:sz w:val="18"/>
                <w:szCs w:val="18"/>
              </w:rPr>
            </w:pPr>
            <w:r>
              <w:rPr>
                <w:spacing w:val="-2"/>
                <w:sz w:val="18"/>
                <w:szCs w:val="18"/>
              </w:rPr>
              <w:t>Indep</w:t>
            </w:r>
          </w:p>
        </w:tc>
        <w:tc>
          <w:tcPr>
            <w:tcW w:w="1963" w:type="dxa"/>
          </w:tcPr>
          <w:p w14:paraId="128B6BF1">
            <w:pPr>
              <w:pStyle w:val="53"/>
              <w:spacing w:line="240" w:lineRule="auto"/>
              <w:ind w:right="42"/>
              <w:jc w:val="center"/>
              <w:rPr>
                <w:sz w:val="18"/>
                <w:szCs w:val="18"/>
              </w:rPr>
            </w:pPr>
            <w:r>
              <w:rPr>
                <w:sz w:val="18"/>
                <w:szCs w:val="18"/>
              </w:rPr>
              <w:t xml:space="preserve">-0.0523 </w:t>
            </w:r>
            <w:r>
              <w:rPr>
                <w:spacing w:val="-2"/>
                <w:sz w:val="18"/>
                <w:szCs w:val="18"/>
              </w:rPr>
              <w:t>(0.0771)</w:t>
            </w:r>
          </w:p>
        </w:tc>
        <w:tc>
          <w:tcPr>
            <w:tcW w:w="1162" w:type="dxa"/>
            <w:tcBorders>
              <w:right w:val="single" w:color="000000" w:sz="4" w:space="0"/>
            </w:tcBorders>
          </w:tcPr>
          <w:p w14:paraId="09B8AA09">
            <w:pPr>
              <w:pStyle w:val="53"/>
              <w:spacing w:line="240" w:lineRule="auto"/>
              <w:ind w:right="52"/>
              <w:jc w:val="center"/>
              <w:rPr>
                <w:sz w:val="18"/>
                <w:szCs w:val="18"/>
              </w:rPr>
            </w:pPr>
            <w:r>
              <w:rPr>
                <w:spacing w:val="-2"/>
                <w:sz w:val="18"/>
                <w:szCs w:val="18"/>
              </w:rPr>
              <w:t>0.4979</w:t>
            </w:r>
          </w:p>
        </w:tc>
        <w:tc>
          <w:tcPr>
            <w:tcW w:w="1569" w:type="dxa"/>
            <w:tcBorders>
              <w:left w:val="single" w:color="000000" w:sz="4" w:space="0"/>
            </w:tcBorders>
          </w:tcPr>
          <w:p w14:paraId="0C5FD890">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5403D61E">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323A1384">
            <w:pPr>
              <w:pStyle w:val="53"/>
              <w:spacing w:line="240" w:lineRule="auto"/>
              <w:ind w:right="118"/>
              <w:jc w:val="right"/>
              <w:rPr>
                <w:rFonts w:eastAsiaTheme="minorEastAsia"/>
                <w:sz w:val="18"/>
                <w:szCs w:val="18"/>
              </w:rPr>
            </w:pPr>
            <w:r>
              <w:rPr>
                <w:spacing w:val="-2"/>
                <w:sz w:val="18"/>
                <w:szCs w:val="18"/>
              </w:rPr>
              <w:t>-0.0</w:t>
            </w:r>
            <w:r>
              <w:rPr>
                <w:rFonts w:hint="eastAsia" w:eastAsiaTheme="minorEastAsia"/>
                <w:spacing w:val="-2"/>
                <w:sz w:val="18"/>
                <w:szCs w:val="18"/>
              </w:rPr>
              <w:t>4587</w:t>
            </w:r>
          </w:p>
        </w:tc>
        <w:tc>
          <w:tcPr>
            <w:tcW w:w="958" w:type="dxa"/>
            <w:shd w:val="clear" w:color="auto" w:fill="auto"/>
          </w:tcPr>
          <w:p w14:paraId="790B87E4">
            <w:pPr>
              <w:pStyle w:val="53"/>
              <w:spacing w:line="240" w:lineRule="auto"/>
              <w:ind w:right="119"/>
              <w:jc w:val="right"/>
              <w:rPr>
                <w:sz w:val="18"/>
                <w:szCs w:val="18"/>
              </w:rPr>
            </w:pPr>
            <w:r>
              <w:rPr>
                <w:spacing w:val="-2"/>
                <w:sz w:val="18"/>
                <w:szCs w:val="18"/>
              </w:rPr>
              <w:t>0.787</w:t>
            </w:r>
          </w:p>
        </w:tc>
      </w:tr>
      <w:tr w14:paraId="35C92BAE">
        <w:tblPrEx>
          <w:tblCellMar>
            <w:top w:w="0" w:type="dxa"/>
            <w:left w:w="0" w:type="dxa"/>
            <w:bottom w:w="0" w:type="dxa"/>
            <w:right w:w="0" w:type="dxa"/>
          </w:tblCellMar>
        </w:tblPrEx>
        <w:trPr>
          <w:trHeight w:val="236" w:hRule="atLeast"/>
        </w:trPr>
        <w:tc>
          <w:tcPr>
            <w:tcW w:w="950" w:type="dxa"/>
          </w:tcPr>
          <w:p w14:paraId="3F08DCB9">
            <w:pPr>
              <w:pStyle w:val="53"/>
              <w:spacing w:line="240" w:lineRule="auto"/>
              <w:ind w:left="119"/>
              <w:jc w:val="center"/>
              <w:rPr>
                <w:sz w:val="18"/>
                <w:szCs w:val="18"/>
              </w:rPr>
            </w:pPr>
            <w:r>
              <w:rPr>
                <w:spacing w:val="-5"/>
                <w:sz w:val="18"/>
                <w:szCs w:val="18"/>
              </w:rPr>
              <w:t>Lev</w:t>
            </w:r>
          </w:p>
        </w:tc>
        <w:tc>
          <w:tcPr>
            <w:tcW w:w="1963" w:type="dxa"/>
          </w:tcPr>
          <w:p w14:paraId="52087CDF">
            <w:pPr>
              <w:pStyle w:val="53"/>
              <w:spacing w:line="240" w:lineRule="auto"/>
              <w:ind w:right="42"/>
              <w:jc w:val="center"/>
              <w:rPr>
                <w:sz w:val="18"/>
                <w:szCs w:val="18"/>
              </w:rPr>
            </w:pPr>
            <w:r>
              <w:rPr>
                <w:sz w:val="18"/>
                <w:szCs w:val="18"/>
              </w:rPr>
              <w:t xml:space="preserve">-0.0411 </w:t>
            </w:r>
            <w:r>
              <w:rPr>
                <w:spacing w:val="-2"/>
                <w:sz w:val="18"/>
                <w:szCs w:val="18"/>
              </w:rPr>
              <w:t>(0.2191)</w:t>
            </w:r>
          </w:p>
        </w:tc>
        <w:tc>
          <w:tcPr>
            <w:tcW w:w="1162" w:type="dxa"/>
            <w:tcBorders>
              <w:right w:val="single" w:color="000000" w:sz="4" w:space="0"/>
            </w:tcBorders>
          </w:tcPr>
          <w:p w14:paraId="2AAB64C9">
            <w:pPr>
              <w:pStyle w:val="53"/>
              <w:spacing w:line="240" w:lineRule="auto"/>
              <w:ind w:right="52"/>
              <w:jc w:val="center"/>
              <w:rPr>
                <w:sz w:val="18"/>
                <w:szCs w:val="18"/>
              </w:rPr>
            </w:pPr>
            <w:r>
              <w:rPr>
                <w:spacing w:val="-2"/>
                <w:sz w:val="18"/>
                <w:szCs w:val="18"/>
              </w:rPr>
              <w:t>0.8511</w:t>
            </w:r>
          </w:p>
        </w:tc>
        <w:tc>
          <w:tcPr>
            <w:tcW w:w="1569" w:type="dxa"/>
            <w:tcBorders>
              <w:left w:val="single" w:color="000000" w:sz="4" w:space="0"/>
            </w:tcBorders>
          </w:tcPr>
          <w:p w14:paraId="0C462A78">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7AD800F3">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4BA975CB">
            <w:pPr>
              <w:pStyle w:val="53"/>
              <w:spacing w:line="240" w:lineRule="auto"/>
              <w:ind w:right="118"/>
              <w:jc w:val="right"/>
              <w:rPr>
                <w:rFonts w:eastAsiaTheme="minorEastAsia"/>
                <w:sz w:val="18"/>
                <w:szCs w:val="18"/>
              </w:rPr>
            </w:pPr>
            <w:r>
              <w:rPr>
                <w:spacing w:val="-2"/>
                <w:sz w:val="18"/>
                <w:szCs w:val="18"/>
              </w:rPr>
              <w:t>-0.0</w:t>
            </w:r>
            <w:r>
              <w:rPr>
                <w:rFonts w:hint="eastAsia" w:eastAsiaTheme="minorEastAsia"/>
                <w:spacing w:val="-2"/>
                <w:sz w:val="18"/>
                <w:szCs w:val="18"/>
              </w:rPr>
              <w:t>1672</w:t>
            </w:r>
          </w:p>
        </w:tc>
        <w:tc>
          <w:tcPr>
            <w:tcW w:w="958" w:type="dxa"/>
            <w:shd w:val="clear" w:color="auto" w:fill="auto"/>
          </w:tcPr>
          <w:p w14:paraId="3F18CEFA">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5632</w:t>
            </w:r>
          </w:p>
        </w:tc>
      </w:tr>
      <w:tr w14:paraId="72D02953">
        <w:tblPrEx>
          <w:tblCellMar>
            <w:top w:w="0" w:type="dxa"/>
            <w:left w:w="0" w:type="dxa"/>
            <w:bottom w:w="0" w:type="dxa"/>
            <w:right w:w="0" w:type="dxa"/>
          </w:tblCellMar>
        </w:tblPrEx>
        <w:trPr>
          <w:trHeight w:val="236" w:hRule="atLeast"/>
        </w:trPr>
        <w:tc>
          <w:tcPr>
            <w:tcW w:w="950" w:type="dxa"/>
          </w:tcPr>
          <w:p w14:paraId="019D8A68">
            <w:pPr>
              <w:pStyle w:val="53"/>
              <w:spacing w:line="240" w:lineRule="auto"/>
              <w:ind w:left="119"/>
              <w:jc w:val="center"/>
              <w:rPr>
                <w:sz w:val="18"/>
                <w:szCs w:val="18"/>
              </w:rPr>
            </w:pPr>
            <w:r>
              <w:rPr>
                <w:spacing w:val="-4"/>
                <w:sz w:val="18"/>
                <w:szCs w:val="18"/>
              </w:rPr>
              <w:t>Size</w:t>
            </w:r>
          </w:p>
        </w:tc>
        <w:tc>
          <w:tcPr>
            <w:tcW w:w="1963" w:type="dxa"/>
          </w:tcPr>
          <w:p w14:paraId="13D3633E">
            <w:pPr>
              <w:pStyle w:val="53"/>
              <w:spacing w:line="240" w:lineRule="auto"/>
              <w:ind w:right="42"/>
              <w:jc w:val="center"/>
              <w:rPr>
                <w:sz w:val="18"/>
                <w:szCs w:val="18"/>
              </w:rPr>
            </w:pPr>
            <w:r>
              <w:rPr>
                <w:sz w:val="18"/>
                <w:szCs w:val="18"/>
              </w:rPr>
              <w:t xml:space="preserve">0.0069 </w:t>
            </w:r>
            <w:r>
              <w:rPr>
                <w:spacing w:val="-2"/>
                <w:sz w:val="18"/>
                <w:szCs w:val="18"/>
              </w:rPr>
              <w:t>(0.0090)</w:t>
            </w:r>
          </w:p>
        </w:tc>
        <w:tc>
          <w:tcPr>
            <w:tcW w:w="1162" w:type="dxa"/>
            <w:tcBorders>
              <w:right w:val="single" w:color="000000" w:sz="4" w:space="0"/>
            </w:tcBorders>
          </w:tcPr>
          <w:p w14:paraId="2F93027D">
            <w:pPr>
              <w:pStyle w:val="53"/>
              <w:spacing w:line="240" w:lineRule="auto"/>
              <w:ind w:right="52"/>
              <w:jc w:val="center"/>
              <w:rPr>
                <w:sz w:val="18"/>
                <w:szCs w:val="18"/>
              </w:rPr>
            </w:pPr>
            <w:r>
              <w:rPr>
                <w:spacing w:val="-2"/>
                <w:sz w:val="18"/>
                <w:szCs w:val="18"/>
              </w:rPr>
              <w:t>0.4433</w:t>
            </w:r>
          </w:p>
        </w:tc>
        <w:tc>
          <w:tcPr>
            <w:tcW w:w="1569" w:type="dxa"/>
            <w:tcBorders>
              <w:left w:val="single" w:color="000000" w:sz="4" w:space="0"/>
            </w:tcBorders>
          </w:tcPr>
          <w:p w14:paraId="35D346E5">
            <w:pPr>
              <w:pStyle w:val="53"/>
              <w:spacing w:line="240" w:lineRule="auto"/>
              <w:ind w:left="94"/>
              <w:jc w:val="center"/>
              <w:rPr>
                <w:sz w:val="18"/>
                <w:szCs w:val="18"/>
              </w:rPr>
            </w:pPr>
            <w:r>
              <w:rPr>
                <w:spacing w:val="-10"/>
                <w:sz w:val="18"/>
                <w:szCs w:val="18"/>
              </w:rPr>
              <w:t>–</w:t>
            </w:r>
          </w:p>
        </w:tc>
        <w:tc>
          <w:tcPr>
            <w:tcW w:w="1137" w:type="dxa"/>
            <w:tcBorders>
              <w:right w:val="single" w:color="000000" w:sz="4" w:space="0"/>
            </w:tcBorders>
          </w:tcPr>
          <w:p w14:paraId="05539A58">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tcBorders>
            <w:shd w:val="clear" w:color="auto" w:fill="auto"/>
          </w:tcPr>
          <w:p w14:paraId="7354E759">
            <w:pPr>
              <w:pStyle w:val="53"/>
              <w:spacing w:line="240" w:lineRule="auto"/>
              <w:ind w:right="118"/>
              <w:jc w:val="right"/>
              <w:rPr>
                <w:rFonts w:eastAsiaTheme="minorEastAsia"/>
                <w:sz w:val="18"/>
                <w:szCs w:val="18"/>
              </w:rPr>
            </w:pPr>
            <w:r>
              <w:rPr>
                <w:spacing w:val="-2"/>
                <w:sz w:val="18"/>
                <w:szCs w:val="18"/>
              </w:rPr>
              <w:t>0.00</w:t>
            </w:r>
            <w:r>
              <w:rPr>
                <w:rFonts w:hint="eastAsia" w:eastAsiaTheme="minorEastAsia"/>
                <w:spacing w:val="-2"/>
                <w:sz w:val="18"/>
                <w:szCs w:val="18"/>
              </w:rPr>
              <w:t>72</w:t>
            </w:r>
          </w:p>
        </w:tc>
        <w:tc>
          <w:tcPr>
            <w:tcW w:w="958" w:type="dxa"/>
            <w:shd w:val="clear" w:color="auto" w:fill="auto"/>
          </w:tcPr>
          <w:p w14:paraId="1B3C492E">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941</w:t>
            </w:r>
          </w:p>
        </w:tc>
      </w:tr>
      <w:tr w14:paraId="1C070ADD">
        <w:tblPrEx>
          <w:tblCellMar>
            <w:top w:w="0" w:type="dxa"/>
            <w:left w:w="0" w:type="dxa"/>
            <w:bottom w:w="0" w:type="dxa"/>
            <w:right w:w="0" w:type="dxa"/>
          </w:tblCellMar>
        </w:tblPrEx>
        <w:trPr>
          <w:trHeight w:val="243" w:hRule="atLeast"/>
        </w:trPr>
        <w:tc>
          <w:tcPr>
            <w:tcW w:w="950" w:type="dxa"/>
            <w:tcBorders>
              <w:bottom w:val="single" w:color="auto" w:sz="4" w:space="0"/>
            </w:tcBorders>
          </w:tcPr>
          <w:p w14:paraId="36CE3729">
            <w:pPr>
              <w:pStyle w:val="53"/>
              <w:spacing w:line="240" w:lineRule="auto"/>
              <w:ind w:left="119"/>
              <w:jc w:val="center"/>
              <w:rPr>
                <w:sz w:val="18"/>
                <w:szCs w:val="18"/>
              </w:rPr>
            </w:pPr>
            <w:r>
              <w:rPr>
                <w:spacing w:val="-4"/>
                <w:sz w:val="18"/>
                <w:szCs w:val="18"/>
              </w:rPr>
              <w:t>Big4</w:t>
            </w:r>
          </w:p>
        </w:tc>
        <w:tc>
          <w:tcPr>
            <w:tcW w:w="1963" w:type="dxa"/>
            <w:tcBorders>
              <w:bottom w:val="single" w:color="auto" w:sz="4" w:space="0"/>
            </w:tcBorders>
          </w:tcPr>
          <w:p w14:paraId="2026E9DA">
            <w:pPr>
              <w:pStyle w:val="53"/>
              <w:spacing w:line="240" w:lineRule="auto"/>
              <w:ind w:right="42"/>
              <w:jc w:val="center"/>
              <w:rPr>
                <w:sz w:val="18"/>
                <w:szCs w:val="18"/>
              </w:rPr>
            </w:pPr>
            <w:r>
              <w:rPr>
                <w:sz w:val="18"/>
                <w:szCs w:val="18"/>
              </w:rPr>
              <w:t xml:space="preserve">-0.0059 </w:t>
            </w:r>
            <w:r>
              <w:rPr>
                <w:spacing w:val="-2"/>
                <w:sz w:val="18"/>
                <w:szCs w:val="18"/>
              </w:rPr>
              <w:t>(0.0187)</w:t>
            </w:r>
          </w:p>
        </w:tc>
        <w:tc>
          <w:tcPr>
            <w:tcW w:w="1162" w:type="dxa"/>
            <w:tcBorders>
              <w:bottom w:val="single" w:color="auto" w:sz="4" w:space="0"/>
              <w:right w:val="single" w:color="000000" w:sz="4" w:space="0"/>
            </w:tcBorders>
          </w:tcPr>
          <w:p w14:paraId="0FE60E64">
            <w:pPr>
              <w:pStyle w:val="53"/>
              <w:spacing w:line="240" w:lineRule="auto"/>
              <w:ind w:right="52"/>
              <w:jc w:val="center"/>
              <w:rPr>
                <w:sz w:val="18"/>
                <w:szCs w:val="18"/>
              </w:rPr>
            </w:pPr>
            <w:r>
              <w:rPr>
                <w:spacing w:val="-2"/>
                <w:sz w:val="18"/>
                <w:szCs w:val="18"/>
              </w:rPr>
              <w:t>0.7534</w:t>
            </w:r>
          </w:p>
        </w:tc>
        <w:tc>
          <w:tcPr>
            <w:tcW w:w="1569" w:type="dxa"/>
            <w:tcBorders>
              <w:left w:val="single" w:color="000000" w:sz="4" w:space="0"/>
              <w:bottom w:val="single" w:color="auto" w:sz="4" w:space="0"/>
            </w:tcBorders>
          </w:tcPr>
          <w:p w14:paraId="07C2BCAB">
            <w:pPr>
              <w:pStyle w:val="53"/>
              <w:spacing w:line="240" w:lineRule="auto"/>
              <w:ind w:left="94"/>
              <w:jc w:val="center"/>
              <w:rPr>
                <w:sz w:val="18"/>
                <w:szCs w:val="18"/>
              </w:rPr>
            </w:pPr>
            <w:r>
              <w:rPr>
                <w:spacing w:val="-10"/>
                <w:sz w:val="18"/>
                <w:szCs w:val="18"/>
              </w:rPr>
              <w:t>–</w:t>
            </w:r>
          </w:p>
        </w:tc>
        <w:tc>
          <w:tcPr>
            <w:tcW w:w="1137" w:type="dxa"/>
            <w:tcBorders>
              <w:bottom w:val="single" w:color="auto" w:sz="4" w:space="0"/>
              <w:right w:val="single" w:color="000000" w:sz="4" w:space="0"/>
            </w:tcBorders>
          </w:tcPr>
          <w:p w14:paraId="54CC9149">
            <w:pPr>
              <w:pStyle w:val="53"/>
              <w:spacing w:line="240" w:lineRule="auto"/>
              <w:ind w:left="96" w:right="1"/>
              <w:jc w:val="center"/>
              <w:rPr>
                <w:sz w:val="18"/>
                <w:szCs w:val="18"/>
              </w:rPr>
            </w:pPr>
            <w:r>
              <w:rPr>
                <w:spacing w:val="-10"/>
                <w:sz w:val="18"/>
                <w:szCs w:val="18"/>
              </w:rPr>
              <w:t>–</w:t>
            </w:r>
          </w:p>
        </w:tc>
        <w:tc>
          <w:tcPr>
            <w:tcW w:w="1073" w:type="dxa"/>
            <w:tcBorders>
              <w:left w:val="single" w:color="000000" w:sz="4" w:space="0"/>
              <w:bottom w:val="single" w:color="auto" w:sz="4" w:space="0"/>
            </w:tcBorders>
            <w:shd w:val="clear" w:color="auto" w:fill="auto"/>
          </w:tcPr>
          <w:p w14:paraId="46EE7AF4">
            <w:pPr>
              <w:pStyle w:val="53"/>
              <w:spacing w:line="240" w:lineRule="auto"/>
              <w:ind w:right="118"/>
              <w:jc w:val="right"/>
              <w:rPr>
                <w:rFonts w:eastAsiaTheme="minorEastAsia"/>
                <w:sz w:val="18"/>
                <w:szCs w:val="18"/>
              </w:rPr>
            </w:pPr>
            <w:r>
              <w:rPr>
                <w:spacing w:val="-2"/>
                <w:sz w:val="18"/>
                <w:szCs w:val="18"/>
              </w:rPr>
              <w:t>-0.0</w:t>
            </w:r>
            <w:r>
              <w:rPr>
                <w:rFonts w:hint="eastAsia" w:eastAsiaTheme="minorEastAsia"/>
                <w:spacing w:val="-2"/>
                <w:sz w:val="18"/>
                <w:szCs w:val="18"/>
              </w:rPr>
              <w:t>1243</w:t>
            </w:r>
          </w:p>
        </w:tc>
        <w:tc>
          <w:tcPr>
            <w:tcW w:w="958" w:type="dxa"/>
            <w:tcBorders>
              <w:bottom w:val="single" w:color="auto" w:sz="4" w:space="0"/>
            </w:tcBorders>
            <w:shd w:val="clear" w:color="auto" w:fill="auto"/>
          </w:tcPr>
          <w:p w14:paraId="45EFCFE3">
            <w:pPr>
              <w:pStyle w:val="53"/>
              <w:spacing w:line="240" w:lineRule="auto"/>
              <w:ind w:right="119"/>
              <w:jc w:val="right"/>
              <w:rPr>
                <w:rFonts w:eastAsiaTheme="minorEastAsia"/>
                <w:sz w:val="18"/>
                <w:szCs w:val="18"/>
              </w:rPr>
            </w:pPr>
            <w:r>
              <w:rPr>
                <w:spacing w:val="-2"/>
                <w:sz w:val="18"/>
                <w:szCs w:val="18"/>
              </w:rPr>
              <w:t>0.</w:t>
            </w:r>
            <w:r>
              <w:rPr>
                <w:rFonts w:hint="eastAsia" w:eastAsiaTheme="minorEastAsia"/>
                <w:spacing w:val="-2"/>
                <w:sz w:val="18"/>
                <w:szCs w:val="18"/>
              </w:rPr>
              <w:t>4419</w:t>
            </w:r>
          </w:p>
        </w:tc>
      </w:tr>
    </w:tbl>
    <w:p w14:paraId="55387A21">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表5</w:t>
      </w:r>
      <w:r>
        <w:rPr>
          <w:rFonts w:ascii="Times New Roman" w:hAnsi="Times New Roman" w:eastAsia="宋体" w:cs="Times New Roman"/>
          <w:sz w:val="21"/>
          <w:szCs w:val="21"/>
        </w:rPr>
        <w:t>结果</w:t>
      </w:r>
      <w:r>
        <w:rPr>
          <w:rFonts w:hint="eastAsia" w:ascii="Times New Roman" w:hAnsi="Times New Roman" w:eastAsia="宋体" w:cs="Times New Roman"/>
          <w:sz w:val="21"/>
          <w:szCs w:val="21"/>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w:t>
      </w:r>
    </w:p>
    <w:p w14:paraId="72B22684">
      <w:pPr>
        <w:rPr>
          <w:rFonts w:ascii="Times New Roman" w:hAnsi="Times New Roman" w:eastAsia="宋体" w:cs="Times New Roman"/>
          <w:sz w:val="21"/>
          <w:szCs w:val="21"/>
        </w:rPr>
      </w:pPr>
      <w:r>
        <w:rPr>
          <w:rFonts w:hint="eastAsia" w:ascii="Times New Roman" w:hAnsi="Times New Roman" w:eastAsia="宋体" w:cs="Times New Roman"/>
          <w:sz w:val="21"/>
          <w:szCs w:val="21"/>
        </w:rPr>
        <w:t>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H2，即虚假财经新闻较之于真实财经新闻对于股票的异常收益的影响更为显著。</w:t>
      </w:r>
    </w:p>
    <w:p w14:paraId="377C90B0">
      <w:pPr>
        <w:outlineLvl w:val="1"/>
        <w:rPr>
          <w:rFonts w:ascii="Times New Roman" w:hAnsi="Times New Roman" w:eastAsia="宋体" w:cs="Times New Roman"/>
          <w:b/>
          <w:bCs/>
          <w:sz w:val="24"/>
          <w:szCs w:val="24"/>
        </w:rPr>
      </w:pPr>
      <w:bookmarkStart w:id="18" w:name="_Toc17644"/>
      <w:r>
        <w:rPr>
          <w:rFonts w:hint="eastAsia" w:ascii="Times New Roman" w:hAnsi="Times New Roman" w:eastAsia="宋体" w:cs="Times New Roman"/>
          <w:b/>
          <w:bCs/>
          <w:sz w:val="24"/>
          <w:szCs w:val="24"/>
        </w:rPr>
        <w:t>（五）动态效应分析</w:t>
      </w:r>
      <w:bookmarkEnd w:id="18"/>
    </w:p>
    <w:p w14:paraId="40C777CB">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处理组和对照组满足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Jacobson提出的事件研究法对新闻发布的动态效应进行实证研究，构建出如下模型：</w:t>
      </w:r>
    </w:p>
    <w:p w14:paraId="3F4B8801">
      <w:pPr>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A</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R</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nary>
                <m:naryPr>
                  <m:chr m:val="∑"/>
                  <m:limLoc m:val="undOvr"/>
                  <m:supHide m:val="1"/>
                  <m:ctrlPr>
                    <w:rPr>
                      <w:rFonts w:ascii="Cambria Math" w:hAnsi="Cambria Math" w:eastAsia="宋体" w:cs="Times New Roman"/>
                      <w:i/>
                      <w:sz w:val="21"/>
                      <w:szCs w:val="21"/>
                    </w:rPr>
                  </m:ctrlPr>
                </m:naryPr>
                <m:sub>
                  <m:r>
                    <m:rPr/>
                    <w:rPr>
                      <w:rFonts w:ascii="Cambria Math" w:hAnsi="Cambria Math" w:eastAsia="宋体" w:cs="Times New Roman"/>
                      <w:sz w:val="21"/>
                      <w:szCs w:val="21"/>
                    </w:rPr>
                    <m:t>k≠−1</m:t>
                  </m:r>
                  <m:ctrlPr>
                    <w:rPr>
                      <w:rFonts w:ascii="Cambria Math" w:hAnsi="Cambria Math" w:eastAsia="宋体" w:cs="Times New Roman"/>
                      <w:i/>
                      <w:sz w:val="21"/>
                      <w:szCs w:val="21"/>
                    </w:rPr>
                  </m:ctrlPr>
                </m:sub>
                <m:sup>
                  <m:ctrlPr>
                    <w:rPr>
                      <w:rFonts w:ascii="Cambria Math" w:hAnsi="Cambria Math" w:eastAsia="宋体" w:cs="Times New Roman"/>
                      <w:i/>
                      <w:sz w:val="21"/>
                      <w:szCs w:val="21"/>
                    </w:rPr>
                  </m:ctrlPr>
                </m:sup>
                <m:e>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k</m:t>
                      </m:r>
                      <m:ctrlPr>
                        <w:rPr>
                          <w:rFonts w:ascii="Cambria Math" w:hAnsi="Cambria Math" w:eastAsia="宋体" w:cs="Times New Roman"/>
                          <w:i/>
                          <w:sz w:val="21"/>
                          <w:szCs w:val="21"/>
                        </w:rPr>
                      </m:ctrlPr>
                    </m:sub>
                  </m:sSub>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false</m:t>
                      </m:r>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δ</m:t>
                      </m:r>
                      <m:ctrlPr>
                        <w:rPr>
                          <w:rFonts w:ascii="Cambria Math" w:hAnsi="Cambria Math" w:eastAsia="宋体" w:cs="Times New Roman"/>
                          <w:i/>
                          <w:sz w:val="21"/>
                          <w:szCs w:val="21"/>
                        </w:rPr>
                      </m:ctrlPr>
                    </m:e>
                    <m:sub>
                      <m:r>
                        <m:rPr/>
                        <w:rPr>
                          <w:rFonts w:ascii="Cambria Math" w:hAnsi="Cambria Math" w:eastAsia="宋体" w:cs="Times New Roman"/>
                          <w:sz w:val="21"/>
                          <w:szCs w:val="21"/>
                        </w:rPr>
                        <m:t>k</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nary>
              <m:r>
                <m:rPr/>
                <w:rPr>
                  <w:rFonts w:ascii="Cambria Math" w:hAnsi="Cambria Math" w:eastAsia="宋体" w:cs="Times New Roman"/>
                  <w:sz w:val="21"/>
                  <w:szCs w:val="21"/>
                </w:rPr>
                <m:t>+</m:t>
              </m:r>
              <m:sSup>
                <m:sSupPr>
                  <m:ctrlPr>
                    <w:rPr>
                      <w:rFonts w:ascii="Cambria Math" w:hAnsi="Cambria Math" w:eastAsia="宋体" w:cs="Times New Roman"/>
                      <w:i/>
                      <w:sz w:val="21"/>
                      <w:szCs w:val="21"/>
                    </w:rPr>
                  </m:ctrlPr>
                </m:sSupPr>
                <m:e>
                  <m:r>
                    <m:rPr/>
                    <w:rPr>
                      <w:rFonts w:ascii="Cambria Math" w:hAnsi="Cambria Math" w:eastAsia="宋体" w:cs="Times New Roman"/>
                      <w:sz w:val="21"/>
                      <w:szCs w:val="21"/>
                    </w:rPr>
                    <m:t>λ</m:t>
                  </m:r>
                  <m:ctrlPr>
                    <w:rPr>
                      <w:rFonts w:ascii="Cambria Math" w:hAnsi="Cambria Math" w:eastAsia="宋体" w:cs="Times New Roman"/>
                      <w:i/>
                      <w:sz w:val="21"/>
                      <w:szCs w:val="21"/>
                    </w:rPr>
                  </m:ctrlPr>
                </m:e>
                <m:sup>
                  <m:r>
                    <m:rPr/>
                    <w:rPr>
                      <w:rFonts w:ascii="Cambria Math" w:hAnsi="Cambria Math" w:eastAsia="宋体" w:cs="Times New Roman"/>
                      <w:sz w:val="21"/>
                      <w:szCs w:val="21"/>
                    </w:rPr>
                    <m:t>T</m:t>
                  </m:r>
                  <m:ctrlPr>
                    <w:rPr>
                      <w:rFonts w:ascii="Cambria Math" w:hAnsi="Cambria Math" w:eastAsia="宋体" w:cs="Times New Roman"/>
                      <w:i/>
                      <w:sz w:val="21"/>
                      <w:szCs w:val="21"/>
                    </w:rPr>
                  </m:ctrlPr>
                </m:sup>
              </m:sSup>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X</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it</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7</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4FAD5F5C">
      <w:pPr>
        <w:ind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其中，以新闻发布前1天为基准日，</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k</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表示时间窗的一系列估计值，其他变量定义与上文相同。图2绘制了95%置信区间下的</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k</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估计结构，可以发现在时间窗内均不显著，说明处理组和对照组在新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冲击日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w:t>
      </w:r>
      <w:r>
        <mc:AlternateContent>
          <mc:Choice Requires="wps">
            <w:drawing>
              <wp:anchor distT="0" distB="0" distL="114300" distR="114300" simplePos="0" relativeHeight="251665408" behindDoc="0" locked="0" layoutInCell="1" allowOverlap="1">
                <wp:simplePos x="0" y="0"/>
                <wp:positionH relativeFrom="column">
                  <wp:posOffset>726440</wp:posOffset>
                </wp:positionH>
                <wp:positionV relativeFrom="paragraph">
                  <wp:posOffset>3531235</wp:posOffset>
                </wp:positionV>
                <wp:extent cx="4170680" cy="635"/>
                <wp:effectExtent l="0" t="0" r="0" b="0"/>
                <wp:wrapTopAndBottom/>
                <wp:docPr id="1930767259" name="文本框 1"/>
                <wp:cNvGraphicFramePr/>
                <a:graphic xmlns:a="http://schemas.openxmlformats.org/drawingml/2006/main">
                  <a:graphicData uri="http://schemas.microsoft.com/office/word/2010/wordprocessingShape">
                    <wps:wsp>
                      <wps:cNvSpPr txBox="1"/>
                      <wps:spPr>
                        <a:xfrm>
                          <a:off x="0" y="0"/>
                          <a:ext cx="4170680" cy="635"/>
                        </a:xfrm>
                        <a:prstGeom prst="rect">
                          <a:avLst/>
                        </a:prstGeom>
                        <a:solidFill>
                          <a:prstClr val="white"/>
                        </a:solidFill>
                        <a:ln>
                          <a:noFill/>
                        </a:ln>
                      </wps:spPr>
                      <wps:txbx>
                        <w:txbxContent>
                          <w:p w14:paraId="5640499A">
                            <w:pPr>
                              <w:pStyle w:val="11"/>
                              <w:jc w:val="center"/>
                              <w:rPr>
                                <w:rFonts w:ascii="Times New Roman" w:hAnsi="Times New Roman" w:eastAsia="宋体" w:cs="Times New Roman"/>
                                <w:sz w:val="21"/>
                                <w:szCs w:val="21"/>
                              </w:rPr>
                            </w:pPr>
                            <w:r>
                              <w:rPr>
                                <w:rFonts w:hint="eastAsia"/>
                              </w:rPr>
                              <w:t xml:space="preserve">图 </w:t>
                            </w:r>
                            <w:r>
                              <w:rPr>
                                <w:rFonts w:hint="eastAsia"/>
                              </w:rPr>
                              <w:fldChar w:fldCharType="begin"/>
                            </w:r>
                            <w:r>
                              <w:rPr>
                                <w:rFonts w:hint="eastAsia"/>
                              </w:rPr>
                              <w:instrText xml:space="preserve"> SEQ 图表 \* ARABIC </w:instrText>
                            </w:r>
                            <w:r>
                              <w:rPr>
                                <w:rFonts w:hint="eastAsia"/>
                              </w:rPr>
                              <w:fldChar w:fldCharType="separate"/>
                            </w:r>
                            <w:r>
                              <w:rPr>
                                <w:rFonts w:hint="eastAsia"/>
                              </w:rPr>
                              <w:t>2</w:t>
                            </w:r>
                            <w:r>
                              <w:rPr>
                                <w:rFonts w:hint="eastAsia"/>
                              </w:rPr>
                              <w:fldChar w:fldCharType="end"/>
                            </w:r>
                            <w:r>
                              <w:rPr>
                                <w:rFonts w:hint="eastAsia"/>
                              </w:rPr>
                              <w:t>双重差分动态效应</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7.2pt;margin-top:278.05pt;height:0.05pt;width:328.4pt;mso-wrap-distance-bottom:0pt;mso-wrap-distance-top:0pt;z-index:251665408;mso-width-relative:page;mso-height-relative:page;" fillcolor="#FFFFFF" filled="t" stroked="f" coordsize="21600,21600" o:gfxdata="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yho+T2gAAAAsBAAAPAAAAAAAAAAEAIAAA&#10;ACIAAABkcnMvZG93bnJldi54bWxQSwECFAAUAAAACACHTuJAB7BwFEMCAAB7BAAADgAAAAAAAAAB&#10;ACAAAAApAQAAZHJzL2Uyb0RvYy54bWxQSwUGAAAAAAYABgBZAQAA3gUAAAAA&#10;">
                <v:fill on="t" focussize="0,0"/>
                <v:stroke on="f"/>
                <v:imagedata o:title=""/>
                <o:lock v:ext="edit" aspectratio="f"/>
                <v:textbox inset="0mm,0mm,0mm,0mm" style="mso-fit-shape-to-text:t;">
                  <w:txbxContent>
                    <w:p w14:paraId="5640499A">
                      <w:pPr>
                        <w:pStyle w:val="11"/>
                        <w:jc w:val="center"/>
                        <w:rPr>
                          <w:rFonts w:ascii="Times New Roman" w:hAnsi="Times New Roman" w:eastAsia="宋体" w:cs="Times New Roman"/>
                          <w:sz w:val="21"/>
                          <w:szCs w:val="21"/>
                        </w:rPr>
                      </w:pPr>
                      <w:r>
                        <w:rPr>
                          <w:rFonts w:hint="eastAsia"/>
                        </w:rPr>
                        <w:t xml:space="preserve">图 </w:t>
                      </w:r>
                      <w:r>
                        <w:rPr>
                          <w:rFonts w:hint="eastAsia"/>
                        </w:rPr>
                        <w:fldChar w:fldCharType="begin"/>
                      </w:r>
                      <w:r>
                        <w:rPr>
                          <w:rFonts w:hint="eastAsia"/>
                        </w:rPr>
                        <w:instrText xml:space="preserve"> SEQ 图表 \* ARABIC </w:instrText>
                      </w:r>
                      <w:r>
                        <w:rPr>
                          <w:rFonts w:hint="eastAsia"/>
                        </w:rPr>
                        <w:fldChar w:fldCharType="separate"/>
                      </w:r>
                      <w:r>
                        <w:rPr>
                          <w:rFonts w:hint="eastAsia"/>
                        </w:rPr>
                        <w:t>2</w:t>
                      </w:r>
                      <w:r>
                        <w:rPr>
                          <w:rFonts w:hint="eastAsia"/>
                        </w:rPr>
                        <w:fldChar w:fldCharType="end"/>
                      </w:r>
                      <w:r>
                        <w:rPr>
                          <w:rFonts w:hint="eastAsia"/>
                        </w:rPr>
                        <w:t>双重差分动态效应</w:t>
                      </w:r>
                    </w:p>
                  </w:txbxContent>
                </v:textbox>
                <w10:wrap type="topAndBottom"/>
              </v:shape>
            </w:pict>
          </mc:Fallback>
        </mc:AlternateContent>
      </w:r>
      <w:r>
        <w:rPr>
          <w:rFonts w:ascii="Times New Roman"/>
          <w:sz w:val="20"/>
        </w:rPr>
        <w:drawing>
          <wp:anchor distT="0" distB="0" distL="0" distR="0" simplePos="0" relativeHeight="251662336" behindDoc="1" locked="0" layoutInCell="1" allowOverlap="1">
            <wp:simplePos x="0" y="0"/>
            <wp:positionH relativeFrom="margin">
              <wp:posOffset>726440</wp:posOffset>
            </wp:positionH>
            <wp:positionV relativeFrom="paragraph">
              <wp:posOffset>789940</wp:posOffset>
            </wp:positionV>
            <wp:extent cx="4170680" cy="2684145"/>
            <wp:effectExtent l="0" t="0" r="1270" b="1905"/>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4170680" cy="2684145"/>
                    </a:xfrm>
                    <a:prstGeom prst="rect">
                      <a:avLst/>
                    </a:prstGeom>
                  </pic:spPr>
                </pic:pic>
              </a:graphicData>
            </a:graphic>
          </wp:anchor>
        </w:drawing>
      </w:r>
      <w:r>
        <w:rPr>
          <w:rFonts w:hint="eastAsia" w:ascii="Times New Roman" w:hAnsi="Times New Roman" w:eastAsia="宋体" w:cs="Times New Roman"/>
          <w:sz w:val="21"/>
          <w:szCs w:val="21"/>
        </w:rPr>
        <w:t>前新闻的影响，而非之前的新闻的残留影响。</w:t>
      </w:r>
    </w:p>
    <w:p w14:paraId="493033D3">
      <w:pPr>
        <w:jc w:val="left"/>
        <w:rPr>
          <w:rFonts w:ascii="Times New Roman" w:hAnsi="Times New Roman" w:eastAsia="宋体" w:cs="Times New Roman"/>
          <w:sz w:val="21"/>
          <w:szCs w:val="21"/>
        </w:rPr>
      </w:pPr>
    </w:p>
    <w:p w14:paraId="5940F29A">
      <w:pPr>
        <w:spacing w:line="240" w:lineRule="auto"/>
        <w:jc w:val="left"/>
        <w:rPr>
          <w:rFonts w:ascii="Times New Roman" w:hAnsi="Times New Roman" w:eastAsia="宋体" w:cs="Times New Roman"/>
          <w:sz w:val="21"/>
          <w:szCs w:val="21"/>
        </w:rPr>
      </w:pPr>
      <w:r>
        <w:rPr>
          <w:rFonts w:ascii="Times New Roman" w:hAnsi="Times New Roman" w:eastAsia="宋体" w:cs="Times New Roman"/>
          <w:sz w:val="21"/>
          <w:szCs w:val="21"/>
        </w:rPr>
        <w:br w:type="page"/>
      </w:r>
    </w:p>
    <w:p w14:paraId="2BA7ECB1">
      <w:pPr>
        <w:jc w:val="center"/>
        <w:outlineLvl w:val="0"/>
        <w:rPr>
          <w:rFonts w:ascii="Times New Roman" w:hAnsi="Times New Roman" w:eastAsia="宋体" w:cs="Times New Roman"/>
          <w:b/>
          <w:bCs/>
          <w:sz w:val="24"/>
          <w:szCs w:val="24"/>
        </w:rPr>
      </w:pPr>
      <w:bookmarkStart w:id="19" w:name="_Toc5474"/>
      <w:r>
        <w:rPr>
          <w:rFonts w:hint="eastAsia" w:ascii="Times New Roman" w:hAnsi="Times New Roman" w:eastAsia="宋体" w:cs="Times New Roman"/>
          <w:b/>
          <w:bCs/>
          <w:sz w:val="24"/>
          <w:szCs w:val="24"/>
        </w:rPr>
        <w:t>四、中介效应分析</w:t>
      </w:r>
      <w:bookmarkEnd w:id="19"/>
    </w:p>
    <w:p w14:paraId="6430079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上文的研究结果显示，新闻的情绪与股票累计异常收益率呈正相关。在考察虚假财经新闻对股票价格的影响时，往往由于遗漏变量、测量误差等因素而不能被很好地刻画，且由于虚假财经新闻对股票价格的影响可有路径“虚假财经新闻-投资者情绪-股票价格”这一条路径传导，也即虚假财经新闻和股票价格的关系不那么直接而迫近，相反，它们之间的逻辑链条往往比较长（江艇，2022）</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3"/>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，因而虚假财经新闻对股票价格的直接影响的测度并非十分准确。本文首先采用Baron and  Kenny(1986)</w:t>
      </w:r>
      <w:r>
        <w:rPr>
          <w:rStyle w:val="24"/>
          <w:rFonts w:ascii="Times New Roman" w:hAnsi="Times New Roman" w:eastAsia="宋体" w:cs="Times New Roman"/>
          <w:sz w:val="21"/>
          <w:szCs w:val="21"/>
        </w:rPr>
        <w:t>[</w:t>
      </w:r>
      <w:r>
        <w:rPr>
          <w:rStyle w:val="24"/>
          <w:rFonts w:ascii="Times New Roman" w:hAnsi="Times New Roman" w:eastAsia="宋体" w:cs="Times New Roman"/>
          <w:sz w:val="21"/>
          <w:szCs w:val="21"/>
        </w:rPr>
        <w:endnoteReference w:id="24"/>
      </w:r>
      <w:r>
        <w:rPr>
          <w:rStyle w:val="24"/>
          <w:rFonts w:ascii="Times New Roman" w:hAnsi="Times New Roman" w:eastAsia="宋体" w:cs="Times New Roman"/>
          <w:sz w:val="21"/>
          <w:szCs w:val="21"/>
        </w:rPr>
        <w:t>]</w:t>
      </w:r>
      <w:r>
        <w:rPr>
          <w:rFonts w:hint="eastAsia" w:ascii="Times New Roman" w:hAnsi="Times New Roman" w:eastAsia="宋体" w:cs="Times New Roman"/>
          <w:sz w:val="21"/>
          <w:szCs w:val="21"/>
        </w:rPr>
        <w:t>提出的经典三步中介效应检验方法，探讨虚假财经新闻情绪对股票异常收益率是否通过投资者情绪变量间接作用。第一步回归，即被解释变量在不含中介变量下与解释变量的回归:</w:t>
      </w:r>
    </w:p>
    <w:p w14:paraId="21A0C630">
      <w:pPr>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Y=</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sentiment+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r>
                <m:rPr/>
                <w:rPr>
                  <w:rFonts w:ascii="Cambria Math" w:hAnsi="Cambria Math" w:eastAsia="宋体" w:cs="Times New Roman"/>
                  <w:sz w:val="21"/>
                  <w:szCs w:val="21"/>
                </w:rPr>
                <m:t>X+ϵ#</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8</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2FDFE319">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回归结果同上文中基准回归的结果。可知,</w:t>
      </w:r>
      <w:r>
        <w:rPr>
          <w:rFonts w:ascii="Cambria Math" w:hAnsi="Cambria Math" w:eastAsia="宋体" w:cs="Times New Roman"/>
          <w:i/>
          <w:sz w:val="21"/>
          <w:szCs w:val="21"/>
        </w:rPr>
        <w:t xml:space="preserve"> </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oMath>
      <w:r>
        <w:rPr>
          <w:rFonts w:hint="eastAsia" w:ascii="Times New Roman" w:hAnsi="Times New Roman" w:eastAsia="宋体" w:cs="Times New Roman"/>
          <w:sz w:val="21"/>
          <w:szCs w:val="21"/>
        </w:rPr>
        <w:t>=0.0365显著不为零，意味着存在可以“被中介”效应。选择适当的中介变量首先需要确定因果路径。投资者关注对股票异常收益率存在影响，而虚假财经新闻是否能通过影响投资者情绪以简介对股票异常收益率造成影响呢？本文提出了因果关系的三个渠道Alesina and Zhuravskaya(2011)：投资者活跃程度、投资者情绪稳定程度、投资者情绪平均程度。投资者情绪由对应个股在东方财富股吧中的评论内容加以量化，以此作为间接情绪指标。东方财富股吧是东方财富网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作出反应，并在股吧评论中得以体现。这在数值上主要反映为股票评论情绪分数的L1范数：</w:t>
      </w:r>
    </w:p>
    <w:p w14:paraId="3B1810BF">
      <w:pPr>
        <w:spacing w:line="240" w:lineRule="atLeast"/>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sSub>
                <m:sSubPr>
                  <m:ctrlPr>
                    <w:rPr>
                      <w:rFonts w:ascii="Cambria Math" w:hAnsi="Cambria Math" w:eastAsia="宋体" w:cs="Times New Roman"/>
                      <w:i/>
                      <w:sz w:val="21"/>
                      <w:szCs w:val="21"/>
                    </w:rPr>
                  </m:ctrlPr>
                </m:sSubPr>
                <m:e>
                  <m:d>
                    <m:dPr>
                      <m:begChr m:val="|"/>
                      <m:endChr m:val="|"/>
                      <m:ctrlPr>
                        <w:rPr>
                          <w:rFonts w:ascii="Cambria Math" w:hAnsi="Cambria Math" w:eastAsia="宋体" w:cs="Times New Roman"/>
                          <w:i/>
                          <w:sz w:val="21"/>
                          <w:szCs w:val="21"/>
                        </w:rPr>
                      </m:ctrlPr>
                    </m:dPr>
                    <m:e>
                      <m:d>
                        <m:dPr>
                          <m:begChr m:val="|"/>
                          <m:endChr m:val="|"/>
                          <m:ctrlPr>
                            <w:rPr>
                              <w:rFonts w:ascii="Cambria Math" w:hAnsi="Cambria Math" w:eastAsia="宋体" w:cs="Times New Roman"/>
                              <w:i/>
                              <w:sz w:val="21"/>
                              <w:szCs w:val="21"/>
                            </w:rPr>
                          </m:ctrlPr>
                        </m:dPr>
                        <m:e>
                          <m:r>
                            <m:rPr/>
                            <w:rPr>
                              <w:rFonts w:ascii="Cambria Math" w:hAnsi="Cambria Math" w:eastAsia="宋体" w:cs="Times New Roman"/>
                              <w:sz w:val="21"/>
                              <w:szCs w:val="21"/>
                            </w:rPr>
                            <m:t>sentiment</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d>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nary>
                <m:naryPr>
                  <m:chr m:val="∑"/>
                  <m:limLoc m:val="subSup"/>
                  <m:ctrlPr>
                    <w:rPr>
                      <w:rFonts w:ascii="Cambria Math" w:hAnsi="Cambria Math" w:eastAsia="宋体" w:cs="Times New Roman"/>
                      <w:i/>
                      <w:sz w:val="21"/>
                      <w:szCs w:val="21"/>
                    </w:rPr>
                  </m:ctrlPr>
                </m:naryPr>
                <m:sub>
                  <m:r>
                    <m:rPr/>
                    <w:rPr>
                      <w:rFonts w:ascii="Cambria Math" w:hAnsi="Cambria Math" w:eastAsia="宋体" w:cs="Times New Roman"/>
                      <w:sz w:val="21"/>
                      <w:szCs w:val="21"/>
                    </w:rPr>
                    <m:t>i=1</m:t>
                  </m:r>
                  <m:ctrlPr>
                    <w:rPr>
                      <w:rFonts w:ascii="Cambria Math" w:hAnsi="Cambria Math" w:eastAsia="宋体" w:cs="Times New Roman"/>
                      <w:i/>
                      <w:sz w:val="21"/>
                      <w:szCs w:val="21"/>
                    </w:rPr>
                  </m:ctrlPr>
                </m:sub>
                <m:sup>
                  <m:r>
                    <m:rPr/>
                    <w:rPr>
                      <w:rFonts w:ascii="Cambria Math" w:hAnsi="Cambria Math" w:eastAsia="宋体" w:cs="Times New Roman"/>
                      <w:sz w:val="21"/>
                      <w:szCs w:val="21"/>
                    </w:rPr>
                    <m:t>n</m:t>
                  </m:r>
                  <m:ctrlPr>
                    <w:rPr>
                      <w:rFonts w:ascii="Cambria Math" w:hAnsi="Cambria Math" w:eastAsia="宋体" w:cs="Times New Roman"/>
                      <w:i/>
                      <w:sz w:val="21"/>
                      <w:szCs w:val="21"/>
                    </w:rPr>
                  </m:ctrlPr>
                </m:sup>
                <m:e>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commen</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t</m:t>
                          </m:r>
                          <m:ctrlPr>
                            <w:rPr>
                              <w:rFonts w:ascii="Cambria Math" w:hAnsi="Cambria Math" w:eastAsia="宋体" w:cs="Times New Roman"/>
                              <w:i/>
                              <w:sz w:val="21"/>
                              <w:szCs w:val="21"/>
                            </w:rPr>
                          </m:ctrlPr>
                        </m:e>
                        <m:sub>
                          <m:r>
                            <m:rPr/>
                            <w:rPr>
                              <w:rFonts w:ascii="Cambria Math" w:hAnsi="Cambria Math" w:eastAsia="宋体" w:cs="Times New Roman"/>
                              <w:sz w:val="21"/>
                              <w:szCs w:val="21"/>
                            </w:rPr>
                            <m:t>sentiment</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sub>
                      <m:r>
                        <m:rPr/>
                        <w:rPr>
                          <w:rFonts w:ascii="Cambria Math" w:hAnsi="Cambria Math" w:eastAsia="宋体" w:cs="Times New Roman"/>
                          <w:sz w:val="21"/>
                          <w:szCs w:val="21"/>
                        </w:rPr>
                        <m:t>i</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nary>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9</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254740FC">
      <w:pPr>
        <w:ind w:firstLine="420" w:firstLineChars="200"/>
        <w:rPr>
          <w:rFonts w:ascii="Times New Roman" w:hAnsi="Times New Roman" w:eastAsia="宋体" w:cs="Times New Roman"/>
          <w:sz w:val="21"/>
          <w:szCs w:val="21"/>
        </w:rPr>
      </w:pPr>
      <w:r>
        <w:rPr>
          <w:rFonts w:hint="eastAsia" w:ascii="Times New Roman" w:hAnsi="Times New Roman" w:eastAsia="宋体" w:cs="Times New Roman"/>
          <w:sz w:val="21"/>
          <w:szCs w:val="21"/>
        </w:rPr>
        <w:t>L1范数受到情绪分数的值与股吧评论数量的影响。情绪分数绝对值越大（即情绪越激烈），股吧评论数目越多，L1范数越大。就投资者情绪的平均程度而言，一定程度上反映了股吧整体的投资者情绪。股吧评论的投资者情绪的L1范数不能识别负面情绪与正面情绪，而其均值能反映哪种类型的情绪占比更多。积极的股吧评论多与看涨有关，而消极的股吧评论多与看跌有关，如果股吧评论能正确反映投资行为，那么积极的股吧评论和消极的股吧评论一定程度上会造成价格异动的相互抵消。就投资者情绪的激烈程度而言，股吧评论的方差在某种程度上可以揭示投资者情绪的激烈程度。在均值相近，方差有别的情形下，方差越大，越能反映投资者情绪的波动程度。此外，不同股吧的投资者活跃程度不一致，因而其日常股吧评论的均值和L1范数具有不同的基准，而方差能避免基准不一致导致的测量偏误。因此本文选择上三个投资者情绪作为中介变量M。每条股吧的情绪由DEEPSEEK测度，其prompt为：“你是一个东方财富股吧评论情感分析专家，请直接返回-1到1之间的数值，0表示中性，只返回数字不要其他内容。请分析以下文本的情感倾向（-1到1）。”将DEEPSEEK返回的情绪分数进行整理，并构建如下回归方</w:t>
      </w:r>
      <w:r>
        <w:rPr>
          <w:rFonts w:hint="eastAsia" w:ascii="Times New Roman" w:hAnsi="Times New Roman" w:eastAsia="宋体" w:cs="Times New Roman"/>
          <w:sz w:val="21"/>
          <w:szCs w:val="21"/>
          <w:lang w:val="en-US" w:eastAsia="zh-CN"/>
        </w:rPr>
        <w:t>程</w:t>
      </w:r>
      <w:bookmarkStart w:id="26" w:name="_GoBack"/>
      <w:bookmarkEnd w:id="26"/>
      <w:r>
        <w:rPr>
          <w:rFonts w:hint="eastAsia" w:ascii="Times New Roman" w:hAnsi="Times New Roman" w:eastAsia="宋体" w:cs="Times New Roman"/>
          <w:sz w:val="21"/>
          <w:szCs w:val="21"/>
        </w:rPr>
        <w:t>：</w:t>
      </w:r>
    </w:p>
    <w:p w14:paraId="3994D5F8">
      <w:pPr>
        <w:jc w:val="center"/>
        <w:rPr>
          <w:rFonts w:ascii="Times New Roman" w:hAnsi="Times New Roman"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M=</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λ</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λ</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sentiment+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ϵ</m:t>
                  </m:r>
                  <m:ctrlPr>
                    <w:rPr>
                      <w:rFonts w:ascii="Cambria Math" w:hAnsi="Cambria Math" w:eastAsia="宋体" w:cs="Times New Roman"/>
                      <w:i/>
                      <w:sz w:val="21"/>
                      <w:szCs w:val="21"/>
                    </w:rPr>
                  </m:ctrlPr>
                </m:e>
                <m:sub>
                  <m:r>
                    <m:rPr/>
                    <w:rPr>
                      <w:rFonts w:ascii="Cambria Math" w:hAnsi="Cambria Math" w:eastAsia="宋体" w:cs="Times New Roman"/>
                      <w:sz w:val="21"/>
                      <w:szCs w:val="21"/>
                    </w:rPr>
                    <m:t>M</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10</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1DE15D71">
      <w:pPr>
        <w:widowControl w:val="0"/>
        <w:tabs>
          <w:tab w:val="left" w:pos="861"/>
        </w:tabs>
        <w:autoSpaceDE w:val="0"/>
        <w:autoSpaceDN w:val="0"/>
        <w:spacing w:before="1"/>
        <w:ind w:left="-1" w:right="65" w:firstLine="420" w:firstLineChars="200"/>
        <w:jc w:val="left"/>
        <w:rPr>
          <w:rFonts w:ascii="Times New Roman" w:hAnsi="Times New Roman" w:eastAsia="宋体" w:cs="Times New Roman"/>
          <w:sz w:val="21"/>
          <w:szCs w:val="21"/>
        </w:rPr>
      </w:pPr>
      <w:r>
        <w:rPr>
          <w:rFonts w:hint="eastAsia" w:ascii="Times New Roman" w:hAnsi="Times New Roman" w:eastAsia="宋体" w:cs="Times New Roman"/>
          <w:sz w:val="21"/>
          <w:szCs w:val="21"/>
        </w:rPr>
        <w:t>此式子表明了处理变量虚假财经新闻情绪sentiment对投资者情绪指标M的影响。选择不同的指标得出的估计系数如表6中第二步回归所示例。</w:t>
      </w:r>
    </w:p>
    <w:p w14:paraId="69CA836D">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回归结果显示，无论采用均值、L1范数还是方差作为中介变量，其系数均在统计上显著，表明虚假财经新闻的情绪倾向能够显著影响投资者情绪，则虚假财经新闻情绪分数影响投资者情绪分数这一因果关系的成立。但是模型R2较低，反映了此时还存在非常严重的内生性问题。而在加入了控制变量后，模型的R2提升了500%，且显著性水平保持稳定，进一步支持了“虚假财经新闻 → 投资者情绪 → 股票价格”这一中介路径的存在。此外为验证因果路径</w:t>
      </w:r>
      <m:oMath>
        <m:r>
          <m:rPr/>
          <w:rPr>
            <w:rFonts w:ascii="Cambria Math" w:hAnsi="Cambria Math" w:eastAsia="宋体" w:cs="Times New Roman"/>
            <w:sz w:val="21"/>
            <w:szCs w:val="21"/>
          </w:rPr>
          <m:t>M</m:t>
        </m:r>
        <m:box>
          <m:boxPr>
            <m:opEmu m:val="1"/>
            <m:ctrlPr>
              <w:rPr>
                <w:rFonts w:ascii="Cambria Math" w:hAnsi="Cambria Math" w:eastAsia="宋体" w:cs="Times New Roman"/>
                <w:i/>
                <w:sz w:val="21"/>
                <w:szCs w:val="21"/>
              </w:rPr>
            </m:ctrlPr>
          </m:boxPr>
          <m:e>
            <m:groupChr>
              <m:groupChrPr>
                <m:chr m:val="→"/>
                <m:pos m:val="top"/>
                <m:ctrlPr>
                  <w:rPr>
                    <w:rFonts w:ascii="Cambria Math" w:hAnsi="Cambria Math" w:eastAsia="宋体" w:cs="Times New Roman"/>
                    <w:i/>
                    <w:sz w:val="21"/>
                    <w:szCs w:val="21"/>
                  </w:rPr>
                </m:ctrlPr>
              </m:groupChrPr>
              <m:e>
                <m:ctrlPr>
                  <w:rPr>
                    <w:rFonts w:ascii="Cambria Math" w:hAnsi="Cambria Math" w:eastAsia="宋体" w:cs="Times New Roman"/>
                    <w:i/>
                    <w:sz w:val="21"/>
                    <w:szCs w:val="21"/>
                  </w:rPr>
                </m:ctrlPr>
              </m:e>
            </m:groupChr>
            <m:ctrlPr>
              <w:rPr>
                <w:rFonts w:ascii="Cambria Math" w:hAnsi="Cambria Math" w:eastAsia="宋体" w:cs="Times New Roman"/>
                <w:i/>
                <w:sz w:val="21"/>
                <w:szCs w:val="21"/>
              </w:rPr>
            </m:ctrlPr>
          </m:e>
        </m:box>
        <m:r>
          <m:rPr/>
          <w:rPr>
            <w:rFonts w:ascii="Cambria Math" w:hAnsi="Cambria Math" w:eastAsia="宋体" w:cs="Times New Roman"/>
            <w:sz w:val="21"/>
            <w:szCs w:val="21"/>
          </w:rPr>
          <m:t>Y</m:t>
        </m:r>
      </m:oMath>
      <w:r>
        <w:rPr>
          <w:rFonts w:hint="eastAsia" w:ascii="宋体" w:hAnsi="宋体" w:eastAsia="宋体" w:cs="Times New Roman"/>
          <w:sz w:val="21"/>
          <w:szCs w:val="21"/>
        </w:rPr>
        <w:t>的存在，构建如下回归方程：</w:t>
      </w:r>
    </w:p>
    <w:p w14:paraId="1920E276">
      <w:pPr>
        <w:widowControl w:val="0"/>
        <w:tabs>
          <w:tab w:val="left" w:pos="4350"/>
        </w:tabs>
        <w:autoSpaceDE w:val="0"/>
        <w:autoSpaceDN w:val="0"/>
        <w:ind w:left="357"/>
        <w:jc w:val="center"/>
        <w:rPr>
          <w:rFonts w:hint="eastAsia" w:ascii="宋体" w:hAnsi="宋体" w:eastAsia="宋体" w:cs="Times New Roman"/>
          <w:kern w:val="0"/>
          <w:sz w:val="21"/>
          <w:szCs w:val="21"/>
        </w:rPr>
      </w:pPr>
      <m:oMathPara>
        <m:oMath>
          <m:eqArr>
            <m:eqArrPr>
              <m:maxDist m:val="1"/>
              <m:ctrlPr>
                <w:rPr>
                  <w:rFonts w:ascii="Cambria Math" w:hAnsi="Cambria Math" w:cs="Times New Roman" w:eastAsiaTheme="minorEastAsia"/>
                  <w:i/>
                  <w:kern w:val="0"/>
                  <w:sz w:val="21"/>
                  <w:szCs w:val="21"/>
                </w:rPr>
              </m:ctrlPr>
            </m:eqArrPr>
            <m:e>
              <m:r>
                <m:rPr/>
                <w:rPr>
                  <w:rFonts w:ascii="Cambria Math" w:hAnsi="Cambria Math" w:cs="Times New Roman" w:eastAsiaTheme="minorEastAsia"/>
                  <w:kern w:val="0"/>
                  <w:sz w:val="21"/>
                  <w:szCs w:val="21"/>
                </w:rPr>
                <m:t>CAR=</m:t>
              </m:r>
              <m:sSub>
                <m:sSubPr>
                  <m:ctrlPr>
                    <w:rPr>
                      <w:rFonts w:ascii="Cambria Math" w:hAnsi="Cambria Math" w:cs="Times New Roman" w:eastAsiaTheme="minorEastAsia"/>
                      <w:i/>
                      <w:kern w:val="0"/>
                      <w:sz w:val="21"/>
                      <w:szCs w:val="21"/>
                    </w:rPr>
                  </m:ctrlPr>
                </m:sSubPr>
                <m:e>
                  <m:r>
                    <m:rPr/>
                    <w:rPr>
                      <w:rFonts w:ascii="Cambria Math" w:hAnsi="Cambria Math" w:cs="Times New Roman" w:eastAsiaTheme="minorEastAsia"/>
                      <w:kern w:val="0"/>
                      <w:sz w:val="21"/>
                      <w:szCs w:val="21"/>
                    </w:rPr>
                    <m:t>β</m:t>
                  </m:r>
                  <m:ctrlPr>
                    <w:rPr>
                      <w:rFonts w:ascii="Cambria Math" w:hAnsi="Cambria Math" w:cs="Times New Roman" w:eastAsiaTheme="minorEastAsia"/>
                      <w:i/>
                      <w:kern w:val="0"/>
                      <w:sz w:val="21"/>
                      <w:szCs w:val="21"/>
                    </w:rPr>
                  </m:ctrlPr>
                </m:e>
                <m:sub>
                  <m:r>
                    <m:rPr/>
                    <w:rPr>
                      <w:rFonts w:ascii="Cambria Math" w:hAnsi="Cambria Math" w:cs="Times New Roman" w:eastAsiaTheme="minorEastAsia"/>
                      <w:kern w:val="0"/>
                      <w:sz w:val="21"/>
                      <w:szCs w:val="21"/>
                    </w:rPr>
                    <m:t>0</m:t>
                  </m:r>
                  <m:ctrlPr>
                    <w:rPr>
                      <w:rFonts w:ascii="Cambria Math" w:hAnsi="Cambria Math" w:cs="Times New Roman" w:eastAsiaTheme="minorEastAsia"/>
                      <w:i/>
                      <w:kern w:val="0"/>
                      <w:sz w:val="21"/>
                      <w:szCs w:val="21"/>
                    </w:rPr>
                  </m:ctrlPr>
                </m:sub>
              </m:sSub>
              <m:r>
                <m:rPr/>
                <w:rPr>
                  <w:rFonts w:ascii="Cambria Math" w:hAnsi="Cambria Math" w:cs="Times New Roman" w:eastAsiaTheme="minorEastAsia"/>
                  <w:kern w:val="0"/>
                  <w:sz w:val="21"/>
                  <w:szCs w:val="21"/>
                </w:rPr>
                <m:t>+</m:t>
              </m:r>
              <m:sSub>
                <m:sSubPr>
                  <m:ctrlPr>
                    <w:rPr>
                      <w:rFonts w:ascii="Cambria Math" w:hAnsi="Cambria Math" w:cs="Times New Roman" w:eastAsiaTheme="minorEastAsia"/>
                      <w:i/>
                      <w:kern w:val="0"/>
                      <w:sz w:val="21"/>
                      <w:szCs w:val="21"/>
                    </w:rPr>
                  </m:ctrlPr>
                </m:sSubPr>
                <m:e>
                  <m:r>
                    <m:rPr/>
                    <w:rPr>
                      <w:rFonts w:ascii="Cambria Math" w:hAnsi="Cambria Math" w:cs="Times New Roman" w:eastAsiaTheme="minorEastAsia"/>
                      <w:kern w:val="0"/>
                      <w:sz w:val="21"/>
                      <w:szCs w:val="21"/>
                    </w:rPr>
                    <m:t>β</m:t>
                  </m:r>
                  <m:ctrlPr>
                    <w:rPr>
                      <w:rFonts w:ascii="Cambria Math" w:hAnsi="Cambria Math" w:cs="Times New Roman" w:eastAsiaTheme="minorEastAsia"/>
                      <w:i/>
                      <w:kern w:val="0"/>
                      <w:sz w:val="21"/>
                      <w:szCs w:val="21"/>
                    </w:rPr>
                  </m:ctrlPr>
                </m:e>
                <m:sub>
                  <m:r>
                    <m:rPr/>
                    <w:rPr>
                      <w:rFonts w:ascii="Cambria Math" w:hAnsi="Cambria Math" w:cs="Times New Roman" w:eastAsiaTheme="minorEastAsia"/>
                      <w:kern w:val="0"/>
                      <w:sz w:val="21"/>
                      <w:szCs w:val="21"/>
                    </w:rPr>
                    <m:t>1</m:t>
                  </m:r>
                  <m:ctrlPr>
                    <w:rPr>
                      <w:rFonts w:ascii="Cambria Math" w:hAnsi="Cambria Math" w:cs="Times New Roman" w:eastAsiaTheme="minorEastAsia"/>
                      <w:i/>
                      <w:kern w:val="0"/>
                      <w:sz w:val="21"/>
                      <w:szCs w:val="21"/>
                    </w:rPr>
                  </m:ctrlPr>
                </m:sub>
              </m:sSub>
              <m:r>
                <m:rPr/>
                <w:rPr>
                  <w:rFonts w:ascii="Cambria Math" w:hAnsi="Cambria Math" w:cs="Times New Roman" w:eastAsiaTheme="minorEastAsia"/>
                  <w:kern w:val="0"/>
                  <w:sz w:val="21"/>
                  <w:szCs w:val="21"/>
                </w:rPr>
                <m:t>sentiment+</m:t>
              </m:r>
              <m:sSub>
                <m:sSubPr>
                  <m:ctrlPr>
                    <w:rPr>
                      <w:rFonts w:ascii="Cambria Math" w:hAnsi="Cambria Math" w:cs="Times New Roman" w:eastAsiaTheme="minorEastAsia"/>
                      <w:i/>
                      <w:kern w:val="0"/>
                      <w:sz w:val="21"/>
                      <w:szCs w:val="21"/>
                    </w:rPr>
                  </m:ctrlPr>
                </m:sSubPr>
                <m:e>
                  <m:r>
                    <m:rPr/>
                    <w:rPr>
                      <w:rFonts w:ascii="Cambria Math" w:hAnsi="Cambria Math" w:cs="Times New Roman" w:eastAsiaTheme="minorEastAsia"/>
                      <w:kern w:val="0"/>
                      <w:sz w:val="21"/>
                      <w:szCs w:val="21"/>
                    </w:rPr>
                    <m:t>β</m:t>
                  </m:r>
                  <m:ctrlPr>
                    <w:rPr>
                      <w:rFonts w:ascii="Cambria Math" w:hAnsi="Cambria Math" w:cs="Times New Roman" w:eastAsiaTheme="minorEastAsia"/>
                      <w:i/>
                      <w:kern w:val="0"/>
                      <w:sz w:val="21"/>
                      <w:szCs w:val="21"/>
                    </w:rPr>
                  </m:ctrlPr>
                </m:e>
                <m:sub>
                  <m:r>
                    <m:rPr/>
                    <w:rPr>
                      <w:rFonts w:ascii="Cambria Math" w:hAnsi="Cambria Math" w:cs="Times New Roman" w:eastAsiaTheme="minorEastAsia"/>
                      <w:kern w:val="0"/>
                      <w:sz w:val="21"/>
                      <w:szCs w:val="21"/>
                    </w:rPr>
                    <m:t>2</m:t>
                  </m:r>
                  <m:ctrlPr>
                    <w:rPr>
                      <w:rFonts w:ascii="Cambria Math" w:hAnsi="Cambria Math" w:cs="Times New Roman" w:eastAsiaTheme="minorEastAsia"/>
                      <w:i/>
                      <w:kern w:val="0"/>
                      <w:sz w:val="21"/>
                      <w:szCs w:val="21"/>
                    </w:rPr>
                  </m:ctrlPr>
                </m:sub>
              </m:sSub>
              <m:r>
                <m:rPr/>
                <w:rPr>
                  <w:rFonts w:ascii="Cambria Math" w:hAnsi="Cambria Math" w:cs="Times New Roman" w:eastAsiaTheme="minorEastAsia"/>
                  <w:kern w:val="0"/>
                  <w:sz w:val="21"/>
                  <w:szCs w:val="21"/>
                </w:rPr>
                <m:t>M+</m:t>
              </m:r>
              <m:sSub>
                <m:sSubPr>
                  <m:ctrlPr>
                    <w:rPr>
                      <w:rFonts w:ascii="Cambria Math" w:hAnsi="Cambria Math" w:cs="Times New Roman" w:eastAsiaTheme="minorEastAsia"/>
                      <w:i/>
                      <w:kern w:val="0"/>
                      <w:sz w:val="21"/>
                      <w:szCs w:val="21"/>
                    </w:rPr>
                  </m:ctrlPr>
                </m:sSubPr>
                <m:e>
                  <m:r>
                    <m:rPr/>
                    <w:rPr>
                      <w:rFonts w:ascii="Cambria Math" w:hAnsi="Cambria Math" w:cs="Times New Roman" w:eastAsiaTheme="minorEastAsia"/>
                      <w:kern w:val="0"/>
                      <w:sz w:val="21"/>
                      <w:szCs w:val="21"/>
                    </w:rPr>
                    <m:t>ϵ</m:t>
                  </m:r>
                  <m:ctrlPr>
                    <w:rPr>
                      <w:rFonts w:ascii="Cambria Math" w:hAnsi="Cambria Math" w:cs="Times New Roman" w:eastAsiaTheme="minorEastAsia"/>
                      <w:i/>
                      <w:kern w:val="0"/>
                      <w:sz w:val="21"/>
                      <w:szCs w:val="21"/>
                    </w:rPr>
                  </m:ctrlPr>
                </m:e>
                <m:sub>
                  <m:r>
                    <m:rPr/>
                    <w:rPr>
                      <w:rFonts w:ascii="Cambria Math" w:hAnsi="Cambria Math" w:cs="Times New Roman" w:eastAsiaTheme="minorEastAsia"/>
                      <w:kern w:val="0"/>
                      <w:sz w:val="21"/>
                      <w:szCs w:val="21"/>
                    </w:rPr>
                    <m:t>Y</m:t>
                  </m:r>
                  <m:ctrlPr>
                    <w:rPr>
                      <w:rFonts w:ascii="Cambria Math" w:hAnsi="Cambria Math" w:cs="Times New Roman" w:eastAsiaTheme="minorEastAsia"/>
                      <w:i/>
                      <w:kern w:val="0"/>
                      <w:sz w:val="21"/>
                      <w:szCs w:val="21"/>
                    </w:rPr>
                  </m:ctrlPr>
                </m:sub>
              </m:sSub>
              <m:r>
                <m:rPr/>
                <w:rPr>
                  <w:rFonts w:ascii="Cambria Math" w:hAnsi="Cambria Math" w:cs="Times New Roman" w:eastAsiaTheme="minorEastAsia"/>
                  <w:kern w:val="0"/>
                  <w:sz w:val="21"/>
                  <w:szCs w:val="21"/>
                </w:rPr>
                <m:t>#</m:t>
              </m:r>
              <m:d>
                <m:dPr>
                  <m:ctrlPr>
                    <w:rPr>
                      <w:rFonts w:ascii="Cambria Math" w:hAnsi="Cambria Math" w:cs="Times New Roman" w:eastAsiaTheme="minorEastAsia"/>
                      <w:i/>
                      <w:kern w:val="0"/>
                      <w:sz w:val="21"/>
                      <w:szCs w:val="21"/>
                    </w:rPr>
                  </m:ctrlPr>
                </m:dPr>
                <m:e>
                  <m:r>
                    <m:rPr/>
                    <w:rPr>
                      <w:rFonts w:ascii="Cambria Math" w:hAnsi="Cambria Math" w:cs="Times New Roman" w:eastAsiaTheme="minorEastAsia"/>
                      <w:kern w:val="0"/>
                      <w:sz w:val="21"/>
                      <w:szCs w:val="21"/>
                    </w:rPr>
                    <m:t>11</m:t>
                  </m:r>
                  <m:ctrlPr>
                    <w:rPr>
                      <w:rFonts w:ascii="Cambria Math" w:hAnsi="Cambria Math" w:cs="Times New Roman" w:eastAsiaTheme="minorEastAsia"/>
                      <w:i/>
                      <w:kern w:val="0"/>
                      <w:sz w:val="21"/>
                      <w:szCs w:val="21"/>
                    </w:rPr>
                  </m:ctrlPr>
                </m:e>
              </m:d>
              <m:ctrlPr>
                <w:rPr>
                  <w:rFonts w:ascii="Cambria Math" w:hAnsi="Cambria Math" w:cs="Times New Roman" w:eastAsiaTheme="minorEastAsia"/>
                  <w:i/>
                  <w:kern w:val="0"/>
                  <w:sz w:val="21"/>
                  <w:szCs w:val="21"/>
                </w:rPr>
              </m:ctrlPr>
            </m:e>
          </m:eqArr>
        </m:oMath>
      </m:oMathPara>
    </w:p>
    <w:p w14:paraId="1D9C97FE">
      <w:pPr>
        <w:ind w:firstLine="420" w:firstLineChars="200"/>
        <w:rPr>
          <w:rFonts w:ascii="Times New Roman" w:hAnsi="Times New Roman" w:eastAsia="宋体" w:cs="Times New Roman"/>
          <w:sz w:val="21"/>
          <w:szCs w:val="21"/>
        </w:rPr>
      </w:pPr>
      <w:r>
        <w:rPr>
          <w:rFonts w:hint="eastAsia" w:ascii="宋体" w:hAnsi="宋体" w:eastAsia="宋体" w:cs="Times New Roman"/>
          <w:sz w:val="21"/>
          <w:szCs w:val="21"/>
        </w:rPr>
        <w:t>所得结果如表6第三步回归。三个中介变量的系数都大于0且显著，而</w:t>
      </w:r>
      <m:oMath>
        <m:d>
          <m:dPr>
            <m:begChr m:val="|"/>
            <m:endChr m:val="|"/>
            <m:ctrlPr>
              <w:rPr>
                <w:rFonts w:ascii="Cambria Math" w:hAnsi="Cambria Math" w:eastAsia="宋体" w:cs="Times New Roman"/>
                <w:i/>
                <w:sz w:val="21"/>
                <w:szCs w:val="21"/>
              </w:rPr>
            </m:ctrlPr>
          </m:dPr>
          <m:e>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α</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ctrlPr>
              <w:rPr>
                <w:rFonts w:ascii="Cambria Math" w:hAnsi="Cambria Math" w:eastAsia="宋体" w:cs="Times New Roman"/>
                <w:i/>
                <w:sz w:val="21"/>
                <w:szCs w:val="21"/>
              </w:rPr>
            </m:ctrlPr>
          </m:e>
        </m:d>
        <m:r>
          <m:rPr/>
          <w:rPr>
            <w:rFonts w:ascii="Cambria Math" w:hAnsi="Cambria Math" w:eastAsia="宋体" w:cs="Times New Roman"/>
            <w:sz w:val="21"/>
            <w:szCs w:val="21"/>
          </w:rPr>
          <m:t>&gt;|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oMath>
      <w:r>
        <w:rPr>
          <w:rFonts w:hint="eastAsia" w:ascii="宋体" w:hAnsi="宋体" w:eastAsia="宋体" w:cs="Times New Roman"/>
          <w:sz w:val="21"/>
          <w:szCs w:val="21"/>
        </w:rPr>
        <w:t>且统计上显著，说明M是D与Y关系的“部分中介”，同时也支持了H3，即</w:t>
      </w:r>
      <w:r>
        <w:rPr>
          <w:rFonts w:hint="eastAsia" w:ascii="Times New Roman" w:hAnsi="Times New Roman" w:eastAsia="宋体" w:cs="Times New Roman"/>
          <w:sz w:val="21"/>
          <w:szCs w:val="21"/>
        </w:rPr>
        <w:t>投资者的情绪越激励，对股票的异常收益率影响越显著；股吧中的投资者越活跃，对股票的异常收益率影响也越显著。</w:t>
      </w:r>
    </w:p>
    <w:tbl>
      <w:tblPr>
        <w:tblStyle w:val="22"/>
        <w:tblpPr w:leftFromText="180" w:rightFromText="180" w:vertAnchor="text" w:horzAnchor="margin" w:tblpXSpec="center" w:tblpY="169"/>
        <w:tblW w:w="7962" w:type="dxa"/>
        <w:tblInd w:w="0" w:type="dxa"/>
        <w:tblLayout w:type="autofit"/>
        <w:tblCellMar>
          <w:top w:w="0" w:type="dxa"/>
          <w:left w:w="0" w:type="dxa"/>
          <w:bottom w:w="0" w:type="dxa"/>
          <w:right w:w="0" w:type="dxa"/>
        </w:tblCellMar>
      </w:tblPr>
      <w:tblGrid>
        <w:gridCol w:w="795"/>
        <w:gridCol w:w="186"/>
        <w:gridCol w:w="1033"/>
        <w:gridCol w:w="1051"/>
        <w:gridCol w:w="178"/>
        <w:gridCol w:w="1218"/>
        <w:gridCol w:w="1167"/>
        <w:gridCol w:w="1167"/>
        <w:gridCol w:w="1131"/>
        <w:gridCol w:w="36"/>
      </w:tblGrid>
      <w:tr w14:paraId="0EA5C7A0">
        <w:tblPrEx>
          <w:tblCellMar>
            <w:top w:w="0" w:type="dxa"/>
            <w:left w:w="0" w:type="dxa"/>
            <w:bottom w:w="0" w:type="dxa"/>
            <w:right w:w="0" w:type="dxa"/>
          </w:tblCellMar>
        </w:tblPrEx>
        <w:trPr>
          <w:gridAfter w:val="1"/>
          <w:wAfter w:w="36" w:type="dxa"/>
          <w:trHeight w:val="135" w:hRule="atLeast"/>
        </w:trPr>
        <w:tc>
          <w:tcPr>
            <w:tcW w:w="7926" w:type="dxa"/>
            <w:gridSpan w:val="9"/>
            <w:tcBorders>
              <w:bottom w:val="single" w:color="000000" w:sz="6" w:space="0"/>
            </w:tcBorders>
          </w:tcPr>
          <w:p w14:paraId="1B7FBDEC">
            <w:pPr>
              <w:widowControl w:val="0"/>
              <w:tabs>
                <w:tab w:val="left" w:pos="861"/>
              </w:tabs>
              <w:autoSpaceDE w:val="0"/>
              <w:autoSpaceDN w:val="0"/>
              <w:spacing w:before="1" w:line="240" w:lineRule="auto"/>
              <w:ind w:left="-1" w:right="65"/>
              <w:jc w:val="center"/>
              <w:rPr>
                <w:rFonts w:hint="eastAsia" w:eastAsia="宋体"/>
                <w:bCs/>
                <w:sz w:val="21"/>
              </w:rPr>
            </w:pPr>
            <w:r>
              <w:rPr>
                <w:rFonts w:hint="eastAsia" w:ascii="宋体" w:hAnsi="宋体" w:eastAsia="宋体" w:cs="宋体"/>
                <w:bCs/>
                <w:spacing w:val="-2"/>
                <w:kern w:val="0"/>
                <w:sz w:val="21"/>
                <w:szCs w:val="21"/>
              </w:rPr>
              <w:t>表6 中介效应：第二步与第三步回归</w:t>
            </w:r>
          </w:p>
        </w:tc>
      </w:tr>
      <w:tr w14:paraId="57C3A5D5">
        <w:tblPrEx>
          <w:tblCellMar>
            <w:top w:w="0" w:type="dxa"/>
            <w:left w:w="0" w:type="dxa"/>
            <w:bottom w:w="0" w:type="dxa"/>
            <w:right w:w="0" w:type="dxa"/>
          </w:tblCellMar>
        </w:tblPrEx>
        <w:trPr>
          <w:gridAfter w:val="1"/>
          <w:wAfter w:w="36" w:type="dxa"/>
          <w:trHeight w:val="135" w:hRule="atLeast"/>
        </w:trPr>
        <w:tc>
          <w:tcPr>
            <w:tcW w:w="795" w:type="dxa"/>
            <w:tcBorders>
              <w:bottom w:val="single" w:color="000000" w:sz="6" w:space="0"/>
            </w:tcBorders>
          </w:tcPr>
          <w:p w14:paraId="08E80425">
            <w:pPr>
              <w:pStyle w:val="53"/>
              <w:spacing w:before="5" w:line="240" w:lineRule="auto"/>
              <w:ind w:left="119"/>
              <w:rPr>
                <w:bCs/>
                <w:spacing w:val="-2"/>
                <w:sz w:val="21"/>
              </w:rPr>
            </w:pPr>
          </w:p>
        </w:tc>
        <w:tc>
          <w:tcPr>
            <w:tcW w:w="2448" w:type="dxa"/>
            <w:gridSpan w:val="4"/>
            <w:tcBorders>
              <w:bottom w:val="single" w:color="000000" w:sz="6" w:space="0"/>
            </w:tcBorders>
          </w:tcPr>
          <w:p w14:paraId="47F3A9B3">
            <w:pPr>
              <w:pStyle w:val="53"/>
              <w:spacing w:before="5" w:line="240" w:lineRule="auto"/>
              <w:ind w:left="119"/>
              <w:jc w:val="center"/>
              <w:rPr>
                <w:rFonts w:eastAsia="宋体"/>
                <w:bCs/>
                <w:spacing w:val="-2"/>
                <w:sz w:val="21"/>
              </w:rPr>
            </w:pPr>
            <w:r>
              <w:rPr>
                <w:rFonts w:hint="eastAsia" w:eastAsia="宋体"/>
                <w:bCs/>
                <w:spacing w:val="-2"/>
                <w:sz w:val="21"/>
              </w:rPr>
              <w:t>第二步回归</w:t>
            </w:r>
          </w:p>
        </w:tc>
        <w:tc>
          <w:tcPr>
            <w:tcW w:w="4683" w:type="dxa"/>
            <w:gridSpan w:val="4"/>
            <w:tcBorders>
              <w:bottom w:val="single" w:color="000000" w:sz="6" w:space="0"/>
            </w:tcBorders>
          </w:tcPr>
          <w:p w14:paraId="69C222F3">
            <w:pPr>
              <w:pStyle w:val="53"/>
              <w:spacing w:before="5" w:line="240" w:lineRule="auto"/>
              <w:ind w:left="60" w:right="11"/>
              <w:jc w:val="center"/>
              <w:rPr>
                <w:rFonts w:eastAsia="宋体"/>
                <w:bCs/>
                <w:sz w:val="21"/>
              </w:rPr>
            </w:pPr>
            <w:r>
              <w:rPr>
                <w:rFonts w:hint="eastAsia" w:eastAsia="宋体"/>
                <w:bCs/>
                <w:sz w:val="21"/>
              </w:rPr>
              <w:t>第三步回归</w:t>
            </w:r>
          </w:p>
        </w:tc>
      </w:tr>
      <w:tr w14:paraId="1BE75A9E">
        <w:tblPrEx>
          <w:tblCellMar>
            <w:top w:w="0" w:type="dxa"/>
            <w:left w:w="0" w:type="dxa"/>
            <w:bottom w:w="0" w:type="dxa"/>
            <w:right w:w="0" w:type="dxa"/>
          </w:tblCellMar>
        </w:tblPrEx>
        <w:trPr>
          <w:trHeight w:val="135" w:hRule="atLeast"/>
        </w:trPr>
        <w:tc>
          <w:tcPr>
            <w:tcW w:w="981" w:type="dxa"/>
            <w:gridSpan w:val="2"/>
            <w:tcBorders>
              <w:bottom w:val="single" w:color="000000" w:sz="6" w:space="0"/>
            </w:tcBorders>
          </w:tcPr>
          <w:p w14:paraId="07BDC941">
            <w:pPr>
              <w:pStyle w:val="53"/>
              <w:spacing w:before="5" w:line="240" w:lineRule="auto"/>
              <w:ind w:left="119"/>
              <w:jc w:val="left"/>
              <w:rPr>
                <w:rFonts w:eastAsiaTheme="minorEastAsia"/>
                <w:bCs/>
                <w:sz w:val="21"/>
              </w:rPr>
            </w:pPr>
            <w:r>
              <w:rPr>
                <w:rFonts w:hint="eastAsia" w:ascii="宋体" w:hAnsi="宋体" w:eastAsia="宋体" w:cs="宋体"/>
                <w:bCs/>
                <w:sz w:val="21"/>
              </w:rPr>
              <w:t>中介变量</w:t>
            </w:r>
          </w:p>
        </w:tc>
        <w:tc>
          <w:tcPr>
            <w:tcW w:w="1033" w:type="dxa"/>
            <w:tcBorders>
              <w:bottom w:val="single" w:color="000000" w:sz="6" w:space="0"/>
            </w:tcBorders>
          </w:tcPr>
          <w:p w14:paraId="16DE732B">
            <w:pPr>
              <w:pStyle w:val="53"/>
              <w:spacing w:before="5" w:line="240" w:lineRule="auto"/>
              <w:ind w:left="119"/>
              <w:jc w:val="center"/>
              <w:rPr>
                <w:rFonts w:eastAsia="宋体"/>
                <w:bCs/>
                <w:spacing w:val="-2"/>
                <w:sz w:val="21"/>
              </w:rPr>
            </w:pPr>
            <w:r>
              <w:rPr>
                <w:rFonts w:hint="eastAsia" w:eastAsia="宋体"/>
                <w:bCs/>
                <w:spacing w:val="-2"/>
                <w:sz w:val="21"/>
              </w:rPr>
              <w:t>回归系数</w:t>
            </w:r>
          </w:p>
        </w:tc>
        <w:tc>
          <w:tcPr>
            <w:tcW w:w="1051" w:type="dxa"/>
            <w:tcBorders>
              <w:bottom w:val="single" w:color="000000" w:sz="6" w:space="0"/>
            </w:tcBorders>
          </w:tcPr>
          <w:p w14:paraId="6EF50712">
            <w:pPr>
              <w:pStyle w:val="53"/>
              <w:spacing w:before="5" w:line="240" w:lineRule="auto"/>
              <w:ind w:left="119"/>
              <w:jc w:val="center"/>
              <w:rPr>
                <w:rFonts w:eastAsia="宋体"/>
                <w:bCs/>
                <w:spacing w:val="-2"/>
                <w:sz w:val="21"/>
              </w:rPr>
            </w:pPr>
            <w:r>
              <w:rPr>
                <w:rFonts w:hint="eastAsia" w:eastAsia="宋体"/>
                <w:bCs/>
                <w:spacing w:val="-2"/>
                <w:sz w:val="21"/>
              </w:rPr>
              <w:t>P值</w:t>
            </w:r>
          </w:p>
        </w:tc>
        <w:tc>
          <w:tcPr>
            <w:tcW w:w="1396" w:type="dxa"/>
            <w:gridSpan w:val="2"/>
            <w:tcBorders>
              <w:bottom w:val="single" w:color="000000" w:sz="6" w:space="0"/>
            </w:tcBorders>
          </w:tcPr>
          <w:p w14:paraId="491D1E32">
            <w:pPr>
              <w:pStyle w:val="53"/>
              <w:spacing w:before="5" w:line="240" w:lineRule="auto"/>
              <w:ind w:right="117"/>
              <w:jc w:val="right"/>
              <w:rPr>
                <w:rFonts w:eastAsia="宋体"/>
                <w:bCs/>
                <w:sz w:val="21"/>
              </w:rPr>
            </w:pPr>
            <w:r>
              <w:rPr>
                <w:rFonts w:hint="eastAsia" w:eastAsia="宋体"/>
                <w:bCs/>
                <w:sz w:val="21"/>
              </w:rPr>
              <w:t>情绪分数</w:t>
            </w:r>
          </w:p>
        </w:tc>
        <w:tc>
          <w:tcPr>
            <w:tcW w:w="1167" w:type="dxa"/>
            <w:tcBorders>
              <w:bottom w:val="single" w:color="000000" w:sz="6" w:space="0"/>
            </w:tcBorders>
          </w:tcPr>
          <w:p w14:paraId="7D1C4A4A">
            <w:pPr>
              <w:pStyle w:val="53"/>
              <w:spacing w:before="5" w:line="240" w:lineRule="auto"/>
              <w:ind w:right="119"/>
              <w:jc w:val="right"/>
              <w:rPr>
                <w:rFonts w:eastAsia="宋体"/>
                <w:bCs/>
                <w:sz w:val="21"/>
              </w:rPr>
            </w:pPr>
            <w:r>
              <w:rPr>
                <w:rFonts w:hint="eastAsia" w:eastAsia="宋体"/>
                <w:bCs/>
                <w:sz w:val="21"/>
              </w:rPr>
              <w:t>P值</w:t>
            </w:r>
          </w:p>
        </w:tc>
        <w:tc>
          <w:tcPr>
            <w:tcW w:w="1167" w:type="dxa"/>
            <w:tcBorders>
              <w:bottom w:val="single" w:color="000000" w:sz="6" w:space="0"/>
            </w:tcBorders>
          </w:tcPr>
          <w:p w14:paraId="415AE8D3">
            <w:pPr>
              <w:pStyle w:val="53"/>
              <w:spacing w:before="5" w:line="240" w:lineRule="auto"/>
              <w:ind w:right="119"/>
              <w:jc w:val="right"/>
              <w:rPr>
                <w:rFonts w:eastAsia="宋体"/>
                <w:bCs/>
                <w:sz w:val="21"/>
              </w:rPr>
            </w:pPr>
            <w:r>
              <w:rPr>
                <w:rFonts w:hint="eastAsia" w:eastAsia="宋体"/>
                <w:bCs/>
                <w:sz w:val="21"/>
              </w:rPr>
              <w:t>中介变量</w:t>
            </w:r>
          </w:p>
        </w:tc>
        <w:tc>
          <w:tcPr>
            <w:tcW w:w="1167" w:type="dxa"/>
            <w:gridSpan w:val="2"/>
            <w:tcBorders>
              <w:bottom w:val="single" w:color="000000" w:sz="6" w:space="0"/>
            </w:tcBorders>
          </w:tcPr>
          <w:p w14:paraId="57A2CEE0">
            <w:pPr>
              <w:pStyle w:val="53"/>
              <w:spacing w:before="5" w:line="240" w:lineRule="auto"/>
              <w:ind w:right="119"/>
              <w:jc w:val="right"/>
              <w:rPr>
                <w:rFonts w:eastAsia="宋体"/>
                <w:bCs/>
                <w:sz w:val="21"/>
              </w:rPr>
            </w:pPr>
            <w:r>
              <w:rPr>
                <w:rFonts w:hint="eastAsia" w:eastAsia="宋体"/>
                <w:bCs/>
                <w:sz w:val="21"/>
              </w:rPr>
              <w:t>P值</w:t>
            </w:r>
          </w:p>
        </w:tc>
      </w:tr>
      <w:tr w14:paraId="31A47D8E">
        <w:tblPrEx>
          <w:tblCellMar>
            <w:top w:w="0" w:type="dxa"/>
            <w:left w:w="0" w:type="dxa"/>
            <w:bottom w:w="0" w:type="dxa"/>
            <w:right w:w="0" w:type="dxa"/>
          </w:tblCellMar>
        </w:tblPrEx>
        <w:trPr>
          <w:trHeight w:val="143" w:hRule="atLeast"/>
        </w:trPr>
        <w:tc>
          <w:tcPr>
            <w:tcW w:w="981" w:type="dxa"/>
            <w:gridSpan w:val="2"/>
            <w:tcBorders>
              <w:top w:val="single" w:color="000000" w:sz="6" w:space="0"/>
            </w:tcBorders>
            <w:vAlign w:val="bottom"/>
          </w:tcPr>
          <w:p w14:paraId="158C20D0">
            <w:pPr>
              <w:pStyle w:val="53"/>
              <w:spacing w:before="69" w:line="240" w:lineRule="auto"/>
              <w:ind w:left="119"/>
              <w:rPr>
                <w:bCs/>
                <w:sz w:val="21"/>
              </w:rPr>
            </w:pPr>
            <w:r>
              <w:rPr>
                <w:bCs/>
                <w:sz w:val="21"/>
              </w:rPr>
              <w:t xml:space="preserve">L1 </w:t>
            </w:r>
            <w:r>
              <w:rPr>
                <w:bCs/>
                <w:spacing w:val="-4"/>
                <w:sz w:val="21"/>
              </w:rPr>
              <w:t>norm</w:t>
            </w:r>
          </w:p>
        </w:tc>
        <w:tc>
          <w:tcPr>
            <w:tcW w:w="1033" w:type="dxa"/>
            <w:tcBorders>
              <w:top w:val="single" w:color="000000" w:sz="6" w:space="0"/>
            </w:tcBorders>
            <w:vAlign w:val="bottom"/>
          </w:tcPr>
          <w:p w14:paraId="3BD394FE">
            <w:pPr>
              <w:pStyle w:val="53"/>
              <w:spacing w:before="69" w:line="240" w:lineRule="auto"/>
              <w:ind w:left="119"/>
              <w:rPr>
                <w:rFonts w:eastAsia="宋体"/>
                <w:bCs/>
                <w:sz w:val="21"/>
              </w:rPr>
            </w:pPr>
            <w:r>
              <w:rPr>
                <w:rFonts w:hint="eastAsia" w:eastAsia="宋体"/>
                <w:bCs/>
                <w:sz w:val="21"/>
              </w:rPr>
              <w:t>-4.7867</w:t>
            </w:r>
          </w:p>
        </w:tc>
        <w:tc>
          <w:tcPr>
            <w:tcW w:w="1051" w:type="dxa"/>
            <w:tcBorders>
              <w:top w:val="single" w:color="000000" w:sz="6" w:space="0"/>
            </w:tcBorders>
            <w:vAlign w:val="bottom"/>
          </w:tcPr>
          <w:p w14:paraId="3F07AE6A">
            <w:pPr>
              <w:pStyle w:val="53"/>
              <w:spacing w:before="69" w:line="240" w:lineRule="auto"/>
              <w:ind w:left="119"/>
              <w:rPr>
                <w:rFonts w:eastAsia="宋体"/>
                <w:bCs/>
                <w:sz w:val="21"/>
              </w:rPr>
            </w:pPr>
            <w:r>
              <w:rPr>
                <w:rFonts w:hint="eastAsia" w:eastAsia="宋体"/>
                <w:bCs/>
                <w:sz w:val="21"/>
              </w:rPr>
              <w:t>0.001***</w:t>
            </w:r>
          </w:p>
        </w:tc>
        <w:tc>
          <w:tcPr>
            <w:tcW w:w="1396" w:type="dxa"/>
            <w:gridSpan w:val="2"/>
            <w:tcBorders>
              <w:top w:val="single" w:color="000000" w:sz="6" w:space="0"/>
            </w:tcBorders>
            <w:vAlign w:val="bottom"/>
          </w:tcPr>
          <w:p w14:paraId="24BADFB1">
            <w:pPr>
              <w:pStyle w:val="53"/>
              <w:spacing w:before="69" w:line="240" w:lineRule="auto"/>
              <w:ind w:right="117"/>
              <w:jc w:val="right"/>
              <w:rPr>
                <w:rFonts w:eastAsiaTheme="minorEastAsia"/>
                <w:bCs/>
                <w:sz w:val="21"/>
              </w:rPr>
            </w:pPr>
            <w:r>
              <w:rPr>
                <w:bCs/>
                <w:spacing w:val="-2"/>
                <w:sz w:val="21"/>
              </w:rPr>
              <w:t>0.0319</w:t>
            </w:r>
          </w:p>
        </w:tc>
        <w:tc>
          <w:tcPr>
            <w:tcW w:w="1167" w:type="dxa"/>
            <w:tcBorders>
              <w:top w:val="single" w:color="000000" w:sz="6" w:space="0"/>
            </w:tcBorders>
          </w:tcPr>
          <w:p w14:paraId="30245235">
            <w:pPr>
              <w:pStyle w:val="53"/>
              <w:spacing w:before="69" w:line="240" w:lineRule="auto"/>
              <w:ind w:right="119"/>
              <w:jc w:val="right"/>
              <w:rPr>
                <w:rFonts w:eastAsiaTheme="minorEastAsia"/>
                <w:bCs/>
                <w:sz w:val="21"/>
              </w:rPr>
            </w:pPr>
            <w:r>
              <w:rPr>
                <w:rFonts w:hint="eastAsia" w:eastAsiaTheme="minorEastAsia"/>
                <w:bCs/>
                <w:sz w:val="21"/>
              </w:rPr>
              <w:t>0.0001***</w:t>
            </w:r>
          </w:p>
        </w:tc>
        <w:tc>
          <w:tcPr>
            <w:tcW w:w="1167" w:type="dxa"/>
            <w:tcBorders>
              <w:top w:val="single" w:color="000000" w:sz="6" w:space="0"/>
            </w:tcBorders>
            <w:vAlign w:val="bottom"/>
          </w:tcPr>
          <w:p w14:paraId="7C728AF9">
            <w:pPr>
              <w:pStyle w:val="53"/>
              <w:spacing w:before="69" w:line="240" w:lineRule="auto"/>
              <w:ind w:right="119"/>
              <w:jc w:val="right"/>
              <w:rPr>
                <w:bCs/>
                <w:sz w:val="21"/>
              </w:rPr>
            </w:pPr>
            <w:r>
              <w:rPr>
                <w:bCs/>
                <w:sz w:val="21"/>
              </w:rPr>
              <w:t>-</w:t>
            </w:r>
            <w:r>
              <w:rPr>
                <w:bCs/>
                <w:spacing w:val="-2"/>
                <w:sz w:val="21"/>
              </w:rPr>
              <w:t>0.0004</w:t>
            </w:r>
          </w:p>
        </w:tc>
        <w:tc>
          <w:tcPr>
            <w:tcW w:w="1167" w:type="dxa"/>
            <w:gridSpan w:val="2"/>
            <w:tcBorders>
              <w:top w:val="single" w:color="000000" w:sz="6" w:space="0"/>
            </w:tcBorders>
          </w:tcPr>
          <w:p w14:paraId="514A7CD9">
            <w:pPr>
              <w:pStyle w:val="53"/>
              <w:spacing w:before="69" w:line="240" w:lineRule="auto"/>
              <w:ind w:right="119"/>
              <w:jc w:val="right"/>
              <w:rPr>
                <w:rFonts w:eastAsiaTheme="minorEastAsia"/>
                <w:bCs/>
                <w:sz w:val="21"/>
              </w:rPr>
            </w:pPr>
            <w:r>
              <w:rPr>
                <w:rFonts w:hint="eastAsia" w:eastAsiaTheme="minorEastAsia"/>
                <w:bCs/>
                <w:sz w:val="21"/>
              </w:rPr>
              <w:t>0.002***</w:t>
            </w:r>
          </w:p>
        </w:tc>
      </w:tr>
      <w:tr w14:paraId="48FD96DB">
        <w:tblPrEx>
          <w:tblCellMar>
            <w:top w:w="0" w:type="dxa"/>
            <w:left w:w="0" w:type="dxa"/>
            <w:bottom w:w="0" w:type="dxa"/>
            <w:right w:w="0" w:type="dxa"/>
          </w:tblCellMar>
        </w:tblPrEx>
        <w:trPr>
          <w:trHeight w:val="123" w:hRule="atLeast"/>
        </w:trPr>
        <w:tc>
          <w:tcPr>
            <w:tcW w:w="981" w:type="dxa"/>
            <w:gridSpan w:val="2"/>
            <w:vAlign w:val="bottom"/>
          </w:tcPr>
          <w:p w14:paraId="0E717992">
            <w:pPr>
              <w:pStyle w:val="53"/>
              <w:spacing w:line="240" w:lineRule="auto"/>
              <w:ind w:left="119"/>
              <w:rPr>
                <w:bCs/>
                <w:sz w:val="21"/>
              </w:rPr>
            </w:pPr>
            <w:r>
              <w:rPr>
                <w:bCs/>
                <w:spacing w:val="-4"/>
                <w:sz w:val="21"/>
              </w:rPr>
              <w:t>Mean</w:t>
            </w:r>
          </w:p>
        </w:tc>
        <w:tc>
          <w:tcPr>
            <w:tcW w:w="1033" w:type="dxa"/>
            <w:vAlign w:val="bottom"/>
          </w:tcPr>
          <w:p w14:paraId="3251865E">
            <w:pPr>
              <w:pStyle w:val="53"/>
              <w:spacing w:line="240" w:lineRule="auto"/>
              <w:ind w:left="119"/>
              <w:rPr>
                <w:rFonts w:eastAsia="宋体"/>
                <w:bCs/>
                <w:spacing w:val="-4"/>
                <w:sz w:val="21"/>
              </w:rPr>
            </w:pPr>
            <w:r>
              <w:rPr>
                <w:rFonts w:hint="eastAsia" w:eastAsia="宋体"/>
                <w:bCs/>
                <w:spacing w:val="-4"/>
                <w:sz w:val="21"/>
              </w:rPr>
              <w:t>0.0973</w:t>
            </w:r>
          </w:p>
        </w:tc>
        <w:tc>
          <w:tcPr>
            <w:tcW w:w="1051" w:type="dxa"/>
            <w:vAlign w:val="bottom"/>
          </w:tcPr>
          <w:p w14:paraId="7C9CA40E">
            <w:pPr>
              <w:pStyle w:val="53"/>
              <w:spacing w:line="240" w:lineRule="auto"/>
              <w:ind w:left="119"/>
              <w:rPr>
                <w:rFonts w:eastAsia="宋体"/>
                <w:bCs/>
                <w:spacing w:val="-4"/>
                <w:sz w:val="21"/>
              </w:rPr>
            </w:pPr>
            <w:r>
              <w:rPr>
                <w:rFonts w:hint="eastAsia" w:eastAsia="宋体"/>
                <w:bCs/>
                <w:spacing w:val="-4"/>
                <w:sz w:val="21"/>
              </w:rPr>
              <w:t>0.0001***</w:t>
            </w:r>
          </w:p>
        </w:tc>
        <w:tc>
          <w:tcPr>
            <w:tcW w:w="1396" w:type="dxa"/>
            <w:gridSpan w:val="2"/>
            <w:vAlign w:val="bottom"/>
          </w:tcPr>
          <w:p w14:paraId="204E9A1C">
            <w:pPr>
              <w:pStyle w:val="53"/>
              <w:spacing w:line="240" w:lineRule="auto"/>
              <w:ind w:right="117"/>
              <w:jc w:val="right"/>
              <w:rPr>
                <w:bCs/>
                <w:sz w:val="21"/>
              </w:rPr>
            </w:pPr>
            <w:r>
              <w:rPr>
                <w:bCs/>
                <w:spacing w:val="-2"/>
                <w:sz w:val="21"/>
              </w:rPr>
              <w:t>0.0246</w:t>
            </w:r>
          </w:p>
        </w:tc>
        <w:tc>
          <w:tcPr>
            <w:tcW w:w="1167" w:type="dxa"/>
          </w:tcPr>
          <w:p w14:paraId="027AE2BE">
            <w:pPr>
              <w:pStyle w:val="53"/>
              <w:spacing w:line="240" w:lineRule="auto"/>
              <w:ind w:right="120"/>
              <w:jc w:val="right"/>
              <w:rPr>
                <w:rFonts w:eastAsiaTheme="minorEastAsia"/>
                <w:bCs/>
                <w:spacing w:val="-2"/>
                <w:sz w:val="21"/>
              </w:rPr>
            </w:pPr>
            <w:r>
              <w:rPr>
                <w:rFonts w:hint="eastAsia" w:eastAsiaTheme="minorEastAsia"/>
                <w:bCs/>
                <w:spacing w:val="-2"/>
                <w:sz w:val="21"/>
              </w:rPr>
              <w:t>0.0001***</w:t>
            </w:r>
          </w:p>
        </w:tc>
        <w:tc>
          <w:tcPr>
            <w:tcW w:w="1167" w:type="dxa"/>
            <w:vAlign w:val="bottom"/>
          </w:tcPr>
          <w:p w14:paraId="3F5939D6">
            <w:pPr>
              <w:pStyle w:val="53"/>
              <w:spacing w:line="240" w:lineRule="auto"/>
              <w:ind w:right="120"/>
              <w:jc w:val="right"/>
              <w:rPr>
                <w:bCs/>
                <w:sz w:val="21"/>
              </w:rPr>
            </w:pPr>
            <w:r>
              <w:rPr>
                <w:bCs/>
                <w:spacing w:val="-2"/>
                <w:sz w:val="21"/>
              </w:rPr>
              <w:t>0.0954</w:t>
            </w:r>
          </w:p>
        </w:tc>
        <w:tc>
          <w:tcPr>
            <w:tcW w:w="1167" w:type="dxa"/>
            <w:gridSpan w:val="2"/>
          </w:tcPr>
          <w:p w14:paraId="5D0CA407">
            <w:pPr>
              <w:pStyle w:val="53"/>
              <w:spacing w:line="240" w:lineRule="auto"/>
              <w:ind w:right="120"/>
              <w:jc w:val="right"/>
              <w:rPr>
                <w:rFonts w:eastAsiaTheme="minorEastAsia"/>
                <w:bCs/>
                <w:spacing w:val="-2"/>
                <w:sz w:val="21"/>
              </w:rPr>
            </w:pPr>
            <w:r>
              <w:rPr>
                <w:rFonts w:hint="eastAsia" w:eastAsiaTheme="minorEastAsia"/>
                <w:bCs/>
                <w:spacing w:val="-2"/>
                <w:sz w:val="21"/>
              </w:rPr>
              <w:t>0.004**</w:t>
            </w:r>
          </w:p>
        </w:tc>
      </w:tr>
      <w:tr w14:paraId="48AE873B">
        <w:tblPrEx>
          <w:tblCellMar>
            <w:top w:w="0" w:type="dxa"/>
            <w:left w:w="0" w:type="dxa"/>
            <w:bottom w:w="0" w:type="dxa"/>
            <w:right w:w="0" w:type="dxa"/>
          </w:tblCellMar>
        </w:tblPrEx>
        <w:trPr>
          <w:trHeight w:val="139" w:hRule="atLeast"/>
        </w:trPr>
        <w:tc>
          <w:tcPr>
            <w:tcW w:w="981" w:type="dxa"/>
            <w:gridSpan w:val="2"/>
            <w:tcBorders>
              <w:bottom w:val="single" w:color="000000" w:sz="8" w:space="0"/>
            </w:tcBorders>
            <w:vAlign w:val="bottom"/>
          </w:tcPr>
          <w:p w14:paraId="43912221">
            <w:pPr>
              <w:pStyle w:val="53"/>
              <w:spacing w:line="240" w:lineRule="auto"/>
              <w:ind w:left="119"/>
              <w:rPr>
                <w:bCs/>
                <w:sz w:val="21"/>
              </w:rPr>
            </w:pPr>
            <w:r>
              <w:rPr>
                <w:bCs/>
                <w:spacing w:val="-2"/>
                <w:sz w:val="21"/>
              </w:rPr>
              <w:t>Variance</w:t>
            </w:r>
          </w:p>
        </w:tc>
        <w:tc>
          <w:tcPr>
            <w:tcW w:w="1033" w:type="dxa"/>
            <w:tcBorders>
              <w:bottom w:val="single" w:color="000000" w:sz="8" w:space="0"/>
            </w:tcBorders>
            <w:vAlign w:val="bottom"/>
          </w:tcPr>
          <w:p w14:paraId="31D72C46">
            <w:pPr>
              <w:pStyle w:val="53"/>
              <w:spacing w:line="240" w:lineRule="auto"/>
              <w:ind w:left="119"/>
              <w:rPr>
                <w:rFonts w:eastAsia="宋体"/>
                <w:bCs/>
                <w:spacing w:val="-2"/>
                <w:sz w:val="21"/>
              </w:rPr>
            </w:pPr>
            <w:r>
              <w:rPr>
                <w:rFonts w:hint="eastAsia" w:eastAsia="宋体"/>
                <w:bCs/>
                <w:spacing w:val="-2"/>
                <w:sz w:val="21"/>
              </w:rPr>
              <w:t>0.0126</w:t>
            </w:r>
          </w:p>
        </w:tc>
        <w:tc>
          <w:tcPr>
            <w:tcW w:w="1051" w:type="dxa"/>
            <w:tcBorders>
              <w:bottom w:val="single" w:color="000000" w:sz="8" w:space="0"/>
            </w:tcBorders>
            <w:vAlign w:val="bottom"/>
          </w:tcPr>
          <w:p w14:paraId="26CA3C91">
            <w:pPr>
              <w:pStyle w:val="53"/>
              <w:spacing w:line="240" w:lineRule="auto"/>
              <w:ind w:left="119"/>
              <w:rPr>
                <w:rFonts w:eastAsia="宋体"/>
                <w:bCs/>
                <w:spacing w:val="-2"/>
                <w:sz w:val="21"/>
              </w:rPr>
            </w:pPr>
            <w:r>
              <w:rPr>
                <w:rFonts w:hint="eastAsia" w:eastAsia="宋体"/>
                <w:bCs/>
                <w:spacing w:val="-2"/>
                <w:sz w:val="21"/>
              </w:rPr>
              <w:t>0.0003***</w:t>
            </w:r>
          </w:p>
        </w:tc>
        <w:tc>
          <w:tcPr>
            <w:tcW w:w="1396" w:type="dxa"/>
            <w:gridSpan w:val="2"/>
            <w:tcBorders>
              <w:bottom w:val="single" w:color="000000" w:sz="8" w:space="0"/>
            </w:tcBorders>
            <w:vAlign w:val="bottom"/>
          </w:tcPr>
          <w:p w14:paraId="378256ED">
            <w:pPr>
              <w:pStyle w:val="53"/>
              <w:spacing w:line="240" w:lineRule="auto"/>
              <w:ind w:right="117"/>
              <w:jc w:val="right"/>
              <w:rPr>
                <w:rFonts w:eastAsiaTheme="minorEastAsia"/>
                <w:bCs/>
                <w:sz w:val="21"/>
              </w:rPr>
            </w:pPr>
            <w:r>
              <w:rPr>
                <w:bCs/>
                <w:spacing w:val="-2"/>
                <w:sz w:val="21"/>
              </w:rPr>
              <w:t>0.0324</w:t>
            </w:r>
          </w:p>
        </w:tc>
        <w:tc>
          <w:tcPr>
            <w:tcW w:w="1167" w:type="dxa"/>
            <w:tcBorders>
              <w:bottom w:val="single" w:color="000000" w:sz="8" w:space="0"/>
            </w:tcBorders>
          </w:tcPr>
          <w:p w14:paraId="1E4D8A2E">
            <w:pPr>
              <w:pStyle w:val="53"/>
              <w:spacing w:line="240" w:lineRule="auto"/>
              <w:ind w:right="119"/>
              <w:jc w:val="right"/>
              <w:rPr>
                <w:rFonts w:eastAsiaTheme="minorEastAsia"/>
                <w:bCs/>
                <w:sz w:val="21"/>
              </w:rPr>
            </w:pPr>
            <w:r>
              <w:rPr>
                <w:rFonts w:hint="eastAsia" w:eastAsiaTheme="minorEastAsia"/>
                <w:bCs/>
                <w:sz w:val="21"/>
              </w:rPr>
              <w:t>0.0002***</w:t>
            </w:r>
          </w:p>
        </w:tc>
        <w:tc>
          <w:tcPr>
            <w:tcW w:w="1167" w:type="dxa"/>
            <w:tcBorders>
              <w:bottom w:val="single" w:color="000000" w:sz="8" w:space="0"/>
            </w:tcBorders>
            <w:vAlign w:val="bottom"/>
          </w:tcPr>
          <w:p w14:paraId="1FBAD683">
            <w:pPr>
              <w:pStyle w:val="53"/>
              <w:spacing w:line="240" w:lineRule="auto"/>
              <w:ind w:right="119"/>
              <w:jc w:val="right"/>
              <w:rPr>
                <w:bCs/>
                <w:sz w:val="21"/>
              </w:rPr>
            </w:pPr>
            <w:r>
              <w:rPr>
                <w:bCs/>
                <w:sz w:val="21"/>
              </w:rPr>
              <w:t>-</w:t>
            </w:r>
            <w:r>
              <w:rPr>
                <w:bCs/>
                <w:spacing w:val="-2"/>
                <w:sz w:val="21"/>
              </w:rPr>
              <w:t>0.0052</w:t>
            </w:r>
          </w:p>
        </w:tc>
        <w:tc>
          <w:tcPr>
            <w:tcW w:w="1167" w:type="dxa"/>
            <w:gridSpan w:val="2"/>
            <w:tcBorders>
              <w:bottom w:val="single" w:color="000000" w:sz="8" w:space="0"/>
            </w:tcBorders>
          </w:tcPr>
          <w:p w14:paraId="5DC42439">
            <w:pPr>
              <w:pStyle w:val="53"/>
              <w:spacing w:line="240" w:lineRule="auto"/>
              <w:ind w:right="119"/>
              <w:jc w:val="right"/>
              <w:rPr>
                <w:rFonts w:eastAsiaTheme="minorEastAsia"/>
                <w:bCs/>
                <w:sz w:val="21"/>
              </w:rPr>
            </w:pPr>
            <w:r>
              <w:rPr>
                <w:rFonts w:hint="eastAsia" w:eastAsiaTheme="minorEastAsia"/>
                <w:bCs/>
                <w:sz w:val="21"/>
              </w:rPr>
              <w:t>0.002**</w:t>
            </w:r>
          </w:p>
        </w:tc>
      </w:tr>
    </w:tbl>
    <w:p w14:paraId="6A86CB2E">
      <w:pPr>
        <w:rPr>
          <w:rFonts w:hint="eastAsia" w:ascii="宋体" w:hAnsi="宋体" w:eastAsia="宋体" w:cs="Times New Roman"/>
          <w:sz w:val="21"/>
          <w:szCs w:val="21"/>
        </w:rPr>
      </w:pPr>
    </w:p>
    <w:p w14:paraId="502DA15D">
      <w:pPr>
        <w:ind w:firstLine="420" w:firstLineChars="200"/>
        <w:rPr>
          <w:rFonts w:ascii="Times New Roman" w:hAnsi="Times New Roman" w:eastAsia="宋体" w:cs="Times New Roman"/>
          <w:sz w:val="21"/>
          <w:szCs w:val="21"/>
        </w:rPr>
      </w:pPr>
    </w:p>
    <w:p w14:paraId="01945E15">
      <w:pPr>
        <w:spacing w:line="240" w:lineRule="auto"/>
        <w:jc w:val="left"/>
        <w:rPr>
          <w:rFonts w:hint="eastAsia" w:ascii="宋体" w:hAnsi="宋体" w:eastAsia="宋体" w:cs="宋体"/>
          <w:b/>
          <w:spacing w:val="-2"/>
          <w:kern w:val="0"/>
          <w:sz w:val="21"/>
          <w:szCs w:val="21"/>
        </w:rPr>
      </w:pPr>
      <w:r>
        <w:rPr>
          <w:rFonts w:hint="eastAsia" w:ascii="宋体" w:hAnsi="宋体" w:eastAsia="宋体" w:cs="宋体"/>
          <w:b/>
          <w:spacing w:val="-2"/>
          <w:kern w:val="0"/>
          <w:sz w:val="21"/>
          <w:szCs w:val="21"/>
        </w:rPr>
        <w:br w:type="page"/>
      </w:r>
    </w:p>
    <w:p w14:paraId="33E9F152">
      <w:pPr>
        <w:jc w:val="center"/>
        <w:outlineLvl w:val="0"/>
        <w:rPr>
          <w:rFonts w:hint="eastAsia" w:ascii="宋体" w:hAnsi="宋体" w:eastAsia="宋体" w:cs="Times New Roman"/>
          <w:b/>
          <w:bCs/>
          <w:sz w:val="24"/>
          <w:szCs w:val="24"/>
        </w:rPr>
      </w:pPr>
      <w:bookmarkStart w:id="20" w:name="_Toc22987"/>
      <w:r>
        <w:rPr>
          <w:rFonts w:hint="eastAsia" w:ascii="宋体" w:hAnsi="宋体" w:eastAsia="宋体" w:cs="Times New Roman"/>
          <w:b/>
          <w:bCs/>
          <w:sz w:val="24"/>
          <w:szCs w:val="24"/>
        </w:rPr>
        <w:t>五、稳健性检验与异质性分析</w:t>
      </w:r>
      <w:bookmarkEnd w:id="20"/>
    </w:p>
    <w:p w14:paraId="30DB9847">
      <w:pPr>
        <w:outlineLvl w:val="1"/>
        <w:rPr>
          <w:rFonts w:hint="eastAsia" w:ascii="宋体" w:hAnsi="宋体" w:eastAsia="宋体" w:cs="Times New Roman"/>
          <w:b/>
          <w:bCs/>
          <w:sz w:val="24"/>
          <w:szCs w:val="24"/>
        </w:rPr>
      </w:pPr>
      <w:bookmarkStart w:id="21" w:name="_Toc14303"/>
      <w:r>
        <w:rPr>
          <w:rFonts w:hint="eastAsia" w:ascii="宋体" w:hAnsi="宋体" w:eastAsia="宋体" w:cs="Times New Roman"/>
          <w:b/>
          <w:bCs/>
          <w:sz w:val="24"/>
          <w:szCs w:val="24"/>
        </w:rPr>
        <w:t>（一）解释变量的稳健性</w:t>
      </w:r>
      <w:bookmarkEnd w:id="21"/>
    </w:p>
    <w:p w14:paraId="736DB7B1">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虚假财经新闻的情绪测度方法较多，标准不一致，既有基于大语言模型的测度方法，还有基于深度学习预训练模型（bert）下的文本训练后的测度方法（此法也因基模型参数不一致、训练数据不一致而有不同之处），也有基于金融学常识构建的词典法。不同的情绪测度方法由于计算机制不同，其结果可能在精度和代表性上存在差异，部分方法可能无法准确反映新闻的真实情绪倾向。本文基准回归所采用的新闻情绪变量来源于 Deepseek 测度结果。为研究情绪分数作为解释变量的稳健性，本文还选用了huggingface中预训练模型bert-jd-chinese和姜富伟金融情绪词典法测度得出的情绪分数作为解释变量，得到的结果如表7所示。 回归结果显示，姜富伟金融情绪词典测度的情绪分数显著，使用预训练模型 bert-jd-chinese 得到的情绪分数未通过显著性检验，可能原因在于该模型的训练语料并非以中文金融新闻为主，导致其对财经语境的理解能力有限。</w:t>
      </w:r>
    </w:p>
    <w:p w14:paraId="532CE5F7">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这表明在实际的情绪测度过程中将金融新闻文本作为训练集或数据来源是得到较为稳健的结果的重要因素。</w:t>
      </w:r>
    </w:p>
    <w:tbl>
      <w:tblPr>
        <w:tblStyle w:val="22"/>
        <w:tblW w:w="4837" w:type="pct"/>
        <w:jc w:val="center"/>
        <w:tblBorders>
          <w:top w:val="none" w:color="auto" w:sz="0"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707"/>
        <w:gridCol w:w="1708"/>
        <w:gridCol w:w="1713"/>
        <w:gridCol w:w="1708"/>
        <w:gridCol w:w="1720"/>
      </w:tblGrid>
      <w:tr w14:paraId="34726547">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5000" w:type="pct"/>
            <w:gridSpan w:val="5"/>
            <w:tcBorders>
              <w:bottom w:val="single" w:color="auto" w:sz="4" w:space="0"/>
              <w:tl2br w:val="nil"/>
              <w:tr2bl w:val="nil"/>
            </w:tcBorders>
          </w:tcPr>
          <w:p w14:paraId="7C7F2319">
            <w:pPr>
              <w:spacing w:line="240" w:lineRule="auto"/>
              <w:ind w:firstLine="412" w:firstLineChars="200"/>
              <w:jc w:val="center"/>
              <w:rPr>
                <w:rFonts w:hint="eastAsia" w:ascii="宋体" w:hAnsi="宋体" w:eastAsia="宋体" w:cs="Times New Roman"/>
                <w:bCs/>
                <w:sz w:val="21"/>
                <w:szCs w:val="21"/>
              </w:rPr>
            </w:pPr>
            <w:r>
              <w:rPr>
                <w:rFonts w:hint="eastAsia" w:ascii="宋体" w:hAnsi="宋体" w:eastAsia="宋体" w:cs="宋体"/>
                <w:bCs/>
                <w:spacing w:val="-2"/>
                <w:kern w:val="0"/>
                <w:sz w:val="21"/>
                <w:szCs w:val="21"/>
              </w:rPr>
              <w:t>表7 稳健性检验：解释变量的稳健性</w:t>
            </w:r>
          </w:p>
        </w:tc>
      </w:tr>
      <w:tr w14:paraId="645F4688">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bottom w:val="single" w:color="auto" w:sz="4" w:space="0"/>
              <w:tl2br w:val="nil"/>
              <w:tr2bl w:val="nil"/>
            </w:tcBorders>
          </w:tcPr>
          <w:p w14:paraId="23A41D8D">
            <w:pPr>
              <w:pStyle w:val="53"/>
              <w:spacing w:before="0" w:line="240" w:lineRule="auto"/>
              <w:rPr>
                <w:bCs/>
                <w:sz w:val="18"/>
                <w:szCs w:val="18"/>
              </w:rPr>
            </w:pPr>
          </w:p>
        </w:tc>
        <w:tc>
          <w:tcPr>
            <w:tcW w:w="1999" w:type="pct"/>
            <w:gridSpan w:val="2"/>
            <w:tcBorders>
              <w:top w:val="single" w:color="auto" w:sz="4" w:space="0"/>
              <w:bottom w:val="single" w:color="auto" w:sz="4" w:space="0"/>
              <w:tl2br w:val="nil"/>
              <w:tr2bl w:val="nil"/>
            </w:tcBorders>
          </w:tcPr>
          <w:p w14:paraId="6A0E6C02">
            <w:pPr>
              <w:pStyle w:val="53"/>
              <w:spacing w:before="0" w:line="240" w:lineRule="auto"/>
              <w:ind w:left="107"/>
              <w:jc w:val="center"/>
              <w:rPr>
                <w:bCs/>
                <w:sz w:val="18"/>
                <w:szCs w:val="18"/>
              </w:rPr>
            </w:pPr>
            <w:r>
              <w:rPr>
                <w:rFonts w:hint="eastAsia" w:ascii="宋体" w:hAnsi="宋体" w:eastAsia="宋体" w:cs="宋体"/>
                <w:bCs/>
                <w:spacing w:val="-2"/>
                <w:sz w:val="18"/>
                <w:szCs w:val="18"/>
              </w:rPr>
              <w:t>姜富伟金融情绪词典</w:t>
            </w:r>
          </w:p>
        </w:tc>
        <w:tc>
          <w:tcPr>
            <w:tcW w:w="2003" w:type="pct"/>
            <w:gridSpan w:val="2"/>
            <w:tcBorders>
              <w:top w:val="single" w:color="auto" w:sz="4" w:space="0"/>
              <w:bottom w:val="single" w:color="auto" w:sz="4" w:space="0"/>
              <w:tl2br w:val="nil"/>
              <w:tr2bl w:val="nil"/>
            </w:tcBorders>
          </w:tcPr>
          <w:p w14:paraId="465274FF">
            <w:pPr>
              <w:pStyle w:val="53"/>
              <w:spacing w:before="0" w:line="240" w:lineRule="auto"/>
              <w:ind w:left="78"/>
              <w:jc w:val="center"/>
              <w:rPr>
                <w:bCs/>
                <w:sz w:val="18"/>
                <w:szCs w:val="18"/>
              </w:rPr>
            </w:pPr>
            <w:r>
              <w:rPr>
                <w:rFonts w:eastAsiaTheme="minorEastAsia"/>
                <w:bCs/>
                <w:spacing w:val="-2"/>
                <w:sz w:val="18"/>
                <w:szCs w:val="18"/>
              </w:rPr>
              <w:t>RoBerta</w:t>
            </w:r>
          </w:p>
        </w:tc>
      </w:tr>
      <w:tr w14:paraId="2DAD2D63">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tl2br w:val="nil"/>
              <w:tr2bl w:val="nil"/>
            </w:tcBorders>
          </w:tcPr>
          <w:p w14:paraId="3621BED3">
            <w:pPr>
              <w:pStyle w:val="53"/>
              <w:spacing w:before="0" w:line="240" w:lineRule="auto"/>
              <w:rPr>
                <w:bCs/>
                <w:sz w:val="18"/>
                <w:szCs w:val="18"/>
              </w:rPr>
            </w:pPr>
          </w:p>
        </w:tc>
        <w:tc>
          <w:tcPr>
            <w:tcW w:w="998" w:type="pct"/>
            <w:tcBorders>
              <w:top w:val="single" w:color="auto" w:sz="4" w:space="0"/>
              <w:tl2br w:val="nil"/>
              <w:tr2bl w:val="nil"/>
            </w:tcBorders>
          </w:tcPr>
          <w:p w14:paraId="47A28250">
            <w:pPr>
              <w:pStyle w:val="53"/>
              <w:spacing w:before="0" w:line="240" w:lineRule="auto"/>
              <w:ind w:right="102"/>
              <w:jc w:val="center"/>
              <w:rPr>
                <w:bCs/>
                <w:sz w:val="18"/>
                <w:szCs w:val="18"/>
              </w:rPr>
            </w:pPr>
            <w:r>
              <w:rPr>
                <w:bCs/>
                <w:spacing w:val="-2"/>
                <w:sz w:val="18"/>
                <w:szCs w:val="18"/>
              </w:rPr>
              <w:t>Coef.</w:t>
            </w:r>
          </w:p>
        </w:tc>
        <w:tc>
          <w:tcPr>
            <w:tcW w:w="1001" w:type="pct"/>
            <w:tcBorders>
              <w:top w:val="single" w:color="auto" w:sz="4" w:space="0"/>
              <w:right w:val="single" w:color="auto" w:sz="4" w:space="0"/>
              <w:tl2br w:val="nil"/>
              <w:tr2bl w:val="nil"/>
            </w:tcBorders>
          </w:tcPr>
          <w:p w14:paraId="406E12DA">
            <w:pPr>
              <w:pStyle w:val="53"/>
              <w:spacing w:before="0" w:line="240" w:lineRule="auto"/>
              <w:ind w:left="107"/>
              <w:jc w:val="center"/>
              <w:rPr>
                <w:bCs/>
                <w:sz w:val="18"/>
                <w:szCs w:val="18"/>
              </w:rPr>
            </w:pPr>
            <w:r>
              <w:rPr>
                <w:bCs/>
                <w:sz w:val="18"/>
                <w:szCs w:val="18"/>
              </w:rPr>
              <w:t>P-</w:t>
            </w:r>
            <w:r>
              <w:rPr>
                <w:bCs/>
                <w:spacing w:val="-2"/>
                <w:sz w:val="18"/>
                <w:szCs w:val="18"/>
              </w:rPr>
              <w:t>value</w:t>
            </w:r>
          </w:p>
        </w:tc>
        <w:tc>
          <w:tcPr>
            <w:tcW w:w="998" w:type="pct"/>
            <w:tcBorders>
              <w:top w:val="single" w:color="auto" w:sz="4" w:space="0"/>
              <w:left w:val="single" w:color="auto" w:sz="4" w:space="0"/>
              <w:tl2br w:val="nil"/>
              <w:tr2bl w:val="nil"/>
            </w:tcBorders>
          </w:tcPr>
          <w:p w14:paraId="59D5FC3A">
            <w:pPr>
              <w:pStyle w:val="53"/>
              <w:spacing w:before="0" w:line="240" w:lineRule="auto"/>
              <w:ind w:left="158"/>
              <w:rPr>
                <w:bCs/>
                <w:sz w:val="18"/>
                <w:szCs w:val="18"/>
              </w:rPr>
            </w:pPr>
            <w:r>
              <w:rPr>
                <w:bCs/>
                <w:spacing w:val="-2"/>
                <w:sz w:val="18"/>
                <w:szCs w:val="18"/>
              </w:rPr>
              <w:t>Coef.</w:t>
            </w:r>
          </w:p>
        </w:tc>
        <w:tc>
          <w:tcPr>
            <w:tcW w:w="1005" w:type="pct"/>
            <w:tcBorders>
              <w:top w:val="single" w:color="auto" w:sz="4" w:space="0"/>
              <w:tl2br w:val="nil"/>
              <w:tr2bl w:val="nil"/>
            </w:tcBorders>
          </w:tcPr>
          <w:p w14:paraId="013A1E68">
            <w:pPr>
              <w:pStyle w:val="53"/>
              <w:spacing w:before="0" w:line="240" w:lineRule="auto"/>
              <w:ind w:left="78"/>
              <w:jc w:val="center"/>
              <w:rPr>
                <w:bCs/>
                <w:sz w:val="18"/>
                <w:szCs w:val="18"/>
              </w:rPr>
            </w:pPr>
            <w:r>
              <w:rPr>
                <w:bCs/>
                <w:sz w:val="18"/>
                <w:szCs w:val="18"/>
              </w:rPr>
              <w:t>P-</w:t>
            </w:r>
            <w:r>
              <w:rPr>
                <w:bCs/>
                <w:spacing w:val="-2"/>
                <w:sz w:val="18"/>
                <w:szCs w:val="18"/>
              </w:rPr>
              <w:t>value</w:t>
            </w:r>
          </w:p>
        </w:tc>
      </w:tr>
      <w:tr w14:paraId="30307CDF">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67B2EBE1">
            <w:pPr>
              <w:pStyle w:val="53"/>
              <w:spacing w:before="0" w:line="240" w:lineRule="auto"/>
              <w:ind w:left="119"/>
              <w:rPr>
                <w:bCs/>
                <w:sz w:val="18"/>
                <w:szCs w:val="18"/>
              </w:rPr>
            </w:pPr>
            <w:r>
              <w:rPr>
                <w:bCs/>
                <w:spacing w:val="-2"/>
                <w:sz w:val="18"/>
                <w:szCs w:val="18"/>
              </w:rPr>
              <w:t>Intercept</w:t>
            </w:r>
          </w:p>
        </w:tc>
        <w:tc>
          <w:tcPr>
            <w:tcW w:w="998" w:type="pct"/>
            <w:tcBorders>
              <w:tl2br w:val="nil"/>
              <w:tr2bl w:val="nil"/>
            </w:tcBorders>
          </w:tcPr>
          <w:p w14:paraId="561015EE">
            <w:pPr>
              <w:pStyle w:val="53"/>
              <w:spacing w:before="0" w:line="240" w:lineRule="auto"/>
              <w:ind w:left="1" w:right="102"/>
              <w:jc w:val="center"/>
              <w:rPr>
                <w:bCs/>
                <w:sz w:val="18"/>
                <w:szCs w:val="18"/>
              </w:rPr>
            </w:pPr>
            <w:r>
              <w:rPr>
                <w:bCs/>
                <w:sz w:val="18"/>
                <w:szCs w:val="18"/>
              </w:rPr>
              <w:t>-</w:t>
            </w:r>
            <w:r>
              <w:rPr>
                <w:bCs/>
                <w:spacing w:val="-2"/>
                <w:sz w:val="18"/>
                <w:szCs w:val="18"/>
              </w:rPr>
              <w:t>0.0307</w:t>
            </w:r>
          </w:p>
        </w:tc>
        <w:tc>
          <w:tcPr>
            <w:tcW w:w="1001" w:type="pct"/>
            <w:tcBorders>
              <w:right w:val="single" w:color="auto" w:sz="4" w:space="0"/>
              <w:tl2br w:val="nil"/>
              <w:tr2bl w:val="nil"/>
            </w:tcBorders>
          </w:tcPr>
          <w:p w14:paraId="42261EEE">
            <w:pPr>
              <w:pStyle w:val="53"/>
              <w:spacing w:before="0" w:line="240" w:lineRule="auto"/>
              <w:ind w:left="107"/>
              <w:jc w:val="center"/>
              <w:rPr>
                <w:bCs/>
                <w:sz w:val="18"/>
                <w:szCs w:val="18"/>
              </w:rPr>
            </w:pPr>
            <w:r>
              <w:rPr>
                <w:bCs/>
                <w:spacing w:val="-2"/>
                <w:sz w:val="18"/>
                <w:szCs w:val="18"/>
              </w:rPr>
              <w:t>0.900</w:t>
            </w:r>
          </w:p>
        </w:tc>
        <w:tc>
          <w:tcPr>
            <w:tcW w:w="998" w:type="pct"/>
            <w:tcBorders>
              <w:left w:val="single" w:color="auto" w:sz="4" w:space="0"/>
              <w:tl2br w:val="nil"/>
              <w:tr2bl w:val="nil"/>
            </w:tcBorders>
          </w:tcPr>
          <w:p w14:paraId="4B7D77A3">
            <w:pPr>
              <w:pStyle w:val="53"/>
              <w:spacing w:before="0" w:line="240" w:lineRule="auto"/>
              <w:ind w:right="235"/>
              <w:jc w:val="right"/>
              <w:rPr>
                <w:bCs/>
                <w:sz w:val="18"/>
                <w:szCs w:val="18"/>
              </w:rPr>
            </w:pPr>
            <w:r>
              <w:rPr>
                <w:bCs/>
                <w:spacing w:val="-2"/>
                <w:sz w:val="18"/>
                <w:szCs w:val="18"/>
              </w:rPr>
              <w:t>0.0125</w:t>
            </w:r>
          </w:p>
        </w:tc>
        <w:tc>
          <w:tcPr>
            <w:tcW w:w="1005" w:type="pct"/>
            <w:tcBorders>
              <w:tl2br w:val="nil"/>
              <w:tr2bl w:val="nil"/>
            </w:tcBorders>
          </w:tcPr>
          <w:p w14:paraId="276386A0">
            <w:pPr>
              <w:pStyle w:val="53"/>
              <w:spacing w:before="0" w:line="240" w:lineRule="auto"/>
              <w:ind w:left="78"/>
              <w:jc w:val="center"/>
              <w:rPr>
                <w:bCs/>
                <w:sz w:val="18"/>
                <w:szCs w:val="18"/>
              </w:rPr>
            </w:pPr>
            <w:r>
              <w:rPr>
                <w:bCs/>
                <w:spacing w:val="-2"/>
                <w:sz w:val="18"/>
                <w:szCs w:val="18"/>
              </w:rPr>
              <w:t>0.959</w:t>
            </w:r>
          </w:p>
        </w:tc>
      </w:tr>
      <w:tr w14:paraId="71FB3EBB">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4F333B32">
            <w:pPr>
              <w:pStyle w:val="53"/>
              <w:spacing w:before="0" w:line="240" w:lineRule="auto"/>
              <w:ind w:left="119"/>
              <w:rPr>
                <w:bCs/>
                <w:sz w:val="18"/>
                <w:szCs w:val="18"/>
              </w:rPr>
            </w:pPr>
            <w:r>
              <w:rPr>
                <w:bCs/>
                <w:spacing w:val="-2"/>
                <w:sz w:val="18"/>
                <w:szCs w:val="18"/>
              </w:rPr>
              <w:t>fuwei</w:t>
            </w:r>
          </w:p>
        </w:tc>
        <w:tc>
          <w:tcPr>
            <w:tcW w:w="998" w:type="pct"/>
            <w:tcBorders>
              <w:tl2br w:val="nil"/>
              <w:tr2bl w:val="nil"/>
            </w:tcBorders>
          </w:tcPr>
          <w:p w14:paraId="7B72D23D">
            <w:pPr>
              <w:pStyle w:val="53"/>
              <w:spacing w:before="0" w:line="240" w:lineRule="auto"/>
              <w:ind w:right="102"/>
              <w:jc w:val="center"/>
              <w:rPr>
                <w:bCs/>
                <w:sz w:val="18"/>
                <w:szCs w:val="18"/>
              </w:rPr>
            </w:pPr>
            <w:r>
              <w:rPr>
                <w:bCs/>
                <w:spacing w:val="-2"/>
                <w:sz w:val="18"/>
                <w:szCs w:val="18"/>
              </w:rPr>
              <w:t>0.0009</w:t>
            </w:r>
          </w:p>
        </w:tc>
        <w:tc>
          <w:tcPr>
            <w:tcW w:w="1001" w:type="pct"/>
            <w:tcBorders>
              <w:right w:val="single" w:color="auto" w:sz="4" w:space="0"/>
              <w:tl2br w:val="nil"/>
              <w:tr2bl w:val="nil"/>
            </w:tcBorders>
          </w:tcPr>
          <w:p w14:paraId="7EF86FA2">
            <w:pPr>
              <w:pStyle w:val="53"/>
              <w:spacing w:before="0" w:line="240" w:lineRule="auto"/>
              <w:ind w:left="107"/>
              <w:jc w:val="center"/>
              <w:rPr>
                <w:bCs/>
                <w:sz w:val="18"/>
                <w:szCs w:val="18"/>
              </w:rPr>
            </w:pPr>
            <w:r>
              <w:rPr>
                <w:bCs/>
                <w:spacing w:val="-2"/>
                <w:sz w:val="18"/>
                <w:szCs w:val="18"/>
              </w:rPr>
              <w:t>0.0005</w:t>
            </w:r>
          </w:p>
        </w:tc>
        <w:tc>
          <w:tcPr>
            <w:tcW w:w="998" w:type="pct"/>
            <w:tcBorders>
              <w:left w:val="single" w:color="auto" w:sz="4" w:space="0"/>
              <w:tl2br w:val="nil"/>
              <w:tr2bl w:val="nil"/>
            </w:tcBorders>
          </w:tcPr>
          <w:p w14:paraId="1BDF9543">
            <w:pPr>
              <w:pStyle w:val="53"/>
              <w:spacing w:before="0" w:line="240" w:lineRule="auto"/>
              <w:rPr>
                <w:bCs/>
                <w:sz w:val="18"/>
                <w:szCs w:val="18"/>
              </w:rPr>
            </w:pPr>
          </w:p>
        </w:tc>
        <w:tc>
          <w:tcPr>
            <w:tcW w:w="1005" w:type="pct"/>
            <w:tcBorders>
              <w:tl2br w:val="nil"/>
              <w:tr2bl w:val="nil"/>
            </w:tcBorders>
          </w:tcPr>
          <w:p w14:paraId="6B6DE51B">
            <w:pPr>
              <w:pStyle w:val="53"/>
              <w:spacing w:before="0" w:line="240" w:lineRule="auto"/>
              <w:rPr>
                <w:bCs/>
                <w:sz w:val="18"/>
                <w:szCs w:val="18"/>
              </w:rPr>
            </w:pPr>
          </w:p>
        </w:tc>
      </w:tr>
      <w:tr w14:paraId="2BCAEE25">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4EA28AF0">
            <w:pPr>
              <w:pStyle w:val="53"/>
              <w:spacing w:before="0" w:line="240" w:lineRule="auto"/>
              <w:ind w:left="119"/>
              <w:rPr>
                <w:bCs/>
                <w:sz w:val="18"/>
                <w:szCs w:val="18"/>
              </w:rPr>
            </w:pPr>
            <w:r>
              <w:rPr>
                <w:bCs/>
                <w:sz w:val="18"/>
                <w:szCs w:val="18"/>
              </w:rPr>
              <mc:AlternateContent>
                <mc:Choice Requires="wpg">
                  <w:drawing>
                    <wp:anchor distT="0" distB="0" distL="0" distR="0" simplePos="0" relativeHeight="251663360" behindDoc="1" locked="0" layoutInCell="1" allowOverlap="1">
                      <wp:simplePos x="0" y="0"/>
                      <wp:positionH relativeFrom="column">
                        <wp:posOffset>320675</wp:posOffset>
                      </wp:positionH>
                      <wp:positionV relativeFrom="paragraph">
                        <wp:posOffset>130810</wp:posOffset>
                      </wp:positionV>
                      <wp:extent cx="40005" cy="5080"/>
                      <wp:effectExtent l="0" t="2540" r="7620" b="1905"/>
                      <wp:wrapNone/>
                      <wp:docPr id="30" name="Group 30"/>
                      <wp:cNvGraphicFramePr/>
                      <a:graphic xmlns:a="http://schemas.openxmlformats.org/drawingml/2006/main">
                        <a:graphicData uri="http://schemas.microsoft.com/office/word/2010/wordprocessingGroup">
                          <wpg:wgp>
                            <wpg:cNvGrpSpPr/>
                            <wpg:grpSpPr>
                              <a:xfrm>
                                <a:off x="0" y="0"/>
                                <a:ext cx="40005" cy="5080"/>
                                <a:chOff x="0" y="0"/>
                                <a:chExt cx="40005" cy="5080"/>
                              </a:xfrm>
                            </wpg:grpSpPr>
                            <wps:wsp>
                              <wps:cNvPr id="31" name="Graphic 31"/>
                              <wps:cNvSpPr/>
                              <wps:spPr>
                                <a:xfrm>
                                  <a:off x="0" y="2527"/>
                                  <a:ext cx="40005" cy="1270"/>
                                </a:xfrm>
                                <a:custGeom>
                                  <a:avLst/>
                                  <a:gdLst/>
                                  <a:ahLst/>
                                  <a:cxnLst/>
                                  <a:rect l="l" t="t" r="r" b="b"/>
                                  <a:pathLst>
                                    <a:path w="40005">
                                      <a:moveTo>
                                        <a:pt x="0" y="0"/>
                                      </a:moveTo>
                                      <a:lnTo>
                                        <a:pt x="40005" y="0"/>
                                      </a:lnTo>
                                    </a:path>
                                  </a:pathLst>
                                </a:custGeom>
                                <a:ln w="5054">
                                  <a:solidFill>
                                    <a:srgbClr val="000000"/>
                                  </a:solidFill>
                                  <a:prstDash val="solid"/>
                                </a:ln>
                              </wps:spPr>
                              <wps:bodyPr wrap="square" lIns="0" tIns="0" rIns="0" bIns="0" rtlCol="0">
                                <a:noAutofit/>
                              </wps:bodyPr>
                            </wps:wsp>
                          </wpg:wgp>
                        </a:graphicData>
                      </a:graphic>
                    </wp:anchor>
                  </w:drawing>
                </mc:Choice>
                <mc:Fallback>
                  <w:pict>
                    <v:group id="Group 30" o:spid="_x0000_s1026" o:spt="203" style="position:absolute;left:0pt;margin-left:25.25pt;margin-top:10.3pt;height:0.4pt;width:3.15pt;z-index:-251653120;mso-width-relative:page;mso-height-relative:page;" coordsize="40005,5080" o:gfxdata="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5K7AfWAAAABwEAAA8AAAAAAAAAAQAgAAAAIgAAAGRycy9kb3ducmV2LnhtbFBLAQIUABQAAAAI&#10;AIdO4kBm5t/BYQIAAKEFAAAOAAAAAAAAAAEAIAAAACUBAABkcnMvZTJvRG9jLnhtbFBLBQYAAAAA&#10;BgAGAFkBAAD4BQAAAAA=&#10;">
                      <o:lock v:ext="edit" aspectratio="f"/>
                      <v:shape id="Graphic 31" o:spid="_x0000_s1026" o:spt="100" style="position:absolute;left:0;top:2527;height:1270;width:40005;" filled="f" stroked="t" coordsize="40005,1" o:gfxdata="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9mg+8AAAA&#10;2wAAAA8AAAAAAAAAAQAgAAAAIgAAAGRycy9kb3ducmV2LnhtbFBLAQIUABQAAAAIAIdO4kAzLwWe&#10;OwAAADkAAAAQAAAAAAAAAAEAIAAAAAsBAABkcnMvc2hhcGV4bWwueG1sUEsFBgAAAAAGAAYAWwEA&#10;ALUDAAAAAA==&#10;" path="m0,0l40005,0e">
                        <v:fill on="f" focussize="0,0"/>
                        <v:stroke weight="0.397952755905512pt" color="#000000" joinstyle="round"/>
                        <v:imagedata o:title=""/>
                        <o:lock v:ext="edit" aspectratio="f"/>
                        <v:textbox inset="0mm,0mm,0mm,0mm"/>
                      </v:shape>
                    </v:group>
                  </w:pict>
                </mc:Fallback>
              </mc:AlternateContent>
            </w:r>
            <w:r>
              <w:rPr>
                <w:bCs/>
                <w:sz w:val="18"/>
                <w:szCs w:val="18"/>
              </w:rPr>
              <w:t>final</w:t>
            </w:r>
            <w:r>
              <w:rPr>
                <w:bCs/>
                <w:spacing w:val="11"/>
                <w:sz w:val="18"/>
                <w:szCs w:val="18"/>
              </w:rPr>
              <w:t xml:space="preserve"> </w:t>
            </w:r>
            <w:r>
              <w:rPr>
                <w:bCs/>
                <w:spacing w:val="-4"/>
                <w:sz w:val="18"/>
                <w:szCs w:val="18"/>
              </w:rPr>
              <w:t>score</w:t>
            </w:r>
          </w:p>
        </w:tc>
        <w:tc>
          <w:tcPr>
            <w:tcW w:w="998" w:type="pct"/>
            <w:tcBorders>
              <w:tl2br w:val="nil"/>
              <w:tr2bl w:val="nil"/>
            </w:tcBorders>
          </w:tcPr>
          <w:p w14:paraId="4CB8EE88">
            <w:pPr>
              <w:pStyle w:val="53"/>
              <w:spacing w:before="0" w:line="240" w:lineRule="auto"/>
              <w:rPr>
                <w:bCs/>
                <w:sz w:val="18"/>
                <w:szCs w:val="18"/>
              </w:rPr>
            </w:pPr>
          </w:p>
        </w:tc>
        <w:tc>
          <w:tcPr>
            <w:tcW w:w="1001" w:type="pct"/>
            <w:tcBorders>
              <w:right w:val="single" w:color="auto" w:sz="4" w:space="0"/>
              <w:tl2br w:val="nil"/>
              <w:tr2bl w:val="nil"/>
            </w:tcBorders>
          </w:tcPr>
          <w:p w14:paraId="6DA3ACF9">
            <w:pPr>
              <w:pStyle w:val="53"/>
              <w:spacing w:before="0" w:line="240" w:lineRule="auto"/>
              <w:rPr>
                <w:bCs/>
                <w:sz w:val="18"/>
                <w:szCs w:val="18"/>
              </w:rPr>
            </w:pPr>
          </w:p>
        </w:tc>
        <w:tc>
          <w:tcPr>
            <w:tcW w:w="998" w:type="pct"/>
            <w:tcBorders>
              <w:left w:val="single" w:color="auto" w:sz="4" w:space="0"/>
              <w:tl2br w:val="nil"/>
              <w:tr2bl w:val="nil"/>
            </w:tcBorders>
          </w:tcPr>
          <w:p w14:paraId="3B2FB6EE">
            <w:pPr>
              <w:pStyle w:val="53"/>
              <w:spacing w:before="0" w:line="240" w:lineRule="auto"/>
              <w:ind w:right="235"/>
              <w:jc w:val="right"/>
              <w:rPr>
                <w:bCs/>
                <w:sz w:val="18"/>
                <w:szCs w:val="18"/>
              </w:rPr>
            </w:pPr>
            <w:r>
              <w:rPr>
                <w:bCs/>
                <w:spacing w:val="-2"/>
                <w:sz w:val="18"/>
                <w:szCs w:val="18"/>
              </w:rPr>
              <w:t>0.0101</w:t>
            </w:r>
          </w:p>
        </w:tc>
        <w:tc>
          <w:tcPr>
            <w:tcW w:w="1005" w:type="pct"/>
            <w:tcBorders>
              <w:tl2br w:val="nil"/>
              <w:tr2bl w:val="nil"/>
            </w:tcBorders>
          </w:tcPr>
          <w:p w14:paraId="3089A6A6">
            <w:pPr>
              <w:pStyle w:val="53"/>
              <w:spacing w:before="0" w:line="240" w:lineRule="auto"/>
              <w:ind w:left="78"/>
              <w:jc w:val="center"/>
              <w:rPr>
                <w:bCs/>
                <w:sz w:val="18"/>
                <w:szCs w:val="18"/>
              </w:rPr>
            </w:pPr>
            <w:r>
              <w:rPr>
                <w:bCs/>
                <w:spacing w:val="-2"/>
                <w:sz w:val="18"/>
                <w:szCs w:val="18"/>
              </w:rPr>
              <w:t>0.352</w:t>
            </w:r>
          </w:p>
        </w:tc>
      </w:tr>
      <w:tr w14:paraId="39A3D827">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231ED1FE">
            <w:pPr>
              <w:pStyle w:val="53"/>
              <w:spacing w:before="0" w:line="240" w:lineRule="auto"/>
              <w:ind w:left="119"/>
              <w:rPr>
                <w:bCs/>
                <w:sz w:val="18"/>
                <w:szCs w:val="18"/>
              </w:rPr>
            </w:pPr>
            <w:r>
              <w:rPr>
                <w:bCs/>
                <w:spacing w:val="-5"/>
                <w:sz w:val="18"/>
                <w:szCs w:val="18"/>
              </w:rPr>
              <w:t>ARE</w:t>
            </w:r>
          </w:p>
        </w:tc>
        <w:tc>
          <w:tcPr>
            <w:tcW w:w="998" w:type="pct"/>
            <w:tcBorders>
              <w:tl2br w:val="nil"/>
              <w:tr2bl w:val="nil"/>
            </w:tcBorders>
          </w:tcPr>
          <w:p w14:paraId="706ABADD">
            <w:pPr>
              <w:pStyle w:val="53"/>
              <w:spacing w:before="0" w:line="240" w:lineRule="auto"/>
              <w:ind w:right="102"/>
              <w:jc w:val="center"/>
              <w:rPr>
                <w:bCs/>
                <w:sz w:val="18"/>
                <w:szCs w:val="18"/>
              </w:rPr>
            </w:pPr>
            <w:r>
              <w:rPr>
                <w:bCs/>
                <w:spacing w:val="-2"/>
                <w:sz w:val="18"/>
                <w:szCs w:val="18"/>
              </w:rPr>
              <w:t>0.0004</w:t>
            </w:r>
          </w:p>
        </w:tc>
        <w:tc>
          <w:tcPr>
            <w:tcW w:w="1001" w:type="pct"/>
            <w:tcBorders>
              <w:right w:val="single" w:color="auto" w:sz="4" w:space="0"/>
              <w:tl2br w:val="nil"/>
              <w:tr2bl w:val="nil"/>
            </w:tcBorders>
          </w:tcPr>
          <w:p w14:paraId="498F95F6">
            <w:pPr>
              <w:pStyle w:val="53"/>
              <w:spacing w:before="0" w:line="240" w:lineRule="auto"/>
              <w:ind w:left="107"/>
              <w:jc w:val="center"/>
              <w:rPr>
                <w:bCs/>
                <w:sz w:val="18"/>
                <w:szCs w:val="18"/>
              </w:rPr>
            </w:pPr>
            <w:r>
              <w:rPr>
                <w:bCs/>
                <w:spacing w:val="-2"/>
                <w:sz w:val="18"/>
                <w:szCs w:val="18"/>
              </w:rPr>
              <w:t>0.365</w:t>
            </w:r>
          </w:p>
        </w:tc>
        <w:tc>
          <w:tcPr>
            <w:tcW w:w="998" w:type="pct"/>
            <w:tcBorders>
              <w:left w:val="single" w:color="auto" w:sz="4" w:space="0"/>
              <w:tl2br w:val="nil"/>
              <w:tr2bl w:val="nil"/>
            </w:tcBorders>
          </w:tcPr>
          <w:p w14:paraId="2478EAF1">
            <w:pPr>
              <w:pStyle w:val="53"/>
              <w:spacing w:before="0" w:line="240" w:lineRule="auto"/>
              <w:ind w:right="235"/>
              <w:jc w:val="right"/>
              <w:rPr>
                <w:bCs/>
                <w:sz w:val="18"/>
                <w:szCs w:val="18"/>
              </w:rPr>
            </w:pPr>
            <w:r>
              <w:rPr>
                <w:bCs/>
                <w:spacing w:val="-2"/>
                <w:sz w:val="18"/>
                <w:szCs w:val="18"/>
              </w:rPr>
              <w:t>0.0004</w:t>
            </w:r>
          </w:p>
        </w:tc>
        <w:tc>
          <w:tcPr>
            <w:tcW w:w="1005" w:type="pct"/>
            <w:tcBorders>
              <w:tl2br w:val="nil"/>
              <w:tr2bl w:val="nil"/>
            </w:tcBorders>
          </w:tcPr>
          <w:p w14:paraId="4DD9DA98">
            <w:pPr>
              <w:pStyle w:val="53"/>
              <w:spacing w:before="0" w:line="240" w:lineRule="auto"/>
              <w:ind w:left="78"/>
              <w:jc w:val="center"/>
              <w:rPr>
                <w:bCs/>
                <w:sz w:val="18"/>
                <w:szCs w:val="18"/>
              </w:rPr>
            </w:pPr>
            <w:r>
              <w:rPr>
                <w:bCs/>
                <w:spacing w:val="-2"/>
                <w:sz w:val="18"/>
                <w:szCs w:val="18"/>
              </w:rPr>
              <w:t>0.352</w:t>
            </w:r>
          </w:p>
        </w:tc>
      </w:tr>
      <w:tr w14:paraId="349FBF16">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5DA82F53">
            <w:pPr>
              <w:pStyle w:val="53"/>
              <w:spacing w:before="0" w:line="240" w:lineRule="auto"/>
              <w:ind w:left="119"/>
              <w:rPr>
                <w:bCs/>
                <w:sz w:val="18"/>
                <w:szCs w:val="18"/>
              </w:rPr>
            </w:pPr>
            <w:r>
              <w:rPr>
                <w:bCs/>
                <w:spacing w:val="-5"/>
                <w:sz w:val="18"/>
                <w:szCs w:val="18"/>
              </w:rPr>
              <w:t>OPM</w:t>
            </w:r>
          </w:p>
        </w:tc>
        <w:tc>
          <w:tcPr>
            <w:tcW w:w="998" w:type="pct"/>
            <w:tcBorders>
              <w:bottom w:val="nil"/>
              <w:tl2br w:val="nil"/>
              <w:tr2bl w:val="nil"/>
            </w:tcBorders>
          </w:tcPr>
          <w:p w14:paraId="182C7738">
            <w:pPr>
              <w:pStyle w:val="53"/>
              <w:spacing w:before="0" w:line="240" w:lineRule="auto"/>
              <w:ind w:left="1" w:right="102"/>
              <w:jc w:val="center"/>
              <w:rPr>
                <w:bCs/>
                <w:sz w:val="18"/>
                <w:szCs w:val="18"/>
              </w:rPr>
            </w:pPr>
            <w:r>
              <w:rPr>
                <w:bCs/>
                <w:sz w:val="18"/>
                <w:szCs w:val="18"/>
              </w:rPr>
              <w:t>-</w:t>
            </w:r>
            <w:r>
              <w:rPr>
                <w:bCs/>
                <w:spacing w:val="-2"/>
                <w:sz w:val="18"/>
                <w:szCs w:val="18"/>
              </w:rPr>
              <w:t>0.00005</w:t>
            </w:r>
          </w:p>
        </w:tc>
        <w:tc>
          <w:tcPr>
            <w:tcW w:w="1001" w:type="pct"/>
            <w:tcBorders>
              <w:bottom w:val="nil"/>
              <w:right w:val="single" w:color="auto" w:sz="4" w:space="0"/>
              <w:tl2br w:val="nil"/>
              <w:tr2bl w:val="nil"/>
            </w:tcBorders>
          </w:tcPr>
          <w:p w14:paraId="7CE660AE">
            <w:pPr>
              <w:pStyle w:val="53"/>
              <w:spacing w:before="0" w:line="240" w:lineRule="auto"/>
              <w:ind w:left="107"/>
              <w:jc w:val="center"/>
              <w:rPr>
                <w:bCs/>
                <w:sz w:val="18"/>
                <w:szCs w:val="18"/>
              </w:rPr>
            </w:pPr>
            <w:r>
              <w:rPr>
                <w:bCs/>
                <w:spacing w:val="-2"/>
                <w:sz w:val="18"/>
                <w:szCs w:val="18"/>
              </w:rPr>
              <w:t>0.068</w:t>
            </w:r>
          </w:p>
        </w:tc>
        <w:tc>
          <w:tcPr>
            <w:tcW w:w="998" w:type="pct"/>
            <w:tcBorders>
              <w:left w:val="single" w:color="auto" w:sz="4" w:space="0"/>
              <w:bottom w:val="nil"/>
              <w:tl2br w:val="nil"/>
              <w:tr2bl w:val="nil"/>
            </w:tcBorders>
          </w:tcPr>
          <w:p w14:paraId="2D17DC09">
            <w:pPr>
              <w:pStyle w:val="53"/>
              <w:spacing w:before="0" w:line="240" w:lineRule="auto"/>
              <w:ind w:right="147"/>
              <w:jc w:val="right"/>
              <w:rPr>
                <w:bCs/>
                <w:sz w:val="18"/>
                <w:szCs w:val="18"/>
              </w:rPr>
            </w:pPr>
            <w:r>
              <w:rPr>
                <w:bCs/>
                <w:sz w:val="18"/>
                <w:szCs w:val="18"/>
              </w:rPr>
              <w:t>-</w:t>
            </w:r>
            <w:r>
              <w:rPr>
                <w:bCs/>
                <w:spacing w:val="-2"/>
                <w:sz w:val="18"/>
                <w:szCs w:val="18"/>
              </w:rPr>
              <w:t>0.00005</w:t>
            </w:r>
          </w:p>
        </w:tc>
        <w:tc>
          <w:tcPr>
            <w:tcW w:w="1005" w:type="pct"/>
            <w:tcBorders>
              <w:bottom w:val="nil"/>
              <w:tl2br w:val="nil"/>
              <w:tr2bl w:val="nil"/>
            </w:tcBorders>
          </w:tcPr>
          <w:p w14:paraId="0761239C">
            <w:pPr>
              <w:pStyle w:val="53"/>
              <w:spacing w:before="0" w:line="240" w:lineRule="auto"/>
              <w:ind w:left="78"/>
              <w:jc w:val="center"/>
              <w:rPr>
                <w:bCs/>
                <w:sz w:val="18"/>
                <w:szCs w:val="18"/>
              </w:rPr>
            </w:pPr>
            <w:r>
              <w:rPr>
                <w:bCs/>
                <w:spacing w:val="-2"/>
                <w:sz w:val="18"/>
                <w:szCs w:val="18"/>
              </w:rPr>
              <w:t>0.079</w:t>
            </w:r>
          </w:p>
        </w:tc>
      </w:tr>
      <w:tr w14:paraId="0F2DE618">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6F72774C">
            <w:pPr>
              <w:pStyle w:val="53"/>
              <w:spacing w:before="0" w:line="240" w:lineRule="auto"/>
              <w:ind w:left="119"/>
              <w:rPr>
                <w:bCs/>
                <w:sz w:val="18"/>
                <w:szCs w:val="18"/>
              </w:rPr>
            </w:pPr>
            <w:r>
              <w:rPr>
                <w:bCs/>
                <w:spacing w:val="-5"/>
                <w:sz w:val="18"/>
                <w:szCs w:val="18"/>
              </w:rPr>
              <w:t>CR</w:t>
            </w:r>
          </w:p>
        </w:tc>
        <w:tc>
          <w:tcPr>
            <w:tcW w:w="998" w:type="pct"/>
            <w:tcBorders>
              <w:bottom w:val="nil"/>
              <w:tl2br w:val="nil"/>
              <w:tr2bl w:val="nil"/>
            </w:tcBorders>
          </w:tcPr>
          <w:p w14:paraId="15578351">
            <w:pPr>
              <w:pStyle w:val="53"/>
              <w:spacing w:before="0" w:line="240" w:lineRule="auto"/>
              <w:ind w:right="102"/>
              <w:jc w:val="center"/>
              <w:rPr>
                <w:bCs/>
                <w:sz w:val="18"/>
                <w:szCs w:val="18"/>
              </w:rPr>
            </w:pPr>
            <w:r>
              <w:rPr>
                <w:bCs/>
                <w:spacing w:val="-2"/>
                <w:sz w:val="18"/>
                <w:szCs w:val="18"/>
              </w:rPr>
              <w:t>0.0031</w:t>
            </w:r>
          </w:p>
        </w:tc>
        <w:tc>
          <w:tcPr>
            <w:tcW w:w="1001" w:type="pct"/>
            <w:tcBorders>
              <w:bottom w:val="nil"/>
              <w:right w:val="single" w:color="auto" w:sz="4" w:space="0"/>
              <w:tl2br w:val="nil"/>
              <w:tr2bl w:val="nil"/>
            </w:tcBorders>
          </w:tcPr>
          <w:p w14:paraId="595572B2">
            <w:pPr>
              <w:pStyle w:val="53"/>
              <w:spacing w:before="0" w:line="240" w:lineRule="auto"/>
              <w:ind w:left="107"/>
              <w:jc w:val="center"/>
              <w:rPr>
                <w:bCs/>
                <w:sz w:val="18"/>
                <w:szCs w:val="18"/>
              </w:rPr>
            </w:pPr>
            <w:r>
              <w:rPr>
                <w:bCs/>
                <w:spacing w:val="-2"/>
                <w:sz w:val="18"/>
                <w:szCs w:val="18"/>
              </w:rPr>
              <w:t>0.158</w:t>
            </w:r>
          </w:p>
        </w:tc>
        <w:tc>
          <w:tcPr>
            <w:tcW w:w="998" w:type="pct"/>
            <w:tcBorders>
              <w:left w:val="single" w:color="auto" w:sz="4" w:space="0"/>
              <w:bottom w:val="nil"/>
              <w:tl2br w:val="nil"/>
              <w:tr2bl w:val="nil"/>
            </w:tcBorders>
          </w:tcPr>
          <w:p w14:paraId="3E1E0050">
            <w:pPr>
              <w:pStyle w:val="53"/>
              <w:spacing w:before="0" w:line="240" w:lineRule="auto"/>
              <w:ind w:right="235"/>
              <w:jc w:val="right"/>
              <w:rPr>
                <w:bCs/>
                <w:sz w:val="18"/>
                <w:szCs w:val="18"/>
              </w:rPr>
            </w:pPr>
            <w:r>
              <w:rPr>
                <w:bCs/>
                <w:spacing w:val="-2"/>
                <w:sz w:val="18"/>
                <w:szCs w:val="18"/>
              </w:rPr>
              <w:t>0.0032</w:t>
            </w:r>
          </w:p>
        </w:tc>
        <w:tc>
          <w:tcPr>
            <w:tcW w:w="1005" w:type="pct"/>
            <w:tcBorders>
              <w:bottom w:val="nil"/>
              <w:tl2br w:val="nil"/>
              <w:tr2bl w:val="nil"/>
            </w:tcBorders>
          </w:tcPr>
          <w:p w14:paraId="1FFEDB40">
            <w:pPr>
              <w:pStyle w:val="53"/>
              <w:spacing w:before="0" w:line="240" w:lineRule="auto"/>
              <w:ind w:left="78"/>
              <w:jc w:val="center"/>
              <w:rPr>
                <w:bCs/>
                <w:sz w:val="18"/>
                <w:szCs w:val="18"/>
              </w:rPr>
            </w:pPr>
            <w:r>
              <w:rPr>
                <w:bCs/>
                <w:spacing w:val="-2"/>
                <w:sz w:val="18"/>
                <w:szCs w:val="18"/>
              </w:rPr>
              <w:t>0.157</w:t>
            </w:r>
          </w:p>
        </w:tc>
      </w:tr>
      <w:tr w14:paraId="18CEE54E">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nil"/>
              <w:tl2br w:val="nil"/>
              <w:tr2bl w:val="nil"/>
            </w:tcBorders>
          </w:tcPr>
          <w:p w14:paraId="6EE0D0E7">
            <w:pPr>
              <w:pStyle w:val="53"/>
              <w:spacing w:before="0" w:line="240" w:lineRule="auto"/>
              <w:ind w:left="119"/>
              <w:rPr>
                <w:bCs/>
                <w:sz w:val="18"/>
                <w:szCs w:val="18"/>
              </w:rPr>
            </w:pPr>
            <w:r>
              <w:rPr>
                <w:bCs/>
                <w:spacing w:val="-5"/>
                <w:sz w:val="18"/>
                <w:szCs w:val="18"/>
              </w:rPr>
              <w:t>QR</w:t>
            </w:r>
          </w:p>
        </w:tc>
        <w:tc>
          <w:tcPr>
            <w:tcW w:w="998" w:type="pct"/>
            <w:tcBorders>
              <w:top w:val="nil"/>
              <w:tl2br w:val="nil"/>
              <w:tr2bl w:val="nil"/>
            </w:tcBorders>
          </w:tcPr>
          <w:p w14:paraId="41BB11DF">
            <w:pPr>
              <w:pStyle w:val="53"/>
              <w:spacing w:before="0" w:line="240" w:lineRule="auto"/>
              <w:ind w:left="1" w:right="102"/>
              <w:jc w:val="center"/>
              <w:rPr>
                <w:bCs/>
                <w:sz w:val="18"/>
                <w:szCs w:val="18"/>
              </w:rPr>
            </w:pPr>
            <w:r>
              <w:rPr>
                <w:bCs/>
                <w:sz w:val="18"/>
                <w:szCs w:val="18"/>
              </w:rPr>
              <w:t>-</w:t>
            </w:r>
            <w:r>
              <w:rPr>
                <w:bCs/>
                <w:spacing w:val="-2"/>
                <w:sz w:val="18"/>
                <w:szCs w:val="18"/>
              </w:rPr>
              <w:t>0.0072</w:t>
            </w:r>
          </w:p>
        </w:tc>
        <w:tc>
          <w:tcPr>
            <w:tcW w:w="1001" w:type="pct"/>
            <w:tcBorders>
              <w:top w:val="nil"/>
              <w:right w:val="single" w:color="auto" w:sz="4" w:space="0"/>
              <w:tl2br w:val="nil"/>
              <w:tr2bl w:val="nil"/>
            </w:tcBorders>
          </w:tcPr>
          <w:p w14:paraId="40A97DD7">
            <w:pPr>
              <w:pStyle w:val="53"/>
              <w:spacing w:before="0" w:line="240" w:lineRule="auto"/>
              <w:ind w:left="107"/>
              <w:jc w:val="center"/>
              <w:rPr>
                <w:bCs/>
                <w:sz w:val="18"/>
                <w:szCs w:val="18"/>
              </w:rPr>
            </w:pPr>
            <w:r>
              <w:rPr>
                <w:bCs/>
                <w:spacing w:val="-2"/>
                <w:sz w:val="18"/>
                <w:szCs w:val="18"/>
              </w:rPr>
              <w:t>0.081</w:t>
            </w:r>
          </w:p>
        </w:tc>
        <w:tc>
          <w:tcPr>
            <w:tcW w:w="998" w:type="pct"/>
            <w:tcBorders>
              <w:top w:val="nil"/>
              <w:left w:val="single" w:color="auto" w:sz="4" w:space="0"/>
              <w:tl2br w:val="nil"/>
              <w:tr2bl w:val="nil"/>
            </w:tcBorders>
          </w:tcPr>
          <w:p w14:paraId="414D752D">
            <w:pPr>
              <w:pStyle w:val="53"/>
              <w:spacing w:before="0" w:line="240" w:lineRule="auto"/>
              <w:ind w:right="200"/>
              <w:jc w:val="right"/>
              <w:rPr>
                <w:bCs/>
                <w:sz w:val="18"/>
                <w:szCs w:val="18"/>
              </w:rPr>
            </w:pPr>
            <w:r>
              <w:rPr>
                <w:bCs/>
                <w:sz w:val="18"/>
                <w:szCs w:val="18"/>
              </w:rPr>
              <w:t>-</w:t>
            </w:r>
            <w:r>
              <w:rPr>
                <w:bCs/>
                <w:spacing w:val="-2"/>
                <w:sz w:val="18"/>
                <w:szCs w:val="18"/>
              </w:rPr>
              <w:t>0.0072</w:t>
            </w:r>
          </w:p>
        </w:tc>
        <w:tc>
          <w:tcPr>
            <w:tcW w:w="1005" w:type="pct"/>
            <w:tcBorders>
              <w:top w:val="nil"/>
              <w:tl2br w:val="nil"/>
              <w:tr2bl w:val="nil"/>
            </w:tcBorders>
          </w:tcPr>
          <w:p w14:paraId="5395118B">
            <w:pPr>
              <w:pStyle w:val="53"/>
              <w:spacing w:before="0" w:line="240" w:lineRule="auto"/>
              <w:ind w:left="78"/>
              <w:jc w:val="center"/>
              <w:rPr>
                <w:bCs/>
                <w:sz w:val="18"/>
                <w:szCs w:val="18"/>
              </w:rPr>
            </w:pPr>
            <w:r>
              <w:rPr>
                <w:bCs/>
                <w:spacing w:val="-2"/>
                <w:sz w:val="18"/>
                <w:szCs w:val="18"/>
              </w:rPr>
              <w:t>0.084</w:t>
            </w:r>
          </w:p>
        </w:tc>
      </w:tr>
      <w:tr w14:paraId="17B22831">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543F92B6">
            <w:pPr>
              <w:pStyle w:val="53"/>
              <w:spacing w:before="0" w:line="240" w:lineRule="auto"/>
              <w:ind w:left="119"/>
              <w:rPr>
                <w:bCs/>
                <w:sz w:val="18"/>
                <w:szCs w:val="18"/>
              </w:rPr>
            </w:pPr>
            <w:r>
              <w:rPr>
                <w:bCs/>
                <w:spacing w:val="-5"/>
                <w:sz w:val="18"/>
                <w:szCs w:val="18"/>
              </w:rPr>
              <w:t>ND</w:t>
            </w:r>
          </w:p>
        </w:tc>
        <w:tc>
          <w:tcPr>
            <w:tcW w:w="998" w:type="pct"/>
            <w:tcBorders>
              <w:bottom w:val="nil"/>
              <w:tl2br w:val="nil"/>
              <w:tr2bl w:val="nil"/>
            </w:tcBorders>
          </w:tcPr>
          <w:p w14:paraId="25EC44DB">
            <w:pPr>
              <w:pStyle w:val="53"/>
              <w:spacing w:before="0" w:line="240" w:lineRule="auto"/>
              <w:ind w:left="1" w:right="102"/>
              <w:jc w:val="center"/>
              <w:rPr>
                <w:bCs/>
                <w:sz w:val="18"/>
                <w:szCs w:val="18"/>
              </w:rPr>
            </w:pPr>
            <w:r>
              <w:rPr>
                <w:bCs/>
                <w:sz w:val="18"/>
                <w:szCs w:val="18"/>
              </w:rPr>
              <w:t>-</w:t>
            </w:r>
            <w:r>
              <w:rPr>
                <w:bCs/>
                <w:spacing w:val="-2"/>
                <w:sz w:val="18"/>
                <w:szCs w:val="18"/>
              </w:rPr>
              <w:t>0.0001</w:t>
            </w:r>
          </w:p>
        </w:tc>
        <w:tc>
          <w:tcPr>
            <w:tcW w:w="1001" w:type="pct"/>
            <w:tcBorders>
              <w:bottom w:val="nil"/>
              <w:right w:val="single" w:color="auto" w:sz="4" w:space="0"/>
              <w:tl2br w:val="nil"/>
              <w:tr2bl w:val="nil"/>
            </w:tcBorders>
          </w:tcPr>
          <w:p w14:paraId="741A5F3F">
            <w:pPr>
              <w:pStyle w:val="53"/>
              <w:spacing w:before="0" w:line="240" w:lineRule="auto"/>
              <w:ind w:left="107"/>
              <w:jc w:val="center"/>
              <w:rPr>
                <w:bCs/>
                <w:sz w:val="18"/>
                <w:szCs w:val="18"/>
              </w:rPr>
            </w:pPr>
            <w:r>
              <w:rPr>
                <w:bCs/>
                <w:spacing w:val="-2"/>
                <w:sz w:val="18"/>
                <w:szCs w:val="18"/>
              </w:rPr>
              <w:t>0.955</w:t>
            </w:r>
          </w:p>
        </w:tc>
        <w:tc>
          <w:tcPr>
            <w:tcW w:w="998" w:type="pct"/>
            <w:tcBorders>
              <w:left w:val="single" w:color="auto" w:sz="4" w:space="0"/>
              <w:bottom w:val="nil"/>
              <w:tl2br w:val="nil"/>
              <w:tr2bl w:val="nil"/>
            </w:tcBorders>
          </w:tcPr>
          <w:p w14:paraId="32C4DDFC">
            <w:pPr>
              <w:pStyle w:val="53"/>
              <w:spacing w:before="0" w:line="240" w:lineRule="auto"/>
              <w:ind w:right="200"/>
              <w:jc w:val="right"/>
              <w:rPr>
                <w:bCs/>
                <w:sz w:val="18"/>
                <w:szCs w:val="18"/>
              </w:rPr>
            </w:pPr>
            <w:r>
              <w:rPr>
                <w:bCs/>
                <w:sz w:val="18"/>
                <w:szCs w:val="18"/>
              </w:rPr>
              <w:t>-</w:t>
            </w:r>
            <w:r>
              <w:rPr>
                <w:bCs/>
                <w:spacing w:val="-2"/>
                <w:sz w:val="18"/>
                <w:szCs w:val="18"/>
              </w:rPr>
              <w:t>0.0008</w:t>
            </w:r>
          </w:p>
        </w:tc>
        <w:tc>
          <w:tcPr>
            <w:tcW w:w="1005" w:type="pct"/>
            <w:tcBorders>
              <w:bottom w:val="nil"/>
              <w:tl2br w:val="nil"/>
              <w:tr2bl w:val="nil"/>
            </w:tcBorders>
          </w:tcPr>
          <w:p w14:paraId="4584EE2E">
            <w:pPr>
              <w:pStyle w:val="53"/>
              <w:spacing w:before="0" w:line="240" w:lineRule="auto"/>
              <w:ind w:left="78"/>
              <w:jc w:val="center"/>
              <w:rPr>
                <w:bCs/>
                <w:sz w:val="18"/>
                <w:szCs w:val="18"/>
              </w:rPr>
            </w:pPr>
            <w:r>
              <w:rPr>
                <w:bCs/>
                <w:spacing w:val="-2"/>
                <w:sz w:val="18"/>
                <w:szCs w:val="18"/>
              </w:rPr>
              <w:t>0.733</w:t>
            </w:r>
          </w:p>
        </w:tc>
      </w:tr>
      <w:tr w14:paraId="1BCDE09B">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single" w:color="auto" w:sz="4" w:space="0"/>
              <w:tl2br w:val="nil"/>
              <w:tr2bl w:val="nil"/>
            </w:tcBorders>
          </w:tcPr>
          <w:p w14:paraId="28BC8C3C">
            <w:pPr>
              <w:pStyle w:val="53"/>
              <w:spacing w:before="0" w:line="240" w:lineRule="auto"/>
              <w:ind w:left="119"/>
              <w:rPr>
                <w:bCs/>
                <w:sz w:val="18"/>
                <w:szCs w:val="18"/>
              </w:rPr>
            </w:pPr>
            <w:r>
              <w:rPr>
                <w:bCs/>
                <w:spacing w:val="-5"/>
                <w:sz w:val="18"/>
                <w:szCs w:val="18"/>
              </w:rPr>
              <w:t>AT</w:t>
            </w:r>
          </w:p>
        </w:tc>
        <w:tc>
          <w:tcPr>
            <w:tcW w:w="998" w:type="pct"/>
            <w:tcBorders>
              <w:bottom w:val="single" w:color="auto" w:sz="4" w:space="0"/>
              <w:tl2br w:val="nil"/>
              <w:tr2bl w:val="nil"/>
            </w:tcBorders>
          </w:tcPr>
          <w:p w14:paraId="645CA89F">
            <w:pPr>
              <w:pStyle w:val="53"/>
              <w:spacing w:before="0" w:line="240" w:lineRule="auto"/>
              <w:ind w:right="102"/>
              <w:jc w:val="center"/>
              <w:rPr>
                <w:bCs/>
                <w:sz w:val="18"/>
                <w:szCs w:val="18"/>
              </w:rPr>
            </w:pPr>
            <w:r>
              <w:rPr>
                <w:bCs/>
                <w:spacing w:val="-2"/>
                <w:sz w:val="18"/>
                <w:szCs w:val="18"/>
              </w:rPr>
              <w:t>0.0067</w:t>
            </w:r>
          </w:p>
        </w:tc>
        <w:tc>
          <w:tcPr>
            <w:tcW w:w="1001" w:type="pct"/>
            <w:tcBorders>
              <w:bottom w:val="single" w:color="auto" w:sz="4" w:space="0"/>
              <w:right w:val="single" w:color="auto" w:sz="4" w:space="0"/>
              <w:tl2br w:val="nil"/>
              <w:tr2bl w:val="nil"/>
            </w:tcBorders>
          </w:tcPr>
          <w:p w14:paraId="51BDB8E6">
            <w:pPr>
              <w:pStyle w:val="53"/>
              <w:spacing w:before="0" w:line="240" w:lineRule="auto"/>
              <w:ind w:left="107"/>
              <w:jc w:val="center"/>
              <w:rPr>
                <w:bCs/>
                <w:sz w:val="18"/>
                <w:szCs w:val="18"/>
              </w:rPr>
            </w:pPr>
            <w:r>
              <w:rPr>
                <w:bCs/>
                <w:spacing w:val="-2"/>
                <w:sz w:val="18"/>
                <w:szCs w:val="18"/>
              </w:rPr>
              <w:t>0.471</w:t>
            </w:r>
          </w:p>
        </w:tc>
        <w:tc>
          <w:tcPr>
            <w:tcW w:w="998" w:type="pct"/>
            <w:tcBorders>
              <w:left w:val="single" w:color="auto" w:sz="4" w:space="0"/>
              <w:bottom w:val="single" w:color="auto" w:sz="4" w:space="0"/>
              <w:tl2br w:val="nil"/>
              <w:tr2bl w:val="nil"/>
            </w:tcBorders>
          </w:tcPr>
          <w:p w14:paraId="766B20EC">
            <w:pPr>
              <w:pStyle w:val="53"/>
              <w:spacing w:before="0" w:line="240" w:lineRule="auto"/>
              <w:ind w:right="235"/>
              <w:jc w:val="right"/>
              <w:rPr>
                <w:bCs/>
                <w:sz w:val="18"/>
                <w:szCs w:val="18"/>
              </w:rPr>
            </w:pPr>
            <w:r>
              <w:rPr>
                <w:bCs/>
                <w:spacing w:val="-2"/>
                <w:sz w:val="18"/>
                <w:szCs w:val="18"/>
              </w:rPr>
              <w:t>0.0059</w:t>
            </w:r>
          </w:p>
        </w:tc>
        <w:tc>
          <w:tcPr>
            <w:tcW w:w="1005" w:type="pct"/>
            <w:tcBorders>
              <w:bottom w:val="single" w:color="auto" w:sz="4" w:space="0"/>
              <w:tl2br w:val="nil"/>
              <w:tr2bl w:val="nil"/>
            </w:tcBorders>
          </w:tcPr>
          <w:p w14:paraId="06DB07FB">
            <w:pPr>
              <w:pStyle w:val="53"/>
              <w:spacing w:before="0" w:line="240" w:lineRule="auto"/>
              <w:ind w:left="78"/>
              <w:jc w:val="center"/>
              <w:rPr>
                <w:bCs/>
                <w:sz w:val="18"/>
                <w:szCs w:val="18"/>
              </w:rPr>
            </w:pPr>
            <w:r>
              <w:rPr>
                <w:bCs/>
                <w:spacing w:val="-2"/>
                <w:sz w:val="18"/>
                <w:szCs w:val="18"/>
              </w:rPr>
              <w:t>0.525</w:t>
            </w:r>
          </w:p>
        </w:tc>
      </w:tr>
      <w:tr w14:paraId="2B8D55F2">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bottom w:val="single" w:color="auto" w:sz="4" w:space="0"/>
              <w:tl2br w:val="nil"/>
              <w:tr2bl w:val="nil"/>
            </w:tcBorders>
          </w:tcPr>
          <w:p w14:paraId="442E6B88">
            <w:pPr>
              <w:pStyle w:val="53"/>
              <w:spacing w:before="0" w:line="240" w:lineRule="auto"/>
              <w:ind w:left="119"/>
              <w:rPr>
                <w:bCs/>
                <w:spacing w:val="-5"/>
                <w:sz w:val="18"/>
                <w:szCs w:val="18"/>
              </w:rPr>
            </w:pPr>
          </w:p>
        </w:tc>
        <w:tc>
          <w:tcPr>
            <w:tcW w:w="998" w:type="pct"/>
            <w:tcBorders>
              <w:top w:val="single" w:color="auto" w:sz="4" w:space="0"/>
              <w:bottom w:val="single" w:color="auto" w:sz="4" w:space="0"/>
              <w:tl2br w:val="nil"/>
              <w:tr2bl w:val="nil"/>
            </w:tcBorders>
          </w:tcPr>
          <w:p w14:paraId="43E01659">
            <w:pPr>
              <w:pStyle w:val="53"/>
              <w:spacing w:before="0" w:line="240" w:lineRule="auto"/>
              <w:ind w:left="1" w:right="102"/>
              <w:jc w:val="center"/>
              <w:rPr>
                <w:bCs/>
                <w:sz w:val="18"/>
                <w:szCs w:val="18"/>
              </w:rPr>
            </w:pPr>
          </w:p>
        </w:tc>
        <w:tc>
          <w:tcPr>
            <w:tcW w:w="1001" w:type="pct"/>
            <w:tcBorders>
              <w:top w:val="single" w:color="auto" w:sz="4" w:space="0"/>
              <w:bottom w:val="single" w:color="auto" w:sz="4" w:space="0"/>
              <w:right w:val="nil"/>
              <w:tl2br w:val="nil"/>
              <w:tr2bl w:val="nil"/>
            </w:tcBorders>
          </w:tcPr>
          <w:p w14:paraId="06C63B4A">
            <w:pPr>
              <w:pStyle w:val="53"/>
              <w:spacing w:before="0" w:line="240" w:lineRule="auto"/>
              <w:ind w:left="107"/>
              <w:jc w:val="center"/>
              <w:rPr>
                <w:bCs/>
                <w:spacing w:val="-2"/>
                <w:sz w:val="18"/>
                <w:szCs w:val="18"/>
              </w:rPr>
            </w:pPr>
            <w:r>
              <w:rPr>
                <w:rFonts w:hint="eastAsia" w:ascii="宋体" w:hAnsi="宋体" w:eastAsia="宋体" w:cs="宋体"/>
                <w:bCs/>
                <w:spacing w:val="-2"/>
                <w:sz w:val="18"/>
                <w:szCs w:val="18"/>
              </w:rPr>
              <w:t>表7（续）</w:t>
            </w:r>
          </w:p>
        </w:tc>
        <w:tc>
          <w:tcPr>
            <w:tcW w:w="998" w:type="pct"/>
            <w:tcBorders>
              <w:top w:val="single" w:color="auto" w:sz="4" w:space="0"/>
              <w:left w:val="nil"/>
              <w:bottom w:val="single" w:color="auto" w:sz="4" w:space="0"/>
              <w:tl2br w:val="nil"/>
              <w:tr2bl w:val="nil"/>
            </w:tcBorders>
          </w:tcPr>
          <w:p w14:paraId="7DDD2905">
            <w:pPr>
              <w:pStyle w:val="53"/>
              <w:spacing w:before="0" w:line="240" w:lineRule="auto"/>
              <w:ind w:right="200"/>
              <w:jc w:val="right"/>
              <w:rPr>
                <w:bCs/>
                <w:sz w:val="18"/>
                <w:szCs w:val="18"/>
              </w:rPr>
            </w:pPr>
          </w:p>
        </w:tc>
        <w:tc>
          <w:tcPr>
            <w:tcW w:w="1005" w:type="pct"/>
            <w:tcBorders>
              <w:top w:val="single" w:color="auto" w:sz="4" w:space="0"/>
              <w:bottom w:val="single" w:color="auto" w:sz="4" w:space="0"/>
              <w:tl2br w:val="nil"/>
              <w:tr2bl w:val="nil"/>
            </w:tcBorders>
          </w:tcPr>
          <w:p w14:paraId="287BAC4A">
            <w:pPr>
              <w:pStyle w:val="53"/>
              <w:spacing w:before="0" w:line="240" w:lineRule="auto"/>
              <w:ind w:left="78"/>
              <w:jc w:val="center"/>
              <w:rPr>
                <w:bCs/>
                <w:spacing w:val="-2"/>
                <w:sz w:val="18"/>
                <w:szCs w:val="18"/>
              </w:rPr>
            </w:pPr>
          </w:p>
        </w:tc>
      </w:tr>
      <w:tr w14:paraId="1471C75D">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single" w:color="auto" w:sz="4" w:space="0"/>
              <w:bottom w:val="nil"/>
              <w:tl2br w:val="nil"/>
              <w:tr2bl w:val="nil"/>
            </w:tcBorders>
          </w:tcPr>
          <w:p w14:paraId="6826EE31">
            <w:pPr>
              <w:pStyle w:val="53"/>
              <w:spacing w:before="0" w:line="240" w:lineRule="auto"/>
              <w:ind w:left="119"/>
              <w:rPr>
                <w:bCs/>
                <w:sz w:val="18"/>
                <w:szCs w:val="18"/>
              </w:rPr>
            </w:pPr>
            <w:r>
              <w:rPr>
                <w:bCs/>
                <w:spacing w:val="-5"/>
                <w:sz w:val="18"/>
                <w:szCs w:val="18"/>
              </w:rPr>
              <w:t>Soe</w:t>
            </w:r>
          </w:p>
        </w:tc>
        <w:tc>
          <w:tcPr>
            <w:tcW w:w="998" w:type="pct"/>
            <w:tcBorders>
              <w:top w:val="single" w:color="auto" w:sz="4" w:space="0"/>
              <w:bottom w:val="nil"/>
              <w:tl2br w:val="nil"/>
              <w:tr2bl w:val="nil"/>
            </w:tcBorders>
          </w:tcPr>
          <w:p w14:paraId="388CC05E">
            <w:pPr>
              <w:pStyle w:val="53"/>
              <w:spacing w:before="0" w:line="240" w:lineRule="auto"/>
              <w:ind w:left="1" w:right="102"/>
              <w:jc w:val="center"/>
              <w:rPr>
                <w:bCs/>
                <w:sz w:val="18"/>
                <w:szCs w:val="18"/>
              </w:rPr>
            </w:pPr>
            <w:r>
              <w:rPr>
                <w:bCs/>
                <w:sz w:val="18"/>
                <w:szCs w:val="18"/>
              </w:rPr>
              <w:t>-</w:t>
            </w:r>
            <w:r>
              <w:rPr>
                <w:bCs/>
                <w:spacing w:val="-2"/>
                <w:sz w:val="18"/>
                <w:szCs w:val="18"/>
              </w:rPr>
              <w:t>0.0029</w:t>
            </w:r>
          </w:p>
        </w:tc>
        <w:tc>
          <w:tcPr>
            <w:tcW w:w="1001" w:type="pct"/>
            <w:tcBorders>
              <w:top w:val="single" w:color="auto" w:sz="4" w:space="0"/>
              <w:bottom w:val="nil"/>
              <w:right w:val="single" w:color="auto" w:sz="4" w:space="0"/>
              <w:tl2br w:val="nil"/>
              <w:tr2bl w:val="nil"/>
            </w:tcBorders>
          </w:tcPr>
          <w:p w14:paraId="0ABCA593">
            <w:pPr>
              <w:pStyle w:val="53"/>
              <w:spacing w:before="0" w:line="240" w:lineRule="auto"/>
              <w:ind w:left="107"/>
              <w:jc w:val="center"/>
              <w:rPr>
                <w:bCs/>
                <w:sz w:val="18"/>
                <w:szCs w:val="18"/>
              </w:rPr>
            </w:pPr>
            <w:r>
              <w:rPr>
                <w:bCs/>
                <w:spacing w:val="-2"/>
                <w:sz w:val="18"/>
                <w:szCs w:val="18"/>
              </w:rPr>
              <w:t>0.809</w:t>
            </w:r>
          </w:p>
        </w:tc>
        <w:tc>
          <w:tcPr>
            <w:tcW w:w="998" w:type="pct"/>
            <w:tcBorders>
              <w:top w:val="single" w:color="auto" w:sz="4" w:space="0"/>
              <w:left w:val="single" w:color="auto" w:sz="4" w:space="0"/>
              <w:bottom w:val="nil"/>
              <w:tl2br w:val="nil"/>
              <w:tr2bl w:val="nil"/>
            </w:tcBorders>
          </w:tcPr>
          <w:p w14:paraId="0228C090">
            <w:pPr>
              <w:pStyle w:val="53"/>
              <w:spacing w:before="0" w:line="240" w:lineRule="auto"/>
              <w:ind w:right="200"/>
              <w:jc w:val="right"/>
              <w:rPr>
                <w:bCs/>
                <w:sz w:val="18"/>
                <w:szCs w:val="18"/>
              </w:rPr>
            </w:pPr>
            <w:r>
              <w:rPr>
                <w:bCs/>
                <w:sz w:val="18"/>
                <w:szCs w:val="18"/>
              </w:rPr>
              <w:t>-</w:t>
            </w:r>
            <w:r>
              <w:rPr>
                <w:bCs/>
                <w:spacing w:val="-2"/>
                <w:sz w:val="18"/>
                <w:szCs w:val="18"/>
              </w:rPr>
              <w:t>0.0041</w:t>
            </w:r>
          </w:p>
        </w:tc>
        <w:tc>
          <w:tcPr>
            <w:tcW w:w="1005" w:type="pct"/>
            <w:tcBorders>
              <w:top w:val="single" w:color="auto" w:sz="4" w:space="0"/>
              <w:bottom w:val="nil"/>
              <w:tl2br w:val="nil"/>
              <w:tr2bl w:val="nil"/>
            </w:tcBorders>
          </w:tcPr>
          <w:p w14:paraId="707004B7">
            <w:pPr>
              <w:pStyle w:val="53"/>
              <w:spacing w:before="0" w:line="240" w:lineRule="auto"/>
              <w:ind w:left="78"/>
              <w:jc w:val="center"/>
              <w:rPr>
                <w:bCs/>
                <w:sz w:val="18"/>
                <w:szCs w:val="18"/>
              </w:rPr>
            </w:pPr>
            <w:r>
              <w:rPr>
                <w:bCs/>
                <w:spacing w:val="-2"/>
                <w:sz w:val="18"/>
                <w:szCs w:val="18"/>
              </w:rPr>
              <w:t>0.736</w:t>
            </w:r>
          </w:p>
        </w:tc>
      </w:tr>
      <w:tr w14:paraId="26899B93">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bottom w:val="nil"/>
              <w:tl2br w:val="nil"/>
              <w:tr2bl w:val="nil"/>
            </w:tcBorders>
          </w:tcPr>
          <w:p w14:paraId="6BF9EDF5">
            <w:pPr>
              <w:pStyle w:val="53"/>
              <w:spacing w:before="0" w:line="240" w:lineRule="auto"/>
              <w:ind w:left="119"/>
              <w:rPr>
                <w:bCs/>
                <w:sz w:val="18"/>
                <w:szCs w:val="18"/>
              </w:rPr>
            </w:pPr>
            <w:r>
              <w:rPr>
                <w:bCs/>
                <w:spacing w:val="-4"/>
                <w:sz w:val="18"/>
                <w:szCs w:val="18"/>
              </w:rPr>
              <w:t>Dual</w:t>
            </w:r>
          </w:p>
        </w:tc>
        <w:tc>
          <w:tcPr>
            <w:tcW w:w="998" w:type="pct"/>
            <w:tcBorders>
              <w:bottom w:val="nil"/>
              <w:tl2br w:val="nil"/>
              <w:tr2bl w:val="nil"/>
            </w:tcBorders>
          </w:tcPr>
          <w:p w14:paraId="6E2AD287">
            <w:pPr>
              <w:pStyle w:val="53"/>
              <w:spacing w:before="0" w:line="240" w:lineRule="auto"/>
              <w:ind w:left="1" w:right="102"/>
              <w:jc w:val="center"/>
              <w:rPr>
                <w:bCs/>
                <w:sz w:val="18"/>
                <w:szCs w:val="18"/>
              </w:rPr>
            </w:pPr>
            <w:r>
              <w:rPr>
                <w:bCs/>
                <w:sz w:val="18"/>
                <w:szCs w:val="18"/>
              </w:rPr>
              <w:t>-</w:t>
            </w:r>
            <w:r>
              <w:rPr>
                <w:bCs/>
                <w:spacing w:val="-2"/>
                <w:sz w:val="18"/>
                <w:szCs w:val="18"/>
              </w:rPr>
              <w:t>0.0292</w:t>
            </w:r>
          </w:p>
        </w:tc>
        <w:tc>
          <w:tcPr>
            <w:tcW w:w="1001" w:type="pct"/>
            <w:tcBorders>
              <w:bottom w:val="nil"/>
              <w:right w:val="single" w:color="auto" w:sz="4" w:space="0"/>
              <w:tl2br w:val="nil"/>
              <w:tr2bl w:val="nil"/>
            </w:tcBorders>
          </w:tcPr>
          <w:p w14:paraId="7BDB6F10">
            <w:pPr>
              <w:pStyle w:val="53"/>
              <w:spacing w:before="0" w:line="240" w:lineRule="auto"/>
              <w:ind w:left="107"/>
              <w:jc w:val="center"/>
              <w:rPr>
                <w:bCs/>
                <w:sz w:val="18"/>
                <w:szCs w:val="18"/>
              </w:rPr>
            </w:pPr>
            <w:r>
              <w:rPr>
                <w:bCs/>
                <w:spacing w:val="-2"/>
                <w:sz w:val="18"/>
                <w:szCs w:val="18"/>
              </w:rPr>
              <w:t>0.005</w:t>
            </w:r>
          </w:p>
        </w:tc>
        <w:tc>
          <w:tcPr>
            <w:tcW w:w="998" w:type="pct"/>
            <w:tcBorders>
              <w:left w:val="single" w:color="auto" w:sz="4" w:space="0"/>
              <w:bottom w:val="nil"/>
              <w:tl2br w:val="nil"/>
              <w:tr2bl w:val="nil"/>
            </w:tcBorders>
          </w:tcPr>
          <w:p w14:paraId="2C40B9EA">
            <w:pPr>
              <w:pStyle w:val="53"/>
              <w:spacing w:before="0" w:line="240" w:lineRule="auto"/>
              <w:ind w:right="200"/>
              <w:jc w:val="right"/>
              <w:rPr>
                <w:bCs/>
                <w:sz w:val="18"/>
                <w:szCs w:val="18"/>
              </w:rPr>
            </w:pPr>
            <w:r>
              <w:rPr>
                <w:bCs/>
                <w:sz w:val="18"/>
                <w:szCs w:val="18"/>
              </w:rPr>
              <w:t>-</w:t>
            </w:r>
            <w:r>
              <w:rPr>
                <w:bCs/>
                <w:spacing w:val="-2"/>
                <w:sz w:val="18"/>
                <w:szCs w:val="18"/>
              </w:rPr>
              <w:t>0.0295</w:t>
            </w:r>
          </w:p>
        </w:tc>
        <w:tc>
          <w:tcPr>
            <w:tcW w:w="1005" w:type="pct"/>
            <w:tcBorders>
              <w:bottom w:val="nil"/>
              <w:tl2br w:val="nil"/>
              <w:tr2bl w:val="nil"/>
            </w:tcBorders>
          </w:tcPr>
          <w:p w14:paraId="4A291EA6">
            <w:pPr>
              <w:pStyle w:val="53"/>
              <w:spacing w:before="0" w:line="240" w:lineRule="auto"/>
              <w:ind w:left="78"/>
              <w:jc w:val="center"/>
              <w:rPr>
                <w:bCs/>
                <w:sz w:val="18"/>
                <w:szCs w:val="18"/>
              </w:rPr>
            </w:pPr>
            <w:r>
              <w:rPr>
                <w:bCs/>
                <w:spacing w:val="-2"/>
                <w:sz w:val="18"/>
                <w:szCs w:val="18"/>
              </w:rPr>
              <w:t>0.005</w:t>
            </w:r>
          </w:p>
        </w:tc>
      </w:tr>
      <w:tr w14:paraId="1CA8F284">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op w:val="nil"/>
              <w:tl2br w:val="nil"/>
              <w:tr2bl w:val="nil"/>
            </w:tcBorders>
          </w:tcPr>
          <w:p w14:paraId="08222501">
            <w:pPr>
              <w:pStyle w:val="53"/>
              <w:spacing w:before="0" w:line="240" w:lineRule="auto"/>
              <w:ind w:left="119"/>
              <w:rPr>
                <w:bCs/>
                <w:sz w:val="18"/>
                <w:szCs w:val="18"/>
              </w:rPr>
            </w:pPr>
            <w:r>
              <w:rPr>
                <w:bCs/>
                <w:spacing w:val="-2"/>
                <w:sz w:val="18"/>
                <w:szCs w:val="18"/>
              </w:rPr>
              <w:t>Indep</w:t>
            </w:r>
          </w:p>
        </w:tc>
        <w:tc>
          <w:tcPr>
            <w:tcW w:w="998" w:type="pct"/>
            <w:tcBorders>
              <w:top w:val="nil"/>
              <w:tl2br w:val="nil"/>
              <w:tr2bl w:val="nil"/>
            </w:tcBorders>
          </w:tcPr>
          <w:p w14:paraId="20F25F99">
            <w:pPr>
              <w:pStyle w:val="53"/>
              <w:spacing w:before="0" w:line="240" w:lineRule="auto"/>
              <w:ind w:left="1" w:right="102"/>
              <w:jc w:val="center"/>
              <w:rPr>
                <w:bCs/>
                <w:sz w:val="18"/>
                <w:szCs w:val="18"/>
              </w:rPr>
            </w:pPr>
            <w:r>
              <w:rPr>
                <w:bCs/>
                <w:sz w:val="18"/>
                <w:szCs w:val="18"/>
              </w:rPr>
              <w:t>-</w:t>
            </w:r>
            <w:r>
              <w:rPr>
                <w:bCs/>
                <w:spacing w:val="-2"/>
                <w:sz w:val="18"/>
                <w:szCs w:val="18"/>
              </w:rPr>
              <w:t>0.0588</w:t>
            </w:r>
          </w:p>
        </w:tc>
        <w:tc>
          <w:tcPr>
            <w:tcW w:w="1001" w:type="pct"/>
            <w:tcBorders>
              <w:top w:val="nil"/>
              <w:right w:val="single" w:color="auto" w:sz="4" w:space="0"/>
              <w:tl2br w:val="nil"/>
              <w:tr2bl w:val="nil"/>
            </w:tcBorders>
          </w:tcPr>
          <w:p w14:paraId="0D4A27F5">
            <w:pPr>
              <w:pStyle w:val="53"/>
              <w:spacing w:before="0" w:line="240" w:lineRule="auto"/>
              <w:ind w:left="107"/>
              <w:jc w:val="center"/>
              <w:rPr>
                <w:bCs/>
                <w:sz w:val="18"/>
                <w:szCs w:val="18"/>
              </w:rPr>
            </w:pPr>
            <w:r>
              <w:rPr>
                <w:bCs/>
                <w:spacing w:val="-2"/>
                <w:sz w:val="18"/>
                <w:szCs w:val="18"/>
              </w:rPr>
              <w:t>0.460</w:t>
            </w:r>
          </w:p>
        </w:tc>
        <w:tc>
          <w:tcPr>
            <w:tcW w:w="998" w:type="pct"/>
            <w:tcBorders>
              <w:top w:val="nil"/>
              <w:left w:val="single" w:color="auto" w:sz="4" w:space="0"/>
              <w:tl2br w:val="nil"/>
              <w:tr2bl w:val="nil"/>
            </w:tcBorders>
          </w:tcPr>
          <w:p w14:paraId="70EB9E65">
            <w:pPr>
              <w:pStyle w:val="53"/>
              <w:spacing w:before="0" w:line="240" w:lineRule="auto"/>
              <w:ind w:right="200"/>
              <w:jc w:val="right"/>
              <w:rPr>
                <w:bCs/>
                <w:sz w:val="18"/>
                <w:szCs w:val="18"/>
              </w:rPr>
            </w:pPr>
            <w:r>
              <w:rPr>
                <w:bCs/>
                <w:sz w:val="18"/>
                <w:szCs w:val="18"/>
              </w:rPr>
              <w:t>-</w:t>
            </w:r>
            <w:r>
              <w:rPr>
                <w:bCs/>
                <w:spacing w:val="-2"/>
                <w:sz w:val="18"/>
                <w:szCs w:val="18"/>
              </w:rPr>
              <w:t>0.0420</w:t>
            </w:r>
          </w:p>
        </w:tc>
        <w:tc>
          <w:tcPr>
            <w:tcW w:w="1005" w:type="pct"/>
            <w:tcBorders>
              <w:top w:val="nil"/>
              <w:tl2br w:val="nil"/>
              <w:tr2bl w:val="nil"/>
            </w:tcBorders>
          </w:tcPr>
          <w:p w14:paraId="1A2871F8">
            <w:pPr>
              <w:pStyle w:val="53"/>
              <w:spacing w:before="0" w:line="240" w:lineRule="auto"/>
              <w:ind w:left="78"/>
              <w:jc w:val="center"/>
              <w:rPr>
                <w:bCs/>
                <w:sz w:val="18"/>
                <w:szCs w:val="18"/>
              </w:rPr>
            </w:pPr>
            <w:r>
              <w:rPr>
                <w:bCs/>
                <w:spacing w:val="-2"/>
                <w:sz w:val="18"/>
                <w:szCs w:val="18"/>
              </w:rPr>
              <w:t>0.600</w:t>
            </w:r>
          </w:p>
        </w:tc>
      </w:tr>
      <w:tr w14:paraId="635A20E0">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186C6701">
            <w:pPr>
              <w:pStyle w:val="53"/>
              <w:spacing w:before="0" w:line="240" w:lineRule="auto"/>
              <w:ind w:left="119"/>
              <w:rPr>
                <w:bCs/>
                <w:sz w:val="18"/>
                <w:szCs w:val="18"/>
              </w:rPr>
            </w:pPr>
            <w:r>
              <w:rPr>
                <w:bCs/>
                <w:spacing w:val="-5"/>
                <w:sz w:val="18"/>
                <w:szCs w:val="18"/>
              </w:rPr>
              <w:t>Lev</w:t>
            </w:r>
          </w:p>
        </w:tc>
        <w:tc>
          <w:tcPr>
            <w:tcW w:w="998" w:type="pct"/>
            <w:tcBorders>
              <w:tl2br w:val="nil"/>
              <w:tr2bl w:val="nil"/>
            </w:tcBorders>
          </w:tcPr>
          <w:p w14:paraId="11B85BEC">
            <w:pPr>
              <w:pStyle w:val="53"/>
              <w:spacing w:before="0" w:line="240" w:lineRule="auto"/>
              <w:ind w:right="102"/>
              <w:jc w:val="center"/>
              <w:rPr>
                <w:bCs/>
                <w:sz w:val="18"/>
                <w:szCs w:val="18"/>
              </w:rPr>
            </w:pPr>
            <w:r>
              <w:rPr>
                <w:bCs/>
                <w:spacing w:val="-2"/>
                <w:sz w:val="18"/>
                <w:szCs w:val="18"/>
              </w:rPr>
              <w:t>0.0219</w:t>
            </w:r>
          </w:p>
        </w:tc>
        <w:tc>
          <w:tcPr>
            <w:tcW w:w="1001" w:type="pct"/>
            <w:tcBorders>
              <w:right w:val="single" w:color="auto" w:sz="4" w:space="0"/>
              <w:tl2br w:val="nil"/>
              <w:tr2bl w:val="nil"/>
            </w:tcBorders>
          </w:tcPr>
          <w:p w14:paraId="68AB15F1">
            <w:pPr>
              <w:pStyle w:val="53"/>
              <w:spacing w:before="0" w:line="240" w:lineRule="auto"/>
              <w:ind w:left="107"/>
              <w:jc w:val="center"/>
              <w:rPr>
                <w:bCs/>
                <w:sz w:val="18"/>
                <w:szCs w:val="18"/>
              </w:rPr>
            </w:pPr>
            <w:r>
              <w:rPr>
                <w:bCs/>
                <w:spacing w:val="-2"/>
                <w:sz w:val="18"/>
                <w:szCs w:val="18"/>
              </w:rPr>
              <w:t>0.923</w:t>
            </w:r>
          </w:p>
        </w:tc>
        <w:tc>
          <w:tcPr>
            <w:tcW w:w="998" w:type="pct"/>
            <w:tcBorders>
              <w:left w:val="single" w:color="auto" w:sz="4" w:space="0"/>
              <w:tl2br w:val="nil"/>
              <w:tr2bl w:val="nil"/>
            </w:tcBorders>
          </w:tcPr>
          <w:p w14:paraId="0675BB03">
            <w:pPr>
              <w:pStyle w:val="53"/>
              <w:spacing w:before="0" w:line="240" w:lineRule="auto"/>
              <w:ind w:right="200"/>
              <w:jc w:val="right"/>
              <w:rPr>
                <w:bCs/>
                <w:sz w:val="18"/>
                <w:szCs w:val="18"/>
              </w:rPr>
            </w:pPr>
            <w:r>
              <w:rPr>
                <w:bCs/>
                <w:sz w:val="18"/>
                <w:szCs w:val="18"/>
              </w:rPr>
              <w:t>-</w:t>
            </w:r>
            <w:r>
              <w:rPr>
                <w:bCs/>
                <w:spacing w:val="-2"/>
                <w:sz w:val="18"/>
                <w:szCs w:val="18"/>
              </w:rPr>
              <w:t>0.0429</w:t>
            </w:r>
          </w:p>
        </w:tc>
        <w:tc>
          <w:tcPr>
            <w:tcW w:w="1005" w:type="pct"/>
            <w:tcBorders>
              <w:tl2br w:val="nil"/>
              <w:tr2bl w:val="nil"/>
            </w:tcBorders>
          </w:tcPr>
          <w:p w14:paraId="6D940A40">
            <w:pPr>
              <w:pStyle w:val="53"/>
              <w:spacing w:before="0" w:line="240" w:lineRule="auto"/>
              <w:ind w:left="78"/>
              <w:jc w:val="center"/>
              <w:rPr>
                <w:bCs/>
                <w:sz w:val="18"/>
                <w:szCs w:val="18"/>
              </w:rPr>
            </w:pPr>
            <w:r>
              <w:rPr>
                <w:bCs/>
                <w:spacing w:val="-2"/>
                <w:sz w:val="18"/>
                <w:szCs w:val="18"/>
              </w:rPr>
              <w:t>0.851</w:t>
            </w:r>
          </w:p>
        </w:tc>
      </w:tr>
      <w:tr w14:paraId="0D64F4D2">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4" w:hRule="atLeast"/>
          <w:jc w:val="center"/>
        </w:trPr>
        <w:tc>
          <w:tcPr>
            <w:tcW w:w="998" w:type="pct"/>
            <w:tcBorders>
              <w:tl2br w:val="nil"/>
              <w:tr2bl w:val="nil"/>
            </w:tcBorders>
          </w:tcPr>
          <w:p w14:paraId="13AC134F">
            <w:pPr>
              <w:pStyle w:val="53"/>
              <w:spacing w:before="0" w:line="240" w:lineRule="auto"/>
              <w:ind w:left="119"/>
              <w:rPr>
                <w:bCs/>
                <w:sz w:val="18"/>
                <w:szCs w:val="18"/>
              </w:rPr>
            </w:pPr>
            <w:r>
              <w:rPr>
                <w:bCs/>
                <w:spacing w:val="-4"/>
                <w:sz w:val="18"/>
                <w:szCs w:val="18"/>
              </w:rPr>
              <w:t>Size</w:t>
            </w:r>
          </w:p>
        </w:tc>
        <w:tc>
          <w:tcPr>
            <w:tcW w:w="998" w:type="pct"/>
            <w:tcBorders>
              <w:tl2br w:val="nil"/>
              <w:tr2bl w:val="nil"/>
            </w:tcBorders>
          </w:tcPr>
          <w:p w14:paraId="4B6D80AF">
            <w:pPr>
              <w:pStyle w:val="53"/>
              <w:spacing w:before="0" w:line="240" w:lineRule="auto"/>
              <w:ind w:right="102"/>
              <w:jc w:val="center"/>
              <w:rPr>
                <w:bCs/>
                <w:sz w:val="18"/>
                <w:szCs w:val="18"/>
              </w:rPr>
            </w:pPr>
            <w:r>
              <w:rPr>
                <w:bCs/>
                <w:spacing w:val="-2"/>
                <w:sz w:val="18"/>
                <w:szCs w:val="18"/>
              </w:rPr>
              <w:t>0.0056</w:t>
            </w:r>
          </w:p>
        </w:tc>
        <w:tc>
          <w:tcPr>
            <w:tcW w:w="1001" w:type="pct"/>
            <w:tcBorders>
              <w:right w:val="single" w:color="auto" w:sz="4" w:space="0"/>
              <w:tl2br w:val="nil"/>
              <w:tr2bl w:val="nil"/>
            </w:tcBorders>
          </w:tcPr>
          <w:p w14:paraId="42EEA240">
            <w:pPr>
              <w:pStyle w:val="53"/>
              <w:spacing w:before="0" w:line="240" w:lineRule="auto"/>
              <w:ind w:left="107"/>
              <w:jc w:val="center"/>
              <w:rPr>
                <w:bCs/>
                <w:sz w:val="18"/>
                <w:szCs w:val="18"/>
              </w:rPr>
            </w:pPr>
            <w:r>
              <w:rPr>
                <w:bCs/>
                <w:spacing w:val="-2"/>
                <w:sz w:val="18"/>
                <w:szCs w:val="18"/>
              </w:rPr>
              <w:t>0.545</w:t>
            </w:r>
          </w:p>
        </w:tc>
        <w:tc>
          <w:tcPr>
            <w:tcW w:w="998" w:type="pct"/>
            <w:tcBorders>
              <w:left w:val="single" w:color="auto" w:sz="4" w:space="0"/>
              <w:tl2br w:val="nil"/>
              <w:tr2bl w:val="nil"/>
            </w:tcBorders>
          </w:tcPr>
          <w:p w14:paraId="57D34192">
            <w:pPr>
              <w:pStyle w:val="53"/>
              <w:spacing w:before="0" w:line="240" w:lineRule="auto"/>
              <w:ind w:right="235"/>
              <w:jc w:val="right"/>
              <w:rPr>
                <w:bCs/>
                <w:sz w:val="18"/>
                <w:szCs w:val="18"/>
              </w:rPr>
            </w:pPr>
            <w:r>
              <w:rPr>
                <w:bCs/>
                <w:spacing w:val="-2"/>
                <w:sz w:val="18"/>
                <w:szCs w:val="18"/>
              </w:rPr>
              <w:t>0.0075</w:t>
            </w:r>
          </w:p>
        </w:tc>
        <w:tc>
          <w:tcPr>
            <w:tcW w:w="1005" w:type="pct"/>
            <w:tcBorders>
              <w:tl2br w:val="nil"/>
              <w:tr2bl w:val="nil"/>
            </w:tcBorders>
          </w:tcPr>
          <w:p w14:paraId="5E877373">
            <w:pPr>
              <w:pStyle w:val="53"/>
              <w:spacing w:before="0" w:line="240" w:lineRule="auto"/>
              <w:ind w:left="78"/>
              <w:jc w:val="center"/>
              <w:rPr>
                <w:bCs/>
                <w:sz w:val="18"/>
                <w:szCs w:val="18"/>
              </w:rPr>
            </w:pPr>
            <w:r>
              <w:rPr>
                <w:bCs/>
                <w:spacing w:val="-2"/>
                <w:sz w:val="18"/>
                <w:szCs w:val="18"/>
              </w:rPr>
              <w:t>0.423</w:t>
            </w:r>
          </w:p>
        </w:tc>
      </w:tr>
      <w:tr w14:paraId="3F316591">
        <w:tblPrEx>
          <w:tblBorders>
            <w:top w:val="none" w:color="auto" w:sz="0"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67" w:hRule="atLeast"/>
          <w:jc w:val="center"/>
        </w:trPr>
        <w:tc>
          <w:tcPr>
            <w:tcW w:w="998" w:type="pct"/>
            <w:tcBorders>
              <w:tl2br w:val="nil"/>
              <w:tr2bl w:val="nil"/>
            </w:tcBorders>
          </w:tcPr>
          <w:p w14:paraId="7510E14C">
            <w:pPr>
              <w:pStyle w:val="53"/>
              <w:spacing w:before="0" w:line="240" w:lineRule="auto"/>
              <w:ind w:left="119"/>
              <w:rPr>
                <w:bCs/>
                <w:sz w:val="18"/>
                <w:szCs w:val="18"/>
              </w:rPr>
            </w:pPr>
            <w:r>
              <w:rPr>
                <w:bCs/>
                <w:spacing w:val="-4"/>
                <w:sz w:val="18"/>
                <w:szCs w:val="18"/>
              </w:rPr>
              <w:t>Big4</w:t>
            </w:r>
          </w:p>
        </w:tc>
        <w:tc>
          <w:tcPr>
            <w:tcW w:w="998" w:type="pct"/>
            <w:tcBorders>
              <w:tl2br w:val="nil"/>
              <w:tr2bl w:val="nil"/>
            </w:tcBorders>
          </w:tcPr>
          <w:p w14:paraId="23A0059D">
            <w:pPr>
              <w:pStyle w:val="53"/>
              <w:spacing w:before="0" w:line="240" w:lineRule="auto"/>
              <w:ind w:left="1" w:right="102"/>
              <w:jc w:val="center"/>
              <w:rPr>
                <w:bCs/>
                <w:sz w:val="18"/>
                <w:szCs w:val="18"/>
              </w:rPr>
            </w:pPr>
            <w:r>
              <w:rPr>
                <w:bCs/>
                <w:sz w:val="18"/>
                <w:szCs w:val="18"/>
              </w:rPr>
              <w:t>-</w:t>
            </w:r>
            <w:r>
              <w:rPr>
                <w:bCs/>
                <w:spacing w:val="-2"/>
                <w:sz w:val="18"/>
                <w:szCs w:val="18"/>
              </w:rPr>
              <w:t>0.0174</w:t>
            </w:r>
          </w:p>
        </w:tc>
        <w:tc>
          <w:tcPr>
            <w:tcW w:w="1001" w:type="pct"/>
            <w:tcBorders>
              <w:bottom w:val="single" w:color="000000" w:sz="8" w:space="0"/>
              <w:right w:val="single" w:color="auto" w:sz="4" w:space="0"/>
              <w:tl2br w:val="nil"/>
              <w:tr2bl w:val="nil"/>
            </w:tcBorders>
          </w:tcPr>
          <w:p w14:paraId="4D042C2E">
            <w:pPr>
              <w:pStyle w:val="53"/>
              <w:spacing w:before="0" w:line="240" w:lineRule="auto"/>
              <w:ind w:left="107"/>
              <w:jc w:val="center"/>
              <w:rPr>
                <w:bCs/>
                <w:sz w:val="18"/>
                <w:szCs w:val="18"/>
              </w:rPr>
            </w:pPr>
            <w:r>
              <w:rPr>
                <w:bCs/>
                <w:spacing w:val="-2"/>
                <w:sz w:val="18"/>
                <w:szCs w:val="18"/>
              </w:rPr>
              <w:t>0.363</w:t>
            </w:r>
          </w:p>
        </w:tc>
        <w:tc>
          <w:tcPr>
            <w:tcW w:w="998" w:type="pct"/>
            <w:tcBorders>
              <w:left w:val="single" w:color="auto" w:sz="4" w:space="0"/>
              <w:tl2br w:val="nil"/>
              <w:tr2bl w:val="nil"/>
            </w:tcBorders>
          </w:tcPr>
          <w:p w14:paraId="341FB9E0">
            <w:pPr>
              <w:pStyle w:val="53"/>
              <w:spacing w:before="0" w:line="240" w:lineRule="auto"/>
              <w:ind w:right="200"/>
              <w:jc w:val="right"/>
              <w:rPr>
                <w:bCs/>
                <w:sz w:val="18"/>
                <w:szCs w:val="18"/>
              </w:rPr>
            </w:pPr>
            <w:r>
              <w:rPr>
                <w:bCs/>
                <w:sz w:val="18"/>
                <w:szCs w:val="18"/>
              </w:rPr>
              <w:t>-</w:t>
            </w:r>
            <w:r>
              <w:rPr>
                <w:bCs/>
                <w:spacing w:val="-2"/>
                <w:sz w:val="18"/>
                <w:szCs w:val="18"/>
              </w:rPr>
              <w:t>0.0193</w:t>
            </w:r>
          </w:p>
        </w:tc>
        <w:tc>
          <w:tcPr>
            <w:tcW w:w="1005" w:type="pct"/>
            <w:tcBorders>
              <w:tl2br w:val="nil"/>
              <w:tr2bl w:val="nil"/>
            </w:tcBorders>
          </w:tcPr>
          <w:p w14:paraId="402AA60F">
            <w:pPr>
              <w:pStyle w:val="53"/>
              <w:spacing w:before="0" w:line="240" w:lineRule="auto"/>
              <w:ind w:left="78"/>
              <w:jc w:val="center"/>
              <w:rPr>
                <w:bCs/>
                <w:sz w:val="18"/>
                <w:szCs w:val="18"/>
              </w:rPr>
            </w:pPr>
            <w:r>
              <w:rPr>
                <w:bCs/>
                <w:spacing w:val="-2"/>
                <w:sz w:val="18"/>
                <w:szCs w:val="18"/>
              </w:rPr>
              <w:t>0.317</w:t>
            </w:r>
          </w:p>
        </w:tc>
      </w:tr>
    </w:tbl>
    <w:p w14:paraId="65123687">
      <w:pPr>
        <w:outlineLvl w:val="1"/>
        <w:rPr>
          <w:rFonts w:hint="eastAsia" w:ascii="宋体" w:hAnsi="宋体" w:eastAsia="宋体" w:cs="Times New Roman"/>
          <w:b/>
          <w:bCs/>
          <w:sz w:val="24"/>
          <w:szCs w:val="24"/>
        </w:rPr>
      </w:pPr>
      <w:bookmarkStart w:id="22" w:name="_Toc30122"/>
      <w:r>
        <w:rPr>
          <w:rFonts w:hint="eastAsia" w:ascii="宋体" w:hAnsi="宋体" w:eastAsia="宋体" w:cs="Times New Roman"/>
          <w:b/>
          <w:bCs/>
          <w:sz w:val="24"/>
          <w:szCs w:val="24"/>
        </w:rPr>
        <w:t>（二）被解释变量的稳健性</w:t>
      </w:r>
      <w:bookmarkEnd w:id="22"/>
    </w:p>
    <w:p w14:paraId="06C2C47E">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随事件窗口的延长而递减，P值随事件窗口的延长而增大，说明新闻造成的股票异常收益率的会随着时间而减弱。</w:t>
      </w:r>
      <w:r>
        <w:rPr>
          <w:rFonts w:ascii="Times New Roman"/>
          <w:sz w:val="13"/>
        </w:rPr>
        <mc:AlternateContent>
          <mc:Choice Requires="wps">
            <w:drawing>
              <wp:anchor distT="0" distB="0" distL="0" distR="0" simplePos="0" relativeHeight="251659264" behindDoc="0" locked="0" layoutInCell="1" allowOverlap="1">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2" o:spid="_x0000_s1026" o:spt="100" style="position:absolute;left:0pt;margin-left:387.5pt;margin-top:8.05pt;height:0.1pt;width:1.95pt;mso-position-horizontal-relative:page;z-index:251659264;mso-width-relative:page;mso-height-relative:page;" filled="f" stroked="t" coordsize="24765,1" o:gfxdata="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WGYq7ZAAAACQEAAA8AAAAAAAAA&#10;AQAgAAAAIgAAAGRycy9kb3ducmV2LnhtbFBLAQIUABQAAAAIAIdO4kDpsz8NEAIAAHYEAAAOAAAA&#10;AAAAAAEAIAAAACgBAABkcnMvZTJvRG9jLnhtbFBLBQYAAAAABgAGAFkBAACqBQAAAAA=&#10;" path="m0,0l24765,0e">
                <v:fill on="f" focussize="0,0"/>
                <v:stroke weight="0.397952755905512pt" color="#000000" joinstyle="round"/>
                <v:imagedata o:title=""/>
                <o:lock v:ext="edit" aspectratio="f"/>
                <v:textbox inset="0mm,0mm,0mm,0mm"/>
              </v:shape>
            </w:pict>
          </mc:Fallback>
        </mc:AlternateContent>
      </w:r>
    </w:p>
    <w:p w14:paraId="78F8DB61">
      <w:pPr>
        <w:outlineLvl w:val="1"/>
        <w:rPr>
          <w:rFonts w:hint="eastAsia" w:ascii="宋体" w:hAnsi="宋体" w:eastAsia="宋体" w:cs="Times New Roman"/>
          <w:b/>
          <w:bCs/>
          <w:sz w:val="24"/>
          <w:szCs w:val="24"/>
        </w:rPr>
      </w:pPr>
      <w:bookmarkStart w:id="23" w:name="_Toc26212"/>
      <w:r>
        <w:rPr>
          <w:rFonts w:hint="eastAsia" w:ascii="宋体" w:hAnsi="宋体" w:eastAsia="宋体" w:cs="Times New Roman"/>
          <w:b/>
          <w:bCs/>
          <w:sz w:val="24"/>
          <w:szCs w:val="24"/>
        </w:rPr>
        <w:t>（三）安慰剂检验</w:t>
      </w:r>
      <w:bookmarkEnd w:id="23"/>
    </w:p>
    <w:p w14:paraId="7E050E9F">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为了进一步检验本文的结果是否由不可观察因素驱动，本文通过随机分配公司进行安慰剂检验（Cai,2016）</w:t>
      </w:r>
      <w:r>
        <w:rPr>
          <w:rStyle w:val="24"/>
          <w:rFonts w:hint="eastAsia" w:ascii="宋体" w:hAnsi="宋体" w:eastAsia="宋体" w:cs="Times New Roman"/>
          <w:sz w:val="21"/>
          <w:szCs w:val="21"/>
        </w:rPr>
        <w:t>[</w:t>
      </w:r>
      <w:r>
        <w:rPr>
          <w:rStyle w:val="24"/>
          <w:rFonts w:hint="eastAsia" w:ascii="宋体" w:hAnsi="宋体" w:eastAsia="宋体" w:cs="Times New Roman"/>
          <w:sz w:val="21"/>
          <w:szCs w:val="21"/>
        </w:rPr>
        <w:endnoteReference w:id="25"/>
      </w:r>
      <w:r>
        <w:rPr>
          <w:rStyle w:val="24"/>
          <w:rFonts w:hint="eastAsia" w:ascii="宋体" w:hAnsi="宋体" w:eastAsia="宋体" w:cs="Times New Roman"/>
          <w:sz w:val="21"/>
          <w:szCs w:val="21"/>
        </w:rPr>
        <w:t>]</w:t>
      </w:r>
      <w:r>
        <w:rPr>
          <w:rFonts w:hint="eastAsia" w:ascii="宋体" w:hAnsi="宋体" w:eastAsia="宋体" w:cs="Times New Roman"/>
          <w:sz w:val="21"/>
          <w:szCs w:val="21"/>
        </w:rPr>
        <w:t>。本文从样本中随机选择一半公司作为处理组，假设这些公司受到虚假财经新闻的冲击，其他公司为对照组。本文进行了100次随机抽样（任胜钢等，2019）</w:t>
      </w:r>
      <w:r>
        <w:rPr>
          <w:rStyle w:val="24"/>
          <w:rFonts w:hint="eastAsia" w:ascii="宋体" w:hAnsi="宋体" w:eastAsia="宋体" w:cs="Times New Roman"/>
          <w:sz w:val="21"/>
          <w:szCs w:val="21"/>
        </w:rPr>
        <w:t>[</w:t>
      </w:r>
      <w:r>
        <w:rPr>
          <w:rStyle w:val="24"/>
          <w:rFonts w:hint="eastAsia" w:ascii="宋体" w:hAnsi="宋体" w:eastAsia="宋体" w:cs="Times New Roman"/>
          <w:sz w:val="21"/>
          <w:szCs w:val="21"/>
        </w:rPr>
        <w:endnoteReference w:id="26"/>
      </w:r>
      <w:r>
        <w:rPr>
          <w:rStyle w:val="24"/>
          <w:rFonts w:hint="eastAsia" w:ascii="宋体" w:hAnsi="宋体" w:eastAsia="宋体" w:cs="Times New Roman"/>
          <w:sz w:val="21"/>
          <w:szCs w:val="21"/>
        </w:rPr>
        <w:t>]</w:t>
      </w:r>
      <w:r>
        <w:rPr>
          <w:rFonts w:hint="eastAsia" w:ascii="宋体" w:hAnsi="宋体" w:eastAsia="宋体" w:cs="Times New Roman"/>
          <w:sz w:val="21"/>
          <w:szCs w:val="21"/>
        </w:rPr>
        <w:t>，按照式(5)进行基准回归，所得到的100次随机抽样下得到的交互项</w:t>
      </w:r>
      <m:oMath>
        <m:r>
          <m:rPr/>
          <w:rPr>
            <w:rFonts w:ascii="Cambria Math" w:hAnsi="Cambria Math" w:eastAsia="宋体" w:cs="Times New Roman"/>
            <w:sz w:val="21"/>
            <w:szCs w:val="21"/>
          </w:rPr>
          <m:t>time×random_false</m:t>
        </m:r>
      </m:oMath>
      <w:r>
        <w:rPr>
          <w:rFonts w:hint="eastAsia" w:ascii="宋体" w:hAnsi="宋体" w:eastAsia="宋体" w:cs="Times New Roman"/>
          <w:sz w:val="21"/>
          <w:szCs w:val="21"/>
        </w:rPr>
        <w:t>对股票的异常收益率没有影响，即随机采样后回归估计的系数均值为0.0001，p值均值为0.493，结果如图3所示。这些点的分布大多在零点左右，因此本文的估计结果不太可能由年份-行业-公司的不可观察因为驱动。</w:t>
      </w:r>
    </w:p>
    <w:p w14:paraId="230EE9AB">
      <w:pPr>
        <w:ind w:firstLine="560" w:firstLineChars="200"/>
        <w:jc w:val="center"/>
        <w:rPr>
          <w:rFonts w:hint="eastAsia" w:ascii="宋体" w:hAnsi="宋体" w:eastAsia="宋体" w:cs="Times New Roman"/>
          <w:sz w:val="21"/>
          <w:szCs w:val="21"/>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4023360</wp:posOffset>
                </wp:positionV>
                <wp:extent cx="4346575" cy="635"/>
                <wp:effectExtent l="0" t="0" r="0" b="6350"/>
                <wp:wrapTopAndBottom/>
                <wp:docPr id="805046914" name="文本框 1"/>
                <wp:cNvGraphicFramePr/>
                <a:graphic xmlns:a="http://schemas.openxmlformats.org/drawingml/2006/main">
                  <a:graphicData uri="http://schemas.microsoft.com/office/word/2010/wordprocessingShape">
                    <wps:wsp>
                      <wps:cNvSpPr txBox="1"/>
                      <wps:spPr>
                        <a:xfrm>
                          <a:off x="0" y="0"/>
                          <a:ext cx="4346575" cy="635"/>
                        </a:xfrm>
                        <a:prstGeom prst="rect">
                          <a:avLst/>
                        </a:prstGeom>
                        <a:solidFill>
                          <a:prstClr val="white"/>
                        </a:solidFill>
                        <a:ln>
                          <a:noFill/>
                        </a:ln>
                      </wps:spPr>
                      <wps:txbx>
                        <w:txbxContent>
                          <w:p w14:paraId="710C62F7">
                            <w:pPr>
                              <w:pStyle w:val="11"/>
                              <w:jc w:val="center"/>
                              <w:rPr>
                                <w:rFonts w:hint="eastAsia" w:ascii="宋体" w:hAnsi="宋体" w:eastAsia="宋体" w:cs="Times New Roman"/>
                                <w:sz w:val="21"/>
                                <w:szCs w:val="21"/>
                              </w:rPr>
                            </w:pPr>
                            <w:r>
                              <w:rPr>
                                <w:rFonts w:hint="eastAsia"/>
                              </w:rPr>
                              <w:t>图</w:t>
                            </w:r>
                            <w:r>
                              <w:rPr>
                                <w:rFonts w:hint="eastAsia"/>
                              </w:rPr>
                              <w:fldChar w:fldCharType="begin"/>
                            </w:r>
                            <w:r>
                              <w:rPr>
                                <w:rFonts w:hint="eastAsia"/>
                              </w:rPr>
                              <w:instrText xml:space="preserve"> SEQ 图表 \* ARABIC </w:instrText>
                            </w:r>
                            <w:r>
                              <w:rPr>
                                <w:rFonts w:hint="eastAsia"/>
                              </w:rPr>
                              <w:fldChar w:fldCharType="separate"/>
                            </w:r>
                            <w:r>
                              <w:rPr>
                                <w:rFonts w:hint="eastAsia"/>
                              </w:rPr>
                              <w:t>3</w:t>
                            </w:r>
                            <w:r>
                              <w:rPr>
                                <w:rFonts w:hint="eastAsia"/>
                              </w:rPr>
                              <w:fldChar w:fldCharType="end"/>
                            </w:r>
                            <w:r>
                              <w:rPr>
                                <w:rFonts w:hint="eastAsia"/>
                              </w:rPr>
                              <w:t>安慰剂检验结果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316.8pt;height:0.05pt;width:342.25pt;mso-position-horizontal:center;mso-position-horizontal-relative:margin;mso-wrap-distance-bottom:0pt;mso-wrap-distance-top:0pt;z-index:251666432;mso-width-relative:page;mso-height-relative:page;" fillcolor="#FFFFFF" filled="t" stroked="f" coordsize="21600,21600" o:gfxdata="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NThUNgAAAAIAQAADwAAAAAAAAABACAAAAAi&#10;AAAAZHJzL2Rvd25yZXYueG1sUEsBAhQAFAAAAAgAh07iQJlXwtRDAgAAegQAAA4AAAAAAAAAAQAg&#10;AAAAJwEAAGRycy9lMm9Eb2MueG1sUEsFBgAAAAAGAAYAWQEAANwFAAAAAA==&#10;">
                <v:fill on="t" focussize="0,0"/>
                <v:stroke on="f"/>
                <v:imagedata o:title=""/>
                <o:lock v:ext="edit" aspectratio="f"/>
                <v:textbox inset="0mm,0mm,0mm,0mm" style="mso-fit-shape-to-text:t;">
                  <w:txbxContent>
                    <w:p w14:paraId="710C62F7">
                      <w:pPr>
                        <w:pStyle w:val="11"/>
                        <w:jc w:val="center"/>
                        <w:rPr>
                          <w:rFonts w:hint="eastAsia" w:ascii="宋体" w:hAnsi="宋体" w:eastAsia="宋体" w:cs="Times New Roman"/>
                          <w:sz w:val="21"/>
                          <w:szCs w:val="21"/>
                        </w:rPr>
                      </w:pPr>
                      <w:r>
                        <w:rPr>
                          <w:rFonts w:hint="eastAsia"/>
                        </w:rPr>
                        <w:t>图</w:t>
                      </w:r>
                      <w:r>
                        <w:rPr>
                          <w:rFonts w:hint="eastAsia"/>
                        </w:rPr>
                        <w:fldChar w:fldCharType="begin"/>
                      </w:r>
                      <w:r>
                        <w:rPr>
                          <w:rFonts w:hint="eastAsia"/>
                        </w:rPr>
                        <w:instrText xml:space="preserve"> SEQ 图表 \* ARABIC </w:instrText>
                      </w:r>
                      <w:r>
                        <w:rPr>
                          <w:rFonts w:hint="eastAsia"/>
                        </w:rPr>
                        <w:fldChar w:fldCharType="separate"/>
                      </w:r>
                      <w:r>
                        <w:rPr>
                          <w:rFonts w:hint="eastAsia"/>
                        </w:rPr>
                        <w:t>3</w:t>
                      </w:r>
                      <w:r>
                        <w:rPr>
                          <w:rFonts w:hint="eastAsia"/>
                        </w:rPr>
                        <w:fldChar w:fldCharType="end"/>
                      </w:r>
                      <w:r>
                        <w:rPr>
                          <w:rFonts w:hint="eastAsia"/>
                        </w:rPr>
                        <w:t>安慰剂检验结果</w:t>
                      </w:r>
                    </w:p>
                  </w:txbxContent>
                </v:textbox>
                <w10:wrap type="topAndBottom"/>
              </v:shape>
            </w:pict>
          </mc:Fallback>
        </mc:AlternateContent>
      </w:r>
      <w:r>
        <w:rPr>
          <w:rFonts w:hint="eastAsia" w:ascii="宋体" w:hAnsi="宋体" w:eastAsia="宋体" w:cs="Times New Roman"/>
          <w:sz w:val="21"/>
          <w:szCs w:val="21"/>
        </w:rPr>
        <mc:AlternateContent>
          <mc:Choice Requires="wpg">
            <w:drawing>
              <wp:anchor distT="0" distB="0" distL="114300" distR="114300" simplePos="0" relativeHeight="251661312" behindDoc="0" locked="0" layoutInCell="1" allowOverlap="1">
                <wp:simplePos x="0" y="0"/>
                <wp:positionH relativeFrom="margin">
                  <wp:posOffset>676910</wp:posOffset>
                </wp:positionH>
                <wp:positionV relativeFrom="paragraph">
                  <wp:posOffset>71120</wp:posOffset>
                </wp:positionV>
                <wp:extent cx="4346575" cy="3874770"/>
                <wp:effectExtent l="0" t="0" r="0" b="0"/>
                <wp:wrapTopAndBottom/>
                <wp:docPr id="1986034600" name="组合 3"/>
                <wp:cNvGraphicFramePr/>
                <a:graphic xmlns:a="http://schemas.openxmlformats.org/drawingml/2006/main">
                  <a:graphicData uri="http://schemas.microsoft.com/office/word/2010/wordprocessingGroup">
                    <wpg:wgp>
                      <wpg:cNvGrpSpPr/>
                      <wpg:grpSpPr>
                        <a:xfrm>
                          <a:off x="0" y="0"/>
                          <a:ext cx="4346575" cy="3875087"/>
                          <a:chOff x="0" y="0"/>
                          <a:chExt cx="4346575" cy="3875087"/>
                        </a:xfrm>
                      </wpg:grpSpPr>
                      <pic:pic xmlns:pic="http://schemas.openxmlformats.org/drawingml/2006/picture">
                        <pic:nvPicPr>
                          <pic:cNvPr id="625318131" name="图片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4346575" cy="1908175"/>
                          </a:xfrm>
                          <a:prstGeom prst="rect">
                            <a:avLst/>
                          </a:prstGeom>
                          <a:noFill/>
                        </pic:spPr>
                      </pic:pic>
                      <pic:pic xmlns:pic="http://schemas.openxmlformats.org/drawingml/2006/picture">
                        <pic:nvPicPr>
                          <pic:cNvPr id="1740375609" name="图片 4"/>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1966912"/>
                            <a:ext cx="4346575" cy="1908175"/>
                          </a:xfrm>
                          <a:prstGeom prst="rect">
                            <a:avLst/>
                          </a:prstGeom>
                          <a:noFill/>
                        </pic:spPr>
                      </pic:pic>
                    </wpg:wgp>
                  </a:graphicData>
                </a:graphic>
              </wp:anchor>
            </w:drawing>
          </mc:Choice>
          <mc:Fallback>
            <w:pict>
              <v:group id="组合 3" o:spid="_x0000_s1026" o:spt="203" style="position:absolute;left:0pt;margin-left:53.3pt;margin-top:5.6pt;height:305.1pt;width:342.25pt;mso-position-horizontal-relative:margin;mso-wrap-distance-bottom:0pt;mso-wrap-distance-top:0pt;z-index:251661312;mso-width-relative:page;mso-height-relative:page;" coordsize="4346575,3875087" o:gfxdata="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">
                <o:lock v:ext="edit" aspectratio="f"/>
                <v:shape id="图片 3" o:spid="_x0000_s1026" o:spt="75" type="#_x0000_t75" style="position:absolute;left:0;top:0;height:1908175;width:4346575;" filled="f" o:preferrelative="t" stroked="f" coordsize="21600,21600" o:gfxdata="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aXBAwwAAAOIAAAAPAAAAAAAAAAEAIAAAACIAAABkcnMvZG93bnJldi54bWxQSwECFAAUAAAACACH&#10;TuJAMy8FnjsAAAA5AAAAEAAAAAAAAAABACAAAAASAQAAZHJzL3NoYXBleG1sLnhtbFBLBQYAAAAA&#10;BgAGAFsBAAC8AwAAAAA=&#10;">
                  <v:fill on="f" focussize="0,0"/>
                  <v:stroke on="f"/>
                  <v:imagedata r:id="rId9" o:title=""/>
                  <o:lock v:ext="edit" aspectratio="t"/>
                </v:shape>
                <v:shape id="图片 4" o:spid="_x0000_s1026" o:spt="75" type="#_x0000_t75" style="position:absolute;left:0;top:1966912;height:1908175;width:4346575;" filled="f" o:preferrelative="t" stroked="f" coordsize="21600,21600" o:gfxdata="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Tpl/&#10;wAAAAOMAAAAPAAAAAAAAAAEAIAAAACIAAABkcnMvZG93bnJldi54bWxQSwECFAAUAAAACACHTuJA&#10;My8FnjsAAAA5AAAAEAAAAAAAAAABACAAAAAPAQAAZHJzL3NoYXBleG1sLnhtbFBLBQYAAAAABgAG&#10;AFsBAAC5AwAAAAA=&#10;">
                  <v:fill on="f" focussize="0,0"/>
                  <v:stroke on="f"/>
                  <v:imagedata r:id="rId10" o:title=""/>
                  <o:lock v:ext="edit" aspectratio="t"/>
                </v:shape>
                <w10:wrap type="topAndBottom"/>
              </v:group>
            </w:pict>
          </mc:Fallback>
        </mc:AlternateContent>
      </w:r>
      <w:r>
        <w:rPr>
          <w:rFonts w:hint="eastAsia" w:ascii="宋体" w:hAnsi="宋体" w:eastAsia="宋体" w:cs="Times New Roman"/>
          <w:sz w:val="21"/>
          <w:szCs w:val="21"/>
        </w:rPr>
        <w:t xml:space="preserve"> </w:t>
      </w:r>
    </w:p>
    <w:p w14:paraId="0E26FAFF">
      <w:pPr>
        <w:outlineLvl w:val="1"/>
        <w:rPr>
          <w:rFonts w:hint="eastAsia" w:ascii="宋体" w:hAnsi="宋体" w:eastAsia="宋体" w:cs="Times New Roman"/>
          <w:b/>
          <w:bCs/>
          <w:sz w:val="24"/>
          <w:szCs w:val="24"/>
        </w:rPr>
      </w:pPr>
      <w:bookmarkStart w:id="24" w:name="_Toc16211"/>
      <w:r>
        <w:rPr>
          <w:rFonts w:hint="eastAsia" w:ascii="宋体" w:hAnsi="宋体" w:eastAsia="宋体" w:cs="Times New Roman"/>
          <w:b/>
          <w:bCs/>
          <w:sz w:val="24"/>
          <w:szCs w:val="24"/>
        </w:rPr>
        <w:t>（四）异质性分析</w:t>
      </w:r>
      <w:bookmarkEnd w:id="24"/>
    </w:p>
    <w:p w14:paraId="0877D31F">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新闻媒体的权威性与投资者是否置信新闻报道的内容相关。一般而言，新闻媒体越权威报道传闻“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发改委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报刊网的财经类报刊排名数据）包括：《21世纪经济报道》、《经济观察报》、《中国经营报》和《华夏时报》等。本文首先构建了以新闻来源是否为权威媒体的虚拟变量M，M=1表示来源于权威媒体，M=0表示来源于非权威媒体，构建如下调节效应模型：</w:t>
      </w:r>
    </w:p>
    <w:p w14:paraId="77EAEE80">
      <w:pPr>
        <w:jc w:val="center"/>
        <w:rPr>
          <w:rFonts w:hint="eastAsia" w:ascii="宋体" w:hAnsi="宋体" w:eastAsia="宋体" w:cs="Times New Roman"/>
          <w:sz w:val="21"/>
          <w:szCs w:val="21"/>
        </w:rPr>
      </w:pPr>
      <m:oMathPara>
        <m:oMath>
          <m:eqArr>
            <m:eqArrPr>
              <m:maxDist m:val="1"/>
              <m:ctrlPr>
                <w:rPr>
                  <w:rFonts w:ascii="Cambria Math" w:hAnsi="Cambria Math" w:eastAsia="宋体" w:cs="Times New Roman"/>
                  <w:i/>
                  <w:sz w:val="21"/>
                  <w:szCs w:val="21"/>
                </w:rPr>
              </m:ctrlPr>
            </m:eqArrPr>
            <m:e>
              <m:r>
                <m:rPr/>
                <w:rPr>
                  <w:rFonts w:ascii="Cambria Math" w:hAnsi="Cambria Math" w:eastAsia="宋体" w:cs="Times New Roman"/>
                  <w:sz w:val="21"/>
                  <w:szCs w:val="21"/>
                </w:rPr>
                <m:t>CAR=</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0</m:t>
                  </m:r>
                  <m:ctrlPr>
                    <w:rPr>
                      <w:rFonts w:ascii="Cambria Math" w:hAnsi="Cambria Math" w:eastAsia="宋体" w:cs="Times New Roman"/>
                      <w:i/>
                      <w:sz w:val="21"/>
                      <w:szCs w:val="21"/>
                    </w:rPr>
                  </m:ctrlPr>
                </m:sub>
              </m:sSub>
              <m:r>
                <m:rPr/>
                <w:rPr>
                  <w:rFonts w:ascii="Cambria Math" w:hAnsi="Cambria Math" w:eastAsia="宋体" w:cs="Times New Roman"/>
                  <w:sz w:val="21"/>
                  <w:szCs w:val="21"/>
                </w:rPr>
                <m:t>+</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1</m:t>
                  </m:r>
                  <m:ctrlPr>
                    <w:rPr>
                      <w:rFonts w:ascii="Cambria Math" w:hAnsi="Cambria Math" w:eastAsia="宋体" w:cs="Times New Roman"/>
                      <w:i/>
                      <w:sz w:val="21"/>
                      <w:szCs w:val="21"/>
                    </w:rPr>
                  </m:ctrlPr>
                </m:sub>
              </m:sSub>
              <m:r>
                <m:rPr/>
                <w:rPr>
                  <w:rFonts w:ascii="Cambria Math" w:hAnsi="Cambria Math" w:eastAsia="宋体" w:cs="Times New Roman"/>
                  <w:sz w:val="21"/>
                  <w:szCs w:val="21"/>
                </w:rPr>
                <m:t>D+</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2</m:t>
                  </m:r>
                  <m:ctrlPr>
                    <w:rPr>
                      <w:rFonts w:ascii="Cambria Math" w:hAnsi="Cambria Math" w:eastAsia="宋体" w:cs="Times New Roman"/>
                      <w:i/>
                      <w:sz w:val="21"/>
                      <w:szCs w:val="21"/>
                    </w:rPr>
                  </m:ctrlPr>
                </m:sub>
              </m:sSub>
              <m:r>
                <m:rPr/>
                <w:rPr>
                  <w:rFonts w:ascii="Cambria Math" w:hAnsi="Cambria Math" w:eastAsia="宋体" w:cs="Times New Roman"/>
                  <w:sz w:val="21"/>
                  <w:szCs w:val="21"/>
                </w:rPr>
                <m:t>M+</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r>
                <m:rPr/>
                <w:rPr>
                  <w:rFonts w:ascii="Cambria Math" w:hAnsi="Cambria Math" w:eastAsia="宋体" w:cs="Times New Roman"/>
                  <w:sz w:val="21"/>
                  <w:szCs w:val="21"/>
                </w:rPr>
                <m:t>M×D+</m:t>
              </m:r>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4</m:t>
                  </m:r>
                  <m:ctrlPr>
                    <w:rPr>
                      <w:rFonts w:ascii="Cambria Math" w:hAnsi="Cambria Math" w:eastAsia="宋体" w:cs="Times New Roman"/>
                      <w:i/>
                      <w:sz w:val="21"/>
                      <w:szCs w:val="21"/>
                    </w:rPr>
                  </m:ctrlPr>
                </m:sub>
              </m:sSub>
              <m:r>
                <m:rPr/>
                <w:rPr>
                  <w:rFonts w:ascii="Cambria Math" w:hAnsi="Cambria Math" w:eastAsia="宋体" w:cs="Times New Roman"/>
                  <w:sz w:val="21"/>
                  <w:szCs w:val="21"/>
                </w:rPr>
                <m:t>X+ϵ#</m:t>
              </m:r>
              <m:d>
                <m:dPr>
                  <m:ctrlPr>
                    <w:rPr>
                      <w:rFonts w:ascii="Cambria Math" w:hAnsi="Cambria Math" w:eastAsia="宋体" w:cs="Times New Roman"/>
                      <w:i/>
                      <w:sz w:val="21"/>
                      <w:szCs w:val="21"/>
                    </w:rPr>
                  </m:ctrlPr>
                </m:dPr>
                <m:e>
                  <m:r>
                    <m:rPr/>
                    <w:rPr>
                      <w:rFonts w:ascii="Cambria Math" w:hAnsi="Cambria Math" w:eastAsia="宋体" w:cs="Times New Roman"/>
                      <w:sz w:val="21"/>
                      <w:szCs w:val="21"/>
                    </w:rPr>
                    <m:t>12</m:t>
                  </m:r>
                  <m:ctrlPr>
                    <w:rPr>
                      <w:rFonts w:ascii="Cambria Math" w:hAnsi="Cambria Math" w:eastAsia="宋体" w:cs="Times New Roman"/>
                      <w:i/>
                      <w:sz w:val="21"/>
                      <w:szCs w:val="21"/>
                    </w:rPr>
                  </m:ctrlPr>
                </m:e>
              </m:d>
              <m:ctrlPr>
                <w:rPr>
                  <w:rFonts w:ascii="Cambria Math" w:hAnsi="Cambria Math" w:eastAsia="宋体" w:cs="Times New Roman"/>
                  <w:i/>
                  <w:sz w:val="21"/>
                  <w:szCs w:val="21"/>
                </w:rPr>
              </m:ctrlPr>
            </m:e>
          </m:eqArr>
        </m:oMath>
      </m:oMathPara>
    </w:p>
    <w:p w14:paraId="0ACCA515">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其中，CAR作为被解释变量，表示事件窗口期</w:t>
      </w:r>
      <w:r>
        <w:rPr>
          <w:rFonts w:ascii="宋体" w:hAnsi="宋体" w:eastAsia="宋体" w:cs="Times New Roman"/>
          <w:sz w:val="21"/>
          <w:szCs w:val="21"/>
        </w:rPr>
        <w:t>[</w:t>
      </w:r>
      <w:r>
        <w:rPr>
          <w:rFonts w:ascii="Cambria Math" w:hAnsi="Cambria Math" w:eastAsia="宋体" w:cs="Cambria Math"/>
          <w:sz w:val="21"/>
          <w:szCs w:val="21"/>
        </w:rPr>
        <w:t>−</w:t>
      </w:r>
      <w:r>
        <w:rPr>
          <w:rFonts w:ascii="宋体" w:hAnsi="宋体" w:eastAsia="宋体" w:cs="Times New Roman"/>
          <w:sz w:val="21"/>
          <w:szCs w:val="21"/>
        </w:rPr>
        <w:t>1,3]间股票的累计异常收益率；D表示是否</w:t>
      </w:r>
      <w:r>
        <w:rPr>
          <w:rFonts w:hint="eastAsia" w:ascii="宋体" w:hAnsi="宋体" w:eastAsia="宋体" w:cs="Times New Roman"/>
          <w:sz w:val="21"/>
          <w:szCs w:val="21"/>
        </w:rPr>
        <w:t>为虚假财经新闻；M表示是否来自于权威媒体；X表示一系列控制变量。该模型形式与双重差分结构相似，根据江艇（2022）的设定，其交互项估计系数即代表媒体权威性在新闻虚假性对异常收益率影响中的调节作用，估计系数即为</w:t>
      </w:r>
      <m:oMath>
        <m:sSub>
          <m:sSubPr>
            <m:ctrlPr>
              <w:rPr>
                <w:rFonts w:ascii="Cambria Math" w:hAnsi="Cambria Math" w:eastAsia="宋体" w:cs="Times New Roman"/>
                <w:i/>
                <w:sz w:val="21"/>
                <w:szCs w:val="21"/>
              </w:rPr>
            </m:ctrlPr>
          </m:sSubPr>
          <m:e>
            <m:r>
              <m:rPr/>
              <w:rPr>
                <w:rFonts w:ascii="Cambria Math" w:hAnsi="Cambria Math" w:eastAsia="宋体" w:cs="Times New Roman"/>
                <w:sz w:val="21"/>
                <w:szCs w:val="21"/>
              </w:rPr>
              <m:t>β</m:t>
            </m:r>
            <m:ctrlPr>
              <w:rPr>
                <w:rFonts w:ascii="Cambria Math" w:hAnsi="Cambria Math" w:eastAsia="宋体" w:cs="Times New Roman"/>
                <w:i/>
                <w:sz w:val="21"/>
                <w:szCs w:val="21"/>
              </w:rPr>
            </m:ctrlPr>
          </m:e>
          <m:sub>
            <m:r>
              <m:rPr/>
              <w:rPr>
                <w:rFonts w:ascii="Cambria Math" w:hAnsi="Cambria Math" w:eastAsia="宋体" w:cs="Times New Roman"/>
                <w:sz w:val="21"/>
                <w:szCs w:val="21"/>
              </w:rPr>
              <m:t>3</m:t>
            </m:r>
            <m:ctrlPr>
              <w:rPr>
                <w:rFonts w:ascii="Cambria Math" w:hAnsi="Cambria Math" w:eastAsia="宋体" w:cs="Times New Roman"/>
                <w:i/>
                <w:sz w:val="21"/>
                <w:szCs w:val="21"/>
              </w:rPr>
            </m:ctrlPr>
          </m:sub>
        </m:sSub>
      </m:oMath>
      <w:r>
        <w:rPr>
          <w:rFonts w:hint="eastAsia" w:ascii="宋体" w:hAnsi="宋体" w:eastAsia="宋体" w:cs="Times New Roman"/>
          <w:sz w:val="21"/>
          <w:szCs w:val="21"/>
        </w:rPr>
        <w:t>。所得回归结果如表8所示。</w:t>
      </w:r>
    </w:p>
    <w:tbl>
      <w:tblPr>
        <w:tblStyle w:val="22"/>
        <w:tblW w:w="4953" w:type="pct"/>
        <w:tblInd w:w="0" w:type="dxa"/>
        <w:tblLayout w:type="autofit"/>
        <w:tblCellMar>
          <w:top w:w="0" w:type="dxa"/>
          <w:left w:w="0" w:type="dxa"/>
          <w:bottom w:w="0" w:type="dxa"/>
          <w:right w:w="0" w:type="dxa"/>
        </w:tblCellMar>
      </w:tblPr>
      <w:tblGrid>
        <w:gridCol w:w="1622"/>
        <w:gridCol w:w="946"/>
        <w:gridCol w:w="498"/>
        <w:gridCol w:w="717"/>
        <w:gridCol w:w="643"/>
        <w:gridCol w:w="1083"/>
        <w:gridCol w:w="1086"/>
        <w:gridCol w:w="1083"/>
        <w:gridCol w:w="1083"/>
      </w:tblGrid>
      <w:tr w14:paraId="73C6D3A7">
        <w:tblPrEx>
          <w:tblCellMar>
            <w:top w:w="0" w:type="dxa"/>
            <w:left w:w="0" w:type="dxa"/>
            <w:bottom w:w="0" w:type="dxa"/>
            <w:right w:w="0" w:type="dxa"/>
          </w:tblCellMar>
        </w:tblPrEx>
        <w:trPr>
          <w:trHeight w:val="567" w:hRule="exact"/>
        </w:trPr>
        <w:tc>
          <w:tcPr>
            <w:tcW w:w="5000" w:type="pct"/>
            <w:gridSpan w:val="9"/>
            <w:tcBorders>
              <w:bottom w:val="single" w:color="000000" w:sz="6" w:space="0"/>
            </w:tcBorders>
          </w:tcPr>
          <w:p w14:paraId="67E5BE6A">
            <w:pPr>
              <w:pStyle w:val="53"/>
              <w:spacing w:before="53" w:line="240" w:lineRule="auto"/>
              <w:jc w:val="center"/>
              <w:rPr>
                <w:rFonts w:eastAsia="宋体"/>
                <w:spacing w:val="-4"/>
                <w:sz w:val="18"/>
                <w:szCs w:val="18"/>
              </w:rPr>
            </w:pPr>
            <w:r>
              <w:rPr>
                <w:rFonts w:hint="eastAsia" w:eastAsia="宋体"/>
                <w:spacing w:val="-4"/>
                <w:sz w:val="18"/>
                <w:szCs w:val="18"/>
              </w:rPr>
              <w:t>表8 异质性分析</w:t>
            </w:r>
          </w:p>
        </w:tc>
      </w:tr>
      <w:tr w14:paraId="56D3887C">
        <w:tblPrEx>
          <w:tblCellMar>
            <w:top w:w="0" w:type="dxa"/>
            <w:left w:w="0" w:type="dxa"/>
            <w:bottom w:w="0" w:type="dxa"/>
            <w:right w:w="0" w:type="dxa"/>
          </w:tblCellMar>
        </w:tblPrEx>
        <w:trPr>
          <w:trHeight w:val="567" w:hRule="exact"/>
        </w:trPr>
        <w:tc>
          <w:tcPr>
            <w:tcW w:w="926" w:type="pct"/>
            <w:tcBorders>
              <w:bottom w:val="single" w:color="000000" w:sz="6" w:space="0"/>
            </w:tcBorders>
          </w:tcPr>
          <w:p w14:paraId="2DB2A422">
            <w:pPr>
              <w:pStyle w:val="53"/>
              <w:spacing w:before="0" w:line="240" w:lineRule="auto"/>
              <w:rPr>
                <w:sz w:val="18"/>
                <w:szCs w:val="18"/>
              </w:rPr>
            </w:pPr>
          </w:p>
        </w:tc>
        <w:tc>
          <w:tcPr>
            <w:tcW w:w="1600" w:type="pct"/>
            <w:gridSpan w:val="4"/>
            <w:tcBorders>
              <w:bottom w:val="single" w:color="000000" w:sz="6" w:space="0"/>
            </w:tcBorders>
          </w:tcPr>
          <w:p w14:paraId="394F6692">
            <w:pPr>
              <w:pStyle w:val="53"/>
              <w:spacing w:before="55" w:line="240" w:lineRule="auto"/>
              <w:ind w:left="102"/>
              <w:jc w:val="center"/>
              <w:rPr>
                <w:spacing w:val="-2"/>
                <w:sz w:val="18"/>
                <w:szCs w:val="18"/>
              </w:rPr>
            </w:pPr>
            <w:r>
              <w:rPr>
                <w:rFonts w:hint="eastAsia" w:eastAsia="宋体"/>
                <w:spacing w:val="-4"/>
                <w:sz w:val="18"/>
                <w:szCs w:val="18"/>
              </w:rPr>
              <w:t>异质性分析</w:t>
            </w:r>
          </w:p>
        </w:tc>
        <w:tc>
          <w:tcPr>
            <w:tcW w:w="2474" w:type="pct"/>
            <w:gridSpan w:val="4"/>
            <w:tcBorders>
              <w:bottom w:val="single" w:color="000000" w:sz="6" w:space="0"/>
            </w:tcBorders>
            <w:shd w:val="clear" w:color="auto" w:fill="auto"/>
          </w:tcPr>
          <w:p w14:paraId="361ECE0D">
            <w:pPr>
              <w:pStyle w:val="53"/>
              <w:spacing w:before="53" w:line="240" w:lineRule="auto"/>
              <w:jc w:val="center"/>
              <w:rPr>
                <w:sz w:val="18"/>
                <w:szCs w:val="18"/>
              </w:rPr>
            </w:pPr>
            <w:r>
              <w:rPr>
                <w:rFonts w:hint="eastAsia" w:eastAsia="宋体"/>
                <w:spacing w:val="-4"/>
                <w:sz w:val="18"/>
                <w:szCs w:val="18"/>
              </w:rPr>
              <w:t>分组双重差分</w:t>
            </w:r>
          </w:p>
        </w:tc>
      </w:tr>
      <w:tr w14:paraId="7F2DB28E">
        <w:tblPrEx>
          <w:tblCellMar>
            <w:top w:w="0" w:type="dxa"/>
            <w:left w:w="0" w:type="dxa"/>
            <w:bottom w:w="0" w:type="dxa"/>
            <w:right w:w="0" w:type="dxa"/>
          </w:tblCellMar>
        </w:tblPrEx>
        <w:trPr>
          <w:trHeight w:val="567" w:hRule="exact"/>
        </w:trPr>
        <w:tc>
          <w:tcPr>
            <w:tcW w:w="926" w:type="pct"/>
            <w:tcBorders>
              <w:bottom w:val="single" w:color="000000" w:sz="6" w:space="0"/>
            </w:tcBorders>
          </w:tcPr>
          <w:p w14:paraId="0C27ECFE">
            <w:pPr>
              <w:pStyle w:val="53"/>
              <w:spacing w:before="0" w:line="240" w:lineRule="auto"/>
              <w:rPr>
                <w:sz w:val="18"/>
                <w:szCs w:val="18"/>
              </w:rPr>
            </w:pPr>
          </w:p>
        </w:tc>
        <w:tc>
          <w:tcPr>
            <w:tcW w:w="824" w:type="pct"/>
            <w:gridSpan w:val="2"/>
            <w:tcBorders>
              <w:top w:val="single" w:color="000000" w:sz="4" w:space="0"/>
              <w:bottom w:val="single" w:color="000000" w:sz="6" w:space="0"/>
            </w:tcBorders>
          </w:tcPr>
          <w:p w14:paraId="72BB8DFC">
            <w:pPr>
              <w:pStyle w:val="53"/>
              <w:spacing w:before="55" w:line="240" w:lineRule="auto"/>
              <w:ind w:left="103"/>
              <w:jc w:val="center"/>
              <w:rPr>
                <w:sz w:val="18"/>
                <w:szCs w:val="18"/>
              </w:rPr>
            </w:pPr>
            <w:r>
              <w:rPr>
                <w:rFonts w:hint="eastAsia" w:eastAsia="宋体"/>
                <w:spacing w:val="-4"/>
                <w:sz w:val="18"/>
                <w:szCs w:val="18"/>
              </w:rPr>
              <w:t>含控制变量</w:t>
            </w:r>
          </w:p>
        </w:tc>
        <w:tc>
          <w:tcPr>
            <w:tcW w:w="776" w:type="pct"/>
            <w:gridSpan w:val="2"/>
            <w:tcBorders>
              <w:top w:val="single" w:color="000000" w:sz="4" w:space="0"/>
              <w:bottom w:val="single" w:color="000000" w:sz="6" w:space="0"/>
            </w:tcBorders>
          </w:tcPr>
          <w:p w14:paraId="2042E1DA">
            <w:pPr>
              <w:pStyle w:val="53"/>
              <w:spacing w:before="55" w:line="240" w:lineRule="auto"/>
              <w:ind w:left="102"/>
              <w:jc w:val="center"/>
              <w:rPr>
                <w:spacing w:val="-2"/>
                <w:sz w:val="18"/>
                <w:szCs w:val="18"/>
              </w:rPr>
            </w:pPr>
            <w:r>
              <w:rPr>
                <w:rFonts w:hint="eastAsia" w:eastAsia="宋体"/>
                <w:spacing w:val="-4"/>
                <w:sz w:val="18"/>
                <w:szCs w:val="18"/>
              </w:rPr>
              <w:t>不含控制变量</w:t>
            </w:r>
          </w:p>
        </w:tc>
        <w:tc>
          <w:tcPr>
            <w:tcW w:w="1238" w:type="pct"/>
            <w:gridSpan w:val="2"/>
            <w:tcBorders>
              <w:bottom w:val="single" w:color="000000" w:sz="6" w:space="0"/>
            </w:tcBorders>
            <w:shd w:val="clear" w:color="auto" w:fill="auto"/>
          </w:tcPr>
          <w:p w14:paraId="40DF31DA">
            <w:pPr>
              <w:pStyle w:val="53"/>
              <w:spacing w:before="53" w:line="240" w:lineRule="auto"/>
              <w:ind w:right="11"/>
              <w:jc w:val="center"/>
              <w:rPr>
                <w:sz w:val="18"/>
                <w:szCs w:val="18"/>
              </w:rPr>
            </w:pPr>
            <w:r>
              <w:rPr>
                <w:rFonts w:hint="eastAsia" w:eastAsia="宋体"/>
                <w:spacing w:val="-4"/>
                <w:sz w:val="18"/>
                <w:szCs w:val="18"/>
              </w:rPr>
              <w:t>权威组</w:t>
            </w:r>
          </w:p>
        </w:tc>
        <w:tc>
          <w:tcPr>
            <w:tcW w:w="1236" w:type="pct"/>
            <w:gridSpan w:val="2"/>
            <w:tcBorders>
              <w:bottom w:val="single" w:color="000000" w:sz="6" w:space="0"/>
            </w:tcBorders>
            <w:shd w:val="clear" w:color="auto" w:fill="auto"/>
          </w:tcPr>
          <w:p w14:paraId="4D8840E0">
            <w:pPr>
              <w:pStyle w:val="53"/>
              <w:spacing w:before="53" w:line="240" w:lineRule="auto"/>
              <w:jc w:val="center"/>
              <w:rPr>
                <w:sz w:val="18"/>
                <w:szCs w:val="18"/>
              </w:rPr>
            </w:pPr>
            <w:r>
              <w:rPr>
                <w:rFonts w:hint="eastAsia" w:eastAsia="宋体"/>
                <w:spacing w:val="-4"/>
                <w:sz w:val="18"/>
                <w:szCs w:val="18"/>
              </w:rPr>
              <w:t>非权威组</w:t>
            </w:r>
          </w:p>
        </w:tc>
      </w:tr>
      <w:tr w14:paraId="080CD8FA">
        <w:tblPrEx>
          <w:tblCellMar>
            <w:top w:w="0" w:type="dxa"/>
            <w:left w:w="0" w:type="dxa"/>
            <w:bottom w:w="0" w:type="dxa"/>
            <w:right w:w="0" w:type="dxa"/>
          </w:tblCellMar>
        </w:tblPrEx>
        <w:trPr>
          <w:trHeight w:val="567" w:hRule="exact"/>
        </w:trPr>
        <w:tc>
          <w:tcPr>
            <w:tcW w:w="926" w:type="pct"/>
            <w:tcBorders>
              <w:bottom w:val="single" w:color="000000" w:sz="6" w:space="0"/>
            </w:tcBorders>
          </w:tcPr>
          <w:p w14:paraId="1727E1FB">
            <w:pPr>
              <w:pStyle w:val="53"/>
              <w:spacing w:before="0" w:line="240" w:lineRule="auto"/>
              <w:rPr>
                <w:sz w:val="18"/>
                <w:szCs w:val="18"/>
              </w:rPr>
            </w:pPr>
          </w:p>
        </w:tc>
        <w:tc>
          <w:tcPr>
            <w:tcW w:w="540" w:type="pct"/>
            <w:tcBorders>
              <w:top w:val="single" w:color="000000" w:sz="4" w:space="0"/>
              <w:bottom w:val="single" w:color="000000" w:sz="6" w:space="0"/>
            </w:tcBorders>
          </w:tcPr>
          <w:p w14:paraId="70151F57">
            <w:pPr>
              <w:pStyle w:val="53"/>
              <w:spacing w:before="69" w:line="240" w:lineRule="auto"/>
              <w:jc w:val="center"/>
              <w:rPr>
                <w:sz w:val="18"/>
                <w:szCs w:val="18"/>
              </w:rPr>
            </w:pPr>
            <w:r>
              <w:rPr>
                <w:spacing w:val="-4"/>
                <w:sz w:val="18"/>
                <w:szCs w:val="18"/>
              </w:rPr>
              <w:t>coef</w:t>
            </w:r>
          </w:p>
        </w:tc>
        <w:tc>
          <w:tcPr>
            <w:tcW w:w="284" w:type="pct"/>
            <w:tcBorders>
              <w:top w:val="single" w:color="000000" w:sz="4" w:space="0"/>
              <w:bottom w:val="single" w:color="000000" w:sz="6" w:space="0"/>
            </w:tcBorders>
          </w:tcPr>
          <w:p w14:paraId="75603F8B">
            <w:pPr>
              <w:pStyle w:val="53"/>
              <w:spacing w:before="55" w:line="240" w:lineRule="auto"/>
              <w:ind w:left="103"/>
              <w:jc w:val="center"/>
              <w:rPr>
                <w:rFonts w:ascii="宋体" w:eastAsia="宋体"/>
                <w:sz w:val="18"/>
                <w:szCs w:val="18"/>
              </w:rPr>
            </w:pPr>
            <w:r>
              <w:rPr>
                <w:sz w:val="18"/>
                <w:szCs w:val="18"/>
              </w:rPr>
              <w:t>p</w:t>
            </w:r>
            <w:r>
              <w:rPr>
                <w:rFonts w:ascii="宋体" w:eastAsia="宋体"/>
                <w:spacing w:val="-10"/>
                <w:sz w:val="18"/>
                <w:szCs w:val="18"/>
              </w:rPr>
              <w:t>值</w:t>
            </w:r>
          </w:p>
        </w:tc>
        <w:tc>
          <w:tcPr>
            <w:tcW w:w="409" w:type="pct"/>
            <w:tcBorders>
              <w:top w:val="single" w:color="000000" w:sz="4" w:space="0"/>
              <w:bottom w:val="single" w:color="000000" w:sz="6" w:space="0"/>
            </w:tcBorders>
          </w:tcPr>
          <w:p w14:paraId="0872A9EA">
            <w:pPr>
              <w:pStyle w:val="53"/>
              <w:spacing w:before="69" w:line="240" w:lineRule="auto"/>
              <w:ind w:right="1"/>
              <w:jc w:val="center"/>
              <w:rPr>
                <w:sz w:val="18"/>
                <w:szCs w:val="18"/>
              </w:rPr>
            </w:pPr>
            <w:r>
              <w:rPr>
                <w:spacing w:val="-4"/>
                <w:sz w:val="18"/>
                <w:szCs w:val="18"/>
              </w:rPr>
              <w:t>coef</w:t>
            </w:r>
          </w:p>
        </w:tc>
        <w:tc>
          <w:tcPr>
            <w:tcW w:w="367" w:type="pct"/>
            <w:tcBorders>
              <w:top w:val="single" w:color="000000" w:sz="4" w:space="0"/>
              <w:bottom w:val="single" w:color="000000" w:sz="6" w:space="0"/>
            </w:tcBorders>
          </w:tcPr>
          <w:p w14:paraId="31ED3792">
            <w:pPr>
              <w:pStyle w:val="53"/>
              <w:spacing w:before="55" w:line="240" w:lineRule="auto"/>
              <w:ind w:left="102"/>
              <w:jc w:val="center"/>
              <w:rPr>
                <w:rFonts w:ascii="宋体" w:eastAsia="宋体"/>
                <w:sz w:val="18"/>
                <w:szCs w:val="18"/>
              </w:rPr>
            </w:pPr>
            <w:r>
              <w:rPr>
                <w:spacing w:val="-2"/>
                <w:sz w:val="18"/>
                <w:szCs w:val="18"/>
              </w:rPr>
              <w:t>p</w:t>
            </w:r>
            <w:r>
              <w:rPr>
                <w:rFonts w:ascii="宋体" w:eastAsia="宋体"/>
                <w:spacing w:val="-10"/>
                <w:sz w:val="18"/>
                <w:szCs w:val="18"/>
              </w:rPr>
              <w:t>值</w:t>
            </w:r>
          </w:p>
        </w:tc>
        <w:tc>
          <w:tcPr>
            <w:tcW w:w="618" w:type="pct"/>
            <w:tcBorders>
              <w:bottom w:val="single" w:color="000000" w:sz="6" w:space="0"/>
            </w:tcBorders>
            <w:shd w:val="clear" w:color="auto" w:fill="auto"/>
          </w:tcPr>
          <w:p w14:paraId="7479B367">
            <w:pPr>
              <w:pStyle w:val="53"/>
              <w:spacing w:before="67" w:line="240" w:lineRule="auto"/>
              <w:ind w:left="397"/>
              <w:rPr>
                <w:sz w:val="18"/>
                <w:szCs w:val="18"/>
              </w:rPr>
            </w:pPr>
            <w:r>
              <w:rPr>
                <w:spacing w:val="-4"/>
                <w:sz w:val="18"/>
                <w:szCs w:val="18"/>
              </w:rPr>
              <w:t>coef</w:t>
            </w:r>
          </w:p>
        </w:tc>
        <w:tc>
          <w:tcPr>
            <w:tcW w:w="620" w:type="pct"/>
            <w:tcBorders>
              <w:bottom w:val="single" w:color="000000" w:sz="6" w:space="0"/>
            </w:tcBorders>
            <w:shd w:val="clear" w:color="auto" w:fill="auto"/>
          </w:tcPr>
          <w:p w14:paraId="7BE46EAD">
            <w:pPr>
              <w:pStyle w:val="53"/>
              <w:spacing w:before="53" w:line="240" w:lineRule="auto"/>
              <w:ind w:right="11"/>
              <w:jc w:val="center"/>
              <w:rPr>
                <w:rFonts w:ascii="宋体" w:eastAsia="宋体"/>
                <w:sz w:val="18"/>
                <w:szCs w:val="18"/>
              </w:rPr>
            </w:pPr>
            <w:r>
              <w:rPr>
                <w:sz w:val="18"/>
                <w:szCs w:val="18"/>
              </w:rPr>
              <w:t>p</w:t>
            </w:r>
            <w:r>
              <w:rPr>
                <w:rFonts w:ascii="宋体" w:eastAsia="宋体"/>
                <w:spacing w:val="-10"/>
                <w:sz w:val="18"/>
                <w:szCs w:val="18"/>
              </w:rPr>
              <w:t>值</w:t>
            </w:r>
          </w:p>
        </w:tc>
        <w:tc>
          <w:tcPr>
            <w:tcW w:w="618" w:type="pct"/>
            <w:tcBorders>
              <w:bottom w:val="single" w:color="000000" w:sz="6" w:space="0"/>
            </w:tcBorders>
            <w:shd w:val="clear" w:color="auto" w:fill="auto"/>
          </w:tcPr>
          <w:p w14:paraId="0576D139">
            <w:pPr>
              <w:pStyle w:val="53"/>
              <w:spacing w:before="67" w:line="240" w:lineRule="auto"/>
              <w:ind w:left="397"/>
              <w:rPr>
                <w:sz w:val="18"/>
                <w:szCs w:val="18"/>
              </w:rPr>
            </w:pPr>
            <w:r>
              <w:rPr>
                <w:spacing w:val="-4"/>
                <w:sz w:val="18"/>
                <w:szCs w:val="18"/>
              </w:rPr>
              <w:t>coef</w:t>
            </w:r>
          </w:p>
        </w:tc>
        <w:tc>
          <w:tcPr>
            <w:tcW w:w="618" w:type="pct"/>
            <w:tcBorders>
              <w:bottom w:val="single" w:color="000000" w:sz="6" w:space="0"/>
            </w:tcBorders>
            <w:shd w:val="clear" w:color="auto" w:fill="auto"/>
          </w:tcPr>
          <w:p w14:paraId="3A451A40">
            <w:pPr>
              <w:pStyle w:val="53"/>
              <w:spacing w:before="53" w:line="240" w:lineRule="auto"/>
              <w:jc w:val="center"/>
              <w:rPr>
                <w:rFonts w:ascii="宋体" w:eastAsia="宋体"/>
                <w:sz w:val="18"/>
                <w:szCs w:val="18"/>
              </w:rPr>
            </w:pPr>
            <w:r>
              <w:rPr>
                <w:sz w:val="18"/>
                <w:szCs w:val="18"/>
              </w:rPr>
              <w:t>p</w:t>
            </w:r>
            <w:r>
              <w:rPr>
                <w:rFonts w:ascii="宋体" w:eastAsia="宋体"/>
                <w:spacing w:val="-10"/>
                <w:sz w:val="18"/>
                <w:szCs w:val="18"/>
              </w:rPr>
              <w:t>值</w:t>
            </w:r>
          </w:p>
        </w:tc>
      </w:tr>
      <w:tr w14:paraId="1CCF85A9">
        <w:tblPrEx>
          <w:tblCellMar>
            <w:top w:w="0" w:type="dxa"/>
            <w:left w:w="0" w:type="dxa"/>
            <w:bottom w:w="0" w:type="dxa"/>
            <w:right w:w="0" w:type="dxa"/>
          </w:tblCellMar>
        </w:tblPrEx>
        <w:trPr>
          <w:trHeight w:val="561" w:hRule="exact"/>
        </w:trPr>
        <w:tc>
          <w:tcPr>
            <w:tcW w:w="926" w:type="pct"/>
            <w:tcBorders>
              <w:top w:val="single" w:color="000000" w:sz="6" w:space="0"/>
            </w:tcBorders>
          </w:tcPr>
          <w:p w14:paraId="6FECAC7C">
            <w:pPr>
              <w:pStyle w:val="53"/>
              <w:spacing w:before="69" w:line="240" w:lineRule="auto"/>
              <w:ind w:left="119"/>
              <w:rPr>
                <w:sz w:val="18"/>
                <w:szCs w:val="18"/>
              </w:rPr>
            </w:pPr>
            <w:r>
              <w:rPr>
                <w:spacing w:val="-2"/>
                <w:sz w:val="18"/>
                <w:szCs w:val="18"/>
              </w:rPr>
              <w:t>Intercept</w:t>
            </w:r>
          </w:p>
        </w:tc>
        <w:tc>
          <w:tcPr>
            <w:tcW w:w="540" w:type="pct"/>
            <w:tcBorders>
              <w:top w:val="single" w:color="000000" w:sz="6" w:space="0"/>
            </w:tcBorders>
          </w:tcPr>
          <w:p w14:paraId="65A1FDB1">
            <w:pPr>
              <w:pStyle w:val="53"/>
              <w:spacing w:before="69" w:line="240" w:lineRule="auto"/>
              <w:jc w:val="center"/>
              <w:rPr>
                <w:sz w:val="18"/>
                <w:szCs w:val="18"/>
              </w:rPr>
            </w:pPr>
            <w:r>
              <w:rPr>
                <w:sz w:val="18"/>
                <w:szCs w:val="18"/>
              </w:rPr>
              <w:t>-</w:t>
            </w:r>
            <w:r>
              <w:rPr>
                <w:spacing w:val="-2"/>
                <w:sz w:val="18"/>
                <w:szCs w:val="18"/>
              </w:rPr>
              <w:t>0.0129</w:t>
            </w:r>
          </w:p>
        </w:tc>
        <w:tc>
          <w:tcPr>
            <w:tcW w:w="284" w:type="pct"/>
            <w:tcBorders>
              <w:top w:val="single" w:color="000000" w:sz="6" w:space="0"/>
            </w:tcBorders>
          </w:tcPr>
          <w:p w14:paraId="128E57D4">
            <w:pPr>
              <w:pStyle w:val="53"/>
              <w:spacing w:before="69" w:line="240" w:lineRule="auto"/>
              <w:ind w:left="103"/>
              <w:jc w:val="center"/>
              <w:rPr>
                <w:sz w:val="18"/>
                <w:szCs w:val="18"/>
              </w:rPr>
            </w:pPr>
            <w:r>
              <w:rPr>
                <w:spacing w:val="-2"/>
                <w:sz w:val="18"/>
                <w:szCs w:val="18"/>
              </w:rPr>
              <w:t>0.958</w:t>
            </w:r>
          </w:p>
        </w:tc>
        <w:tc>
          <w:tcPr>
            <w:tcW w:w="409" w:type="pct"/>
            <w:tcBorders>
              <w:top w:val="single" w:color="000000" w:sz="6" w:space="0"/>
            </w:tcBorders>
          </w:tcPr>
          <w:p w14:paraId="79CC2266">
            <w:pPr>
              <w:pStyle w:val="53"/>
              <w:spacing w:before="69" w:line="240" w:lineRule="auto"/>
              <w:ind w:right="1"/>
              <w:jc w:val="center"/>
              <w:rPr>
                <w:sz w:val="18"/>
                <w:szCs w:val="18"/>
              </w:rPr>
            </w:pPr>
            <w:r>
              <w:rPr>
                <w:sz w:val="18"/>
                <w:szCs w:val="18"/>
              </w:rPr>
              <w:t>-</w:t>
            </w:r>
            <w:r>
              <w:rPr>
                <w:spacing w:val="-2"/>
                <w:sz w:val="18"/>
                <w:szCs w:val="18"/>
              </w:rPr>
              <w:t>0.0065</w:t>
            </w:r>
          </w:p>
        </w:tc>
        <w:tc>
          <w:tcPr>
            <w:tcW w:w="367" w:type="pct"/>
            <w:tcBorders>
              <w:top w:val="single" w:color="000000" w:sz="6" w:space="0"/>
            </w:tcBorders>
          </w:tcPr>
          <w:p w14:paraId="2750A0B6">
            <w:pPr>
              <w:pStyle w:val="53"/>
              <w:spacing w:before="69" w:line="240" w:lineRule="auto"/>
              <w:ind w:left="102"/>
              <w:jc w:val="center"/>
              <w:rPr>
                <w:sz w:val="18"/>
                <w:szCs w:val="18"/>
              </w:rPr>
            </w:pPr>
            <w:r>
              <w:rPr>
                <w:spacing w:val="-2"/>
                <w:sz w:val="18"/>
                <w:szCs w:val="18"/>
              </w:rPr>
              <w:t>0.505</w:t>
            </w:r>
          </w:p>
        </w:tc>
        <w:tc>
          <w:tcPr>
            <w:tcW w:w="618" w:type="pct"/>
            <w:tcBorders>
              <w:top w:val="single" w:color="000000" w:sz="6" w:space="0"/>
            </w:tcBorders>
            <w:shd w:val="clear" w:color="auto" w:fill="auto"/>
          </w:tcPr>
          <w:p w14:paraId="5B32311E">
            <w:pPr>
              <w:pStyle w:val="53"/>
              <w:spacing w:before="69" w:line="240" w:lineRule="auto"/>
              <w:ind w:left="289"/>
              <w:rPr>
                <w:sz w:val="18"/>
                <w:szCs w:val="18"/>
              </w:rPr>
            </w:pPr>
            <w:r>
              <w:rPr>
                <w:spacing w:val="-2"/>
                <w:sz w:val="18"/>
                <w:szCs w:val="18"/>
              </w:rPr>
              <w:t>0.0102</w:t>
            </w:r>
          </w:p>
        </w:tc>
        <w:tc>
          <w:tcPr>
            <w:tcW w:w="620" w:type="pct"/>
            <w:tcBorders>
              <w:top w:val="single" w:color="000000" w:sz="6" w:space="0"/>
            </w:tcBorders>
            <w:shd w:val="clear" w:color="auto" w:fill="auto"/>
          </w:tcPr>
          <w:p w14:paraId="2F934549">
            <w:pPr>
              <w:pStyle w:val="53"/>
              <w:spacing w:before="69" w:line="240" w:lineRule="auto"/>
              <w:ind w:right="11"/>
              <w:jc w:val="center"/>
              <w:rPr>
                <w:sz w:val="18"/>
                <w:szCs w:val="18"/>
              </w:rPr>
            </w:pPr>
            <w:r>
              <w:rPr>
                <w:spacing w:val="-2"/>
                <w:sz w:val="18"/>
                <w:szCs w:val="18"/>
              </w:rPr>
              <w:t>0.629</w:t>
            </w:r>
          </w:p>
        </w:tc>
        <w:tc>
          <w:tcPr>
            <w:tcW w:w="618" w:type="pct"/>
            <w:tcBorders>
              <w:top w:val="single" w:color="000000" w:sz="6" w:space="0"/>
            </w:tcBorders>
            <w:shd w:val="clear" w:color="auto" w:fill="auto"/>
          </w:tcPr>
          <w:p w14:paraId="3FD5BEE3">
            <w:pPr>
              <w:pStyle w:val="53"/>
              <w:spacing w:before="69" w:line="240" w:lineRule="auto"/>
              <w:ind w:left="254"/>
              <w:rPr>
                <w:sz w:val="18"/>
                <w:szCs w:val="18"/>
              </w:rPr>
            </w:pPr>
            <w:r>
              <w:rPr>
                <w:sz w:val="18"/>
                <w:szCs w:val="18"/>
              </w:rPr>
              <w:t>-</w:t>
            </w:r>
            <w:r>
              <w:rPr>
                <w:spacing w:val="-2"/>
                <w:sz w:val="18"/>
                <w:szCs w:val="18"/>
              </w:rPr>
              <w:t>0.0180</w:t>
            </w:r>
          </w:p>
        </w:tc>
        <w:tc>
          <w:tcPr>
            <w:tcW w:w="618" w:type="pct"/>
            <w:tcBorders>
              <w:top w:val="single" w:color="000000" w:sz="6" w:space="0"/>
            </w:tcBorders>
            <w:shd w:val="clear" w:color="auto" w:fill="auto"/>
          </w:tcPr>
          <w:p w14:paraId="0608DB3E">
            <w:pPr>
              <w:pStyle w:val="53"/>
              <w:spacing w:before="69" w:line="240" w:lineRule="auto"/>
              <w:jc w:val="center"/>
              <w:rPr>
                <w:sz w:val="18"/>
                <w:szCs w:val="18"/>
              </w:rPr>
            </w:pPr>
            <w:r>
              <w:rPr>
                <w:spacing w:val="-2"/>
                <w:sz w:val="18"/>
                <w:szCs w:val="18"/>
              </w:rPr>
              <w:t>0.353</w:t>
            </w:r>
          </w:p>
        </w:tc>
      </w:tr>
      <w:tr w14:paraId="5F949415">
        <w:tblPrEx>
          <w:tblCellMar>
            <w:top w:w="0" w:type="dxa"/>
            <w:left w:w="0" w:type="dxa"/>
            <w:bottom w:w="0" w:type="dxa"/>
            <w:right w:w="0" w:type="dxa"/>
          </w:tblCellMar>
        </w:tblPrEx>
        <w:trPr>
          <w:trHeight w:val="510" w:hRule="exact"/>
        </w:trPr>
        <w:tc>
          <w:tcPr>
            <w:tcW w:w="926" w:type="pct"/>
          </w:tcPr>
          <w:p w14:paraId="60475758">
            <w:pPr>
              <w:pStyle w:val="53"/>
              <w:spacing w:line="240" w:lineRule="auto"/>
              <w:ind w:left="119"/>
              <w:rPr>
                <w:sz w:val="18"/>
                <w:szCs w:val="18"/>
              </w:rPr>
            </w:pPr>
            <w:r>
              <w:rPr>
                <w:spacing w:val="-2"/>
                <w:sz w:val="18"/>
                <w:szCs w:val="18"/>
              </w:rPr>
              <w:t>truth</w:t>
            </w:r>
          </w:p>
        </w:tc>
        <w:tc>
          <w:tcPr>
            <w:tcW w:w="540" w:type="pct"/>
          </w:tcPr>
          <w:p w14:paraId="2BEEB897">
            <w:pPr>
              <w:pStyle w:val="53"/>
              <w:spacing w:line="240" w:lineRule="auto"/>
              <w:jc w:val="center"/>
              <w:rPr>
                <w:sz w:val="18"/>
                <w:szCs w:val="18"/>
              </w:rPr>
            </w:pPr>
            <w:r>
              <w:rPr>
                <w:sz w:val="18"/>
                <w:szCs w:val="18"/>
              </w:rPr>
              <w:t>-</w:t>
            </w:r>
            <w:r>
              <w:rPr>
                <w:spacing w:val="-2"/>
                <w:sz w:val="18"/>
                <w:szCs w:val="18"/>
              </w:rPr>
              <w:t>0.0225</w:t>
            </w:r>
          </w:p>
        </w:tc>
        <w:tc>
          <w:tcPr>
            <w:tcW w:w="284" w:type="pct"/>
          </w:tcPr>
          <w:p w14:paraId="002C48BC">
            <w:pPr>
              <w:pStyle w:val="53"/>
              <w:spacing w:line="240" w:lineRule="auto"/>
              <w:ind w:left="103"/>
              <w:jc w:val="center"/>
              <w:rPr>
                <w:sz w:val="18"/>
                <w:szCs w:val="18"/>
              </w:rPr>
            </w:pPr>
            <w:r>
              <w:rPr>
                <w:spacing w:val="-2"/>
                <w:sz w:val="18"/>
                <w:szCs w:val="18"/>
              </w:rPr>
              <w:t>0.077</w:t>
            </w:r>
          </w:p>
        </w:tc>
        <w:tc>
          <w:tcPr>
            <w:tcW w:w="409" w:type="pct"/>
          </w:tcPr>
          <w:p w14:paraId="3DEEF989">
            <w:pPr>
              <w:pStyle w:val="53"/>
              <w:spacing w:line="240" w:lineRule="auto"/>
              <w:ind w:right="1"/>
              <w:jc w:val="center"/>
              <w:rPr>
                <w:sz w:val="18"/>
                <w:szCs w:val="18"/>
              </w:rPr>
            </w:pPr>
            <w:r>
              <w:rPr>
                <w:sz w:val="18"/>
                <w:szCs w:val="18"/>
              </w:rPr>
              <w:t>-</w:t>
            </w:r>
            <w:r>
              <w:rPr>
                <w:spacing w:val="-2"/>
                <w:sz w:val="18"/>
                <w:szCs w:val="18"/>
              </w:rPr>
              <w:t>0.0246</w:t>
            </w:r>
          </w:p>
        </w:tc>
        <w:tc>
          <w:tcPr>
            <w:tcW w:w="367" w:type="pct"/>
          </w:tcPr>
          <w:p w14:paraId="13E7E12E">
            <w:pPr>
              <w:pStyle w:val="53"/>
              <w:spacing w:line="240" w:lineRule="auto"/>
              <w:ind w:left="102"/>
              <w:jc w:val="center"/>
              <w:rPr>
                <w:sz w:val="18"/>
                <w:szCs w:val="18"/>
              </w:rPr>
            </w:pPr>
            <w:r>
              <w:rPr>
                <w:spacing w:val="-2"/>
                <w:sz w:val="18"/>
                <w:szCs w:val="18"/>
              </w:rPr>
              <w:t>0.052</w:t>
            </w:r>
          </w:p>
        </w:tc>
        <w:tc>
          <w:tcPr>
            <w:tcW w:w="618" w:type="pct"/>
            <w:shd w:val="clear" w:color="auto" w:fill="auto"/>
          </w:tcPr>
          <w:p w14:paraId="41B64C7F">
            <w:pPr>
              <w:pStyle w:val="53"/>
              <w:spacing w:line="240" w:lineRule="auto"/>
              <w:ind w:left="289"/>
              <w:rPr>
                <w:sz w:val="18"/>
                <w:szCs w:val="18"/>
              </w:rPr>
            </w:pPr>
            <w:r>
              <w:rPr>
                <w:spacing w:val="-2"/>
                <w:sz w:val="18"/>
                <w:szCs w:val="18"/>
              </w:rPr>
              <w:t>0.0044</w:t>
            </w:r>
          </w:p>
        </w:tc>
        <w:tc>
          <w:tcPr>
            <w:tcW w:w="620" w:type="pct"/>
            <w:shd w:val="clear" w:color="auto" w:fill="auto"/>
          </w:tcPr>
          <w:p w14:paraId="09A1731D">
            <w:pPr>
              <w:pStyle w:val="53"/>
              <w:spacing w:line="240" w:lineRule="auto"/>
              <w:ind w:right="11"/>
              <w:jc w:val="center"/>
              <w:rPr>
                <w:sz w:val="18"/>
                <w:szCs w:val="18"/>
              </w:rPr>
            </w:pPr>
            <w:r>
              <w:rPr>
                <w:spacing w:val="-2"/>
                <w:sz w:val="18"/>
                <w:szCs w:val="18"/>
              </w:rPr>
              <w:t>0.0001</w:t>
            </w:r>
          </w:p>
        </w:tc>
        <w:tc>
          <w:tcPr>
            <w:tcW w:w="618" w:type="pct"/>
            <w:shd w:val="clear" w:color="auto" w:fill="auto"/>
          </w:tcPr>
          <w:p w14:paraId="11C9E43F">
            <w:pPr>
              <w:pStyle w:val="53"/>
              <w:spacing w:line="240" w:lineRule="auto"/>
              <w:ind w:left="254"/>
              <w:rPr>
                <w:sz w:val="18"/>
                <w:szCs w:val="18"/>
              </w:rPr>
            </w:pPr>
            <w:r>
              <w:rPr>
                <w:sz w:val="18"/>
                <w:szCs w:val="18"/>
              </w:rPr>
              <w:t>-</w:t>
            </w:r>
            <w:r>
              <w:rPr>
                <w:spacing w:val="-2"/>
                <w:sz w:val="18"/>
                <w:szCs w:val="18"/>
              </w:rPr>
              <w:t>0.0016</w:t>
            </w:r>
          </w:p>
        </w:tc>
        <w:tc>
          <w:tcPr>
            <w:tcW w:w="618" w:type="pct"/>
            <w:shd w:val="clear" w:color="auto" w:fill="auto"/>
          </w:tcPr>
          <w:p w14:paraId="09460E05">
            <w:pPr>
              <w:pStyle w:val="53"/>
              <w:spacing w:line="240" w:lineRule="auto"/>
              <w:jc w:val="center"/>
              <w:rPr>
                <w:sz w:val="18"/>
                <w:szCs w:val="18"/>
              </w:rPr>
            </w:pPr>
            <w:r>
              <w:rPr>
                <w:spacing w:val="-2"/>
                <w:sz w:val="18"/>
                <w:szCs w:val="18"/>
              </w:rPr>
              <w:t>0.152</w:t>
            </w:r>
          </w:p>
        </w:tc>
      </w:tr>
      <w:tr w14:paraId="4A8D8B38">
        <w:tblPrEx>
          <w:tblCellMar>
            <w:top w:w="0" w:type="dxa"/>
            <w:left w:w="0" w:type="dxa"/>
            <w:bottom w:w="0" w:type="dxa"/>
            <w:right w:w="0" w:type="dxa"/>
          </w:tblCellMar>
        </w:tblPrEx>
        <w:trPr>
          <w:trHeight w:val="510" w:hRule="exact"/>
        </w:trPr>
        <w:tc>
          <w:tcPr>
            <w:tcW w:w="926" w:type="pct"/>
          </w:tcPr>
          <w:p w14:paraId="6201C14B">
            <w:pPr>
              <w:pStyle w:val="53"/>
              <w:spacing w:line="240" w:lineRule="auto"/>
              <w:ind w:left="119"/>
              <w:rPr>
                <w:sz w:val="18"/>
                <w:szCs w:val="18"/>
              </w:rPr>
            </w:pPr>
            <w:r>
              <w:rPr>
                <w:spacing w:val="-2"/>
                <w:sz w:val="18"/>
                <w:szCs w:val="18"/>
              </w:rPr>
              <w:t>authoritative</w:t>
            </w:r>
          </w:p>
        </w:tc>
        <w:tc>
          <w:tcPr>
            <w:tcW w:w="540" w:type="pct"/>
          </w:tcPr>
          <w:p w14:paraId="78614803">
            <w:pPr>
              <w:pStyle w:val="53"/>
              <w:spacing w:line="240" w:lineRule="auto"/>
              <w:jc w:val="center"/>
              <w:rPr>
                <w:sz w:val="18"/>
                <w:szCs w:val="18"/>
              </w:rPr>
            </w:pPr>
            <w:r>
              <w:rPr>
                <w:sz w:val="18"/>
                <w:szCs w:val="18"/>
              </w:rPr>
              <w:t>-</w:t>
            </w:r>
            <w:r>
              <w:rPr>
                <w:spacing w:val="-2"/>
                <w:sz w:val="18"/>
                <w:szCs w:val="18"/>
              </w:rPr>
              <w:t>0.0030</w:t>
            </w:r>
          </w:p>
        </w:tc>
        <w:tc>
          <w:tcPr>
            <w:tcW w:w="284" w:type="pct"/>
          </w:tcPr>
          <w:p w14:paraId="47149F43">
            <w:pPr>
              <w:pStyle w:val="53"/>
              <w:spacing w:line="240" w:lineRule="auto"/>
              <w:ind w:left="103"/>
              <w:jc w:val="center"/>
              <w:rPr>
                <w:sz w:val="18"/>
                <w:szCs w:val="18"/>
              </w:rPr>
            </w:pPr>
            <w:r>
              <w:rPr>
                <w:spacing w:val="-2"/>
                <w:sz w:val="18"/>
                <w:szCs w:val="18"/>
              </w:rPr>
              <w:t>0.818</w:t>
            </w:r>
          </w:p>
        </w:tc>
        <w:tc>
          <w:tcPr>
            <w:tcW w:w="409" w:type="pct"/>
          </w:tcPr>
          <w:p w14:paraId="7D2EB70F">
            <w:pPr>
              <w:pStyle w:val="53"/>
              <w:spacing w:line="240" w:lineRule="auto"/>
              <w:ind w:right="1"/>
              <w:jc w:val="center"/>
              <w:rPr>
                <w:sz w:val="18"/>
                <w:szCs w:val="18"/>
              </w:rPr>
            </w:pPr>
            <w:r>
              <w:rPr>
                <w:sz w:val="18"/>
                <w:szCs w:val="18"/>
              </w:rPr>
              <w:t>-</w:t>
            </w:r>
            <w:r>
              <w:rPr>
                <w:spacing w:val="-2"/>
                <w:sz w:val="18"/>
                <w:szCs w:val="18"/>
              </w:rPr>
              <w:t>0.0034</w:t>
            </w:r>
          </w:p>
        </w:tc>
        <w:tc>
          <w:tcPr>
            <w:tcW w:w="367" w:type="pct"/>
          </w:tcPr>
          <w:p w14:paraId="0431C5F8">
            <w:pPr>
              <w:pStyle w:val="53"/>
              <w:spacing w:line="240" w:lineRule="auto"/>
              <w:ind w:left="102"/>
              <w:jc w:val="center"/>
              <w:rPr>
                <w:sz w:val="18"/>
                <w:szCs w:val="18"/>
              </w:rPr>
            </w:pPr>
            <w:r>
              <w:rPr>
                <w:spacing w:val="-2"/>
                <w:sz w:val="18"/>
                <w:szCs w:val="18"/>
              </w:rPr>
              <w:t>0.793</w:t>
            </w:r>
          </w:p>
        </w:tc>
        <w:tc>
          <w:tcPr>
            <w:tcW w:w="618" w:type="pct"/>
            <w:shd w:val="clear" w:color="auto" w:fill="auto"/>
          </w:tcPr>
          <w:p w14:paraId="048476F7">
            <w:pPr>
              <w:pStyle w:val="53"/>
              <w:spacing w:line="240" w:lineRule="auto"/>
              <w:ind w:left="289"/>
              <w:rPr>
                <w:sz w:val="18"/>
                <w:szCs w:val="18"/>
              </w:rPr>
            </w:pPr>
            <w:r>
              <w:rPr>
                <w:spacing w:val="-2"/>
                <w:sz w:val="18"/>
                <w:szCs w:val="18"/>
              </w:rPr>
              <w:t>0.0002</w:t>
            </w:r>
          </w:p>
        </w:tc>
        <w:tc>
          <w:tcPr>
            <w:tcW w:w="620" w:type="pct"/>
            <w:shd w:val="clear" w:color="auto" w:fill="auto"/>
          </w:tcPr>
          <w:p w14:paraId="68D49A39">
            <w:pPr>
              <w:pStyle w:val="53"/>
              <w:spacing w:line="240" w:lineRule="auto"/>
              <w:ind w:right="11"/>
              <w:jc w:val="center"/>
              <w:rPr>
                <w:sz w:val="18"/>
                <w:szCs w:val="18"/>
              </w:rPr>
            </w:pPr>
            <w:r>
              <w:rPr>
                <w:spacing w:val="-2"/>
                <w:sz w:val="18"/>
                <w:szCs w:val="18"/>
              </w:rPr>
              <w:t>0.865</w:t>
            </w:r>
          </w:p>
        </w:tc>
        <w:tc>
          <w:tcPr>
            <w:tcW w:w="618" w:type="pct"/>
            <w:shd w:val="clear" w:color="auto" w:fill="auto"/>
          </w:tcPr>
          <w:p w14:paraId="3F2D7B43">
            <w:pPr>
              <w:pStyle w:val="53"/>
              <w:spacing w:line="240" w:lineRule="auto"/>
              <w:ind w:left="254"/>
              <w:rPr>
                <w:sz w:val="18"/>
                <w:szCs w:val="18"/>
              </w:rPr>
            </w:pPr>
            <w:r>
              <w:rPr>
                <w:sz w:val="18"/>
                <w:szCs w:val="18"/>
              </w:rPr>
              <w:t>-</w:t>
            </w:r>
            <w:r>
              <w:rPr>
                <w:spacing w:val="-2"/>
                <w:sz w:val="18"/>
                <w:szCs w:val="18"/>
              </w:rPr>
              <w:t>0.0005</w:t>
            </w:r>
          </w:p>
        </w:tc>
        <w:tc>
          <w:tcPr>
            <w:tcW w:w="618" w:type="pct"/>
            <w:shd w:val="clear" w:color="auto" w:fill="auto"/>
          </w:tcPr>
          <w:p w14:paraId="4EDE8B29">
            <w:pPr>
              <w:pStyle w:val="53"/>
              <w:spacing w:line="240" w:lineRule="auto"/>
              <w:jc w:val="center"/>
              <w:rPr>
                <w:sz w:val="18"/>
                <w:szCs w:val="18"/>
              </w:rPr>
            </w:pPr>
            <w:r>
              <w:rPr>
                <w:spacing w:val="-2"/>
                <w:sz w:val="18"/>
                <w:szCs w:val="18"/>
              </w:rPr>
              <w:t>0.688</w:t>
            </w:r>
          </w:p>
        </w:tc>
      </w:tr>
      <w:tr w14:paraId="5ABFE60D">
        <w:tblPrEx>
          <w:tblCellMar>
            <w:top w:w="0" w:type="dxa"/>
            <w:left w:w="0" w:type="dxa"/>
            <w:bottom w:w="0" w:type="dxa"/>
            <w:right w:w="0" w:type="dxa"/>
          </w:tblCellMar>
        </w:tblPrEx>
        <w:trPr>
          <w:trHeight w:val="510" w:hRule="exact"/>
        </w:trPr>
        <w:tc>
          <w:tcPr>
            <w:tcW w:w="926" w:type="pct"/>
          </w:tcPr>
          <w:p w14:paraId="3322CFB1">
            <w:pPr>
              <w:pStyle w:val="53"/>
              <w:spacing w:line="240" w:lineRule="auto"/>
              <w:ind w:left="119"/>
              <w:rPr>
                <w:sz w:val="18"/>
                <w:szCs w:val="18"/>
              </w:rPr>
            </w:pPr>
            <w:r>
              <w:rPr>
                <w:sz w:val="18"/>
                <w:szCs w:val="18"/>
              </w:rPr>
              <w:t>truth:</w:t>
            </w:r>
            <w:r>
              <w:rPr>
                <w:spacing w:val="-2"/>
                <w:sz w:val="18"/>
                <w:szCs w:val="18"/>
              </w:rPr>
              <w:t>authoritative</w:t>
            </w:r>
          </w:p>
        </w:tc>
        <w:tc>
          <w:tcPr>
            <w:tcW w:w="540" w:type="pct"/>
          </w:tcPr>
          <w:p w14:paraId="598685CD">
            <w:pPr>
              <w:pStyle w:val="53"/>
              <w:spacing w:line="240" w:lineRule="auto"/>
              <w:jc w:val="center"/>
              <w:rPr>
                <w:sz w:val="18"/>
                <w:szCs w:val="18"/>
              </w:rPr>
            </w:pPr>
            <w:r>
              <w:rPr>
                <w:spacing w:val="-2"/>
                <w:sz w:val="18"/>
                <w:szCs w:val="18"/>
              </w:rPr>
              <w:t>0.0099</w:t>
            </w:r>
          </w:p>
        </w:tc>
        <w:tc>
          <w:tcPr>
            <w:tcW w:w="284" w:type="pct"/>
          </w:tcPr>
          <w:p w14:paraId="18C7F4C6">
            <w:pPr>
              <w:pStyle w:val="53"/>
              <w:spacing w:line="240" w:lineRule="auto"/>
              <w:ind w:left="103"/>
              <w:jc w:val="center"/>
              <w:rPr>
                <w:sz w:val="18"/>
                <w:szCs w:val="18"/>
              </w:rPr>
            </w:pPr>
            <w:r>
              <w:rPr>
                <w:spacing w:val="-2"/>
                <w:sz w:val="18"/>
                <w:szCs w:val="18"/>
              </w:rPr>
              <w:t>0.605</w:t>
            </w:r>
          </w:p>
        </w:tc>
        <w:tc>
          <w:tcPr>
            <w:tcW w:w="409" w:type="pct"/>
          </w:tcPr>
          <w:p w14:paraId="4A06079A">
            <w:pPr>
              <w:pStyle w:val="53"/>
              <w:spacing w:line="240" w:lineRule="auto"/>
              <w:ind w:right="1"/>
              <w:jc w:val="center"/>
              <w:rPr>
                <w:sz w:val="18"/>
                <w:szCs w:val="18"/>
              </w:rPr>
            </w:pPr>
            <w:r>
              <w:rPr>
                <w:spacing w:val="-2"/>
                <w:sz w:val="18"/>
                <w:szCs w:val="18"/>
              </w:rPr>
              <w:t>0.0122</w:t>
            </w:r>
          </w:p>
        </w:tc>
        <w:tc>
          <w:tcPr>
            <w:tcW w:w="367" w:type="pct"/>
          </w:tcPr>
          <w:p w14:paraId="645E7735">
            <w:pPr>
              <w:pStyle w:val="53"/>
              <w:spacing w:line="240" w:lineRule="auto"/>
              <w:ind w:left="102"/>
              <w:jc w:val="center"/>
              <w:rPr>
                <w:sz w:val="18"/>
                <w:szCs w:val="18"/>
              </w:rPr>
            </w:pPr>
            <w:r>
              <w:rPr>
                <w:spacing w:val="-2"/>
                <w:sz w:val="18"/>
                <w:szCs w:val="18"/>
              </w:rPr>
              <w:t>0.523</w:t>
            </w:r>
          </w:p>
        </w:tc>
        <w:tc>
          <w:tcPr>
            <w:tcW w:w="618" w:type="pct"/>
            <w:shd w:val="clear" w:color="auto" w:fill="auto"/>
          </w:tcPr>
          <w:p w14:paraId="17102B69">
            <w:pPr>
              <w:pStyle w:val="53"/>
              <w:spacing w:line="240" w:lineRule="auto"/>
              <w:ind w:left="254"/>
              <w:rPr>
                <w:sz w:val="18"/>
                <w:szCs w:val="18"/>
              </w:rPr>
            </w:pPr>
            <w:r>
              <w:rPr>
                <w:sz w:val="18"/>
                <w:szCs w:val="18"/>
              </w:rPr>
              <w:t>-</w:t>
            </w:r>
            <w:r>
              <w:rPr>
                <w:spacing w:val="-2"/>
                <w:sz w:val="18"/>
                <w:szCs w:val="18"/>
              </w:rPr>
              <w:t>0.0053</w:t>
            </w:r>
          </w:p>
        </w:tc>
        <w:tc>
          <w:tcPr>
            <w:tcW w:w="620" w:type="pct"/>
            <w:shd w:val="clear" w:color="auto" w:fill="auto"/>
          </w:tcPr>
          <w:p w14:paraId="625E17FC">
            <w:pPr>
              <w:pStyle w:val="53"/>
              <w:spacing w:line="240" w:lineRule="auto"/>
              <w:ind w:right="11"/>
              <w:jc w:val="center"/>
              <w:rPr>
                <w:sz w:val="18"/>
                <w:szCs w:val="18"/>
              </w:rPr>
            </w:pPr>
            <w:r>
              <w:rPr>
                <w:spacing w:val="-2"/>
                <w:sz w:val="18"/>
                <w:szCs w:val="18"/>
              </w:rPr>
              <w:t>0.001</w:t>
            </w:r>
          </w:p>
        </w:tc>
        <w:tc>
          <w:tcPr>
            <w:tcW w:w="618" w:type="pct"/>
            <w:shd w:val="clear" w:color="auto" w:fill="auto"/>
          </w:tcPr>
          <w:p w14:paraId="4ECB0B44">
            <w:pPr>
              <w:pStyle w:val="53"/>
              <w:spacing w:line="240" w:lineRule="auto"/>
              <w:ind w:left="254"/>
              <w:rPr>
                <w:sz w:val="18"/>
                <w:szCs w:val="18"/>
              </w:rPr>
            </w:pPr>
            <w:r>
              <w:rPr>
                <w:sz w:val="18"/>
                <w:szCs w:val="18"/>
              </w:rPr>
              <w:t>-</w:t>
            </w:r>
            <w:r>
              <w:rPr>
                <w:spacing w:val="-2"/>
                <w:sz w:val="18"/>
                <w:szCs w:val="18"/>
              </w:rPr>
              <w:t>0.0023</w:t>
            </w:r>
          </w:p>
        </w:tc>
        <w:tc>
          <w:tcPr>
            <w:tcW w:w="618" w:type="pct"/>
            <w:shd w:val="clear" w:color="auto" w:fill="auto"/>
          </w:tcPr>
          <w:p w14:paraId="5E7C1F0C">
            <w:pPr>
              <w:pStyle w:val="53"/>
              <w:spacing w:line="240" w:lineRule="auto"/>
              <w:jc w:val="center"/>
              <w:rPr>
                <w:sz w:val="18"/>
                <w:szCs w:val="18"/>
              </w:rPr>
            </w:pPr>
            <w:r>
              <w:rPr>
                <w:spacing w:val="-2"/>
                <w:sz w:val="18"/>
                <w:szCs w:val="18"/>
              </w:rPr>
              <w:t>0.129</w:t>
            </w:r>
          </w:p>
        </w:tc>
      </w:tr>
      <w:tr w14:paraId="3C939F5E">
        <w:tblPrEx>
          <w:tblCellMar>
            <w:top w:w="0" w:type="dxa"/>
            <w:left w:w="0" w:type="dxa"/>
            <w:bottom w:w="0" w:type="dxa"/>
            <w:right w:w="0" w:type="dxa"/>
          </w:tblCellMar>
        </w:tblPrEx>
        <w:trPr>
          <w:trHeight w:val="510" w:hRule="exact"/>
        </w:trPr>
        <w:tc>
          <w:tcPr>
            <w:tcW w:w="926" w:type="pct"/>
          </w:tcPr>
          <w:p w14:paraId="0EE960A2">
            <w:pPr>
              <w:pStyle w:val="53"/>
              <w:spacing w:line="240" w:lineRule="auto"/>
              <w:ind w:left="119"/>
              <w:rPr>
                <w:sz w:val="18"/>
                <w:szCs w:val="18"/>
              </w:rPr>
            </w:pPr>
            <w:r>
              <w:rPr>
                <w:spacing w:val="-5"/>
                <w:sz w:val="18"/>
                <w:szCs w:val="18"/>
              </w:rPr>
              <w:t>ARE</w:t>
            </w:r>
          </w:p>
        </w:tc>
        <w:tc>
          <w:tcPr>
            <w:tcW w:w="540" w:type="pct"/>
          </w:tcPr>
          <w:p w14:paraId="2A2CED83">
            <w:pPr>
              <w:pStyle w:val="53"/>
              <w:spacing w:line="240" w:lineRule="auto"/>
              <w:jc w:val="center"/>
              <w:rPr>
                <w:sz w:val="18"/>
                <w:szCs w:val="18"/>
              </w:rPr>
            </w:pPr>
            <w:r>
              <w:rPr>
                <w:spacing w:val="-2"/>
                <w:sz w:val="18"/>
                <w:szCs w:val="18"/>
              </w:rPr>
              <w:t>0.0004</w:t>
            </w:r>
          </w:p>
        </w:tc>
        <w:tc>
          <w:tcPr>
            <w:tcW w:w="284" w:type="pct"/>
          </w:tcPr>
          <w:p w14:paraId="18A07915">
            <w:pPr>
              <w:pStyle w:val="53"/>
              <w:spacing w:line="240" w:lineRule="auto"/>
              <w:ind w:left="103"/>
              <w:jc w:val="center"/>
              <w:rPr>
                <w:sz w:val="18"/>
                <w:szCs w:val="18"/>
              </w:rPr>
            </w:pPr>
            <w:r>
              <w:rPr>
                <w:spacing w:val="-2"/>
                <w:sz w:val="18"/>
                <w:szCs w:val="18"/>
              </w:rPr>
              <w:t>0.370</w:t>
            </w:r>
          </w:p>
        </w:tc>
        <w:tc>
          <w:tcPr>
            <w:tcW w:w="409" w:type="pct"/>
          </w:tcPr>
          <w:p w14:paraId="5F51E0D6">
            <w:pPr>
              <w:pStyle w:val="53"/>
              <w:spacing w:line="240" w:lineRule="auto"/>
              <w:ind w:right="1"/>
              <w:jc w:val="center"/>
              <w:rPr>
                <w:sz w:val="18"/>
                <w:szCs w:val="18"/>
              </w:rPr>
            </w:pPr>
            <w:r>
              <w:rPr>
                <w:spacing w:val="-10"/>
                <w:sz w:val="18"/>
                <w:szCs w:val="18"/>
              </w:rPr>
              <w:t>—</w:t>
            </w:r>
          </w:p>
        </w:tc>
        <w:tc>
          <w:tcPr>
            <w:tcW w:w="367" w:type="pct"/>
          </w:tcPr>
          <w:p w14:paraId="632B5326">
            <w:pPr>
              <w:pStyle w:val="53"/>
              <w:spacing w:line="240" w:lineRule="auto"/>
              <w:ind w:left="102"/>
              <w:jc w:val="center"/>
              <w:rPr>
                <w:sz w:val="18"/>
                <w:szCs w:val="18"/>
              </w:rPr>
            </w:pPr>
            <w:r>
              <w:rPr>
                <w:spacing w:val="-10"/>
                <w:sz w:val="18"/>
                <w:szCs w:val="18"/>
              </w:rPr>
              <w:t>—</w:t>
            </w:r>
          </w:p>
        </w:tc>
        <w:tc>
          <w:tcPr>
            <w:tcW w:w="618" w:type="pct"/>
            <w:shd w:val="clear" w:color="auto" w:fill="auto"/>
          </w:tcPr>
          <w:p w14:paraId="1021B7BE">
            <w:pPr>
              <w:pStyle w:val="53"/>
              <w:spacing w:line="240" w:lineRule="auto"/>
              <w:ind w:left="289"/>
              <w:rPr>
                <w:sz w:val="18"/>
                <w:szCs w:val="18"/>
              </w:rPr>
            </w:pPr>
            <w:r>
              <w:rPr>
                <w:spacing w:val="-2"/>
                <w:sz w:val="18"/>
                <w:szCs w:val="18"/>
              </w:rPr>
              <w:t>0.0002</w:t>
            </w:r>
          </w:p>
        </w:tc>
        <w:tc>
          <w:tcPr>
            <w:tcW w:w="620" w:type="pct"/>
            <w:shd w:val="clear" w:color="auto" w:fill="auto"/>
          </w:tcPr>
          <w:p w14:paraId="7892ACD1">
            <w:pPr>
              <w:pStyle w:val="53"/>
              <w:spacing w:line="240" w:lineRule="auto"/>
              <w:ind w:right="11"/>
              <w:jc w:val="center"/>
              <w:rPr>
                <w:sz w:val="18"/>
                <w:szCs w:val="18"/>
              </w:rPr>
            </w:pPr>
            <w:r>
              <w:rPr>
                <w:spacing w:val="-2"/>
                <w:sz w:val="18"/>
                <w:szCs w:val="18"/>
              </w:rPr>
              <w:t>0.000</w:t>
            </w:r>
          </w:p>
        </w:tc>
        <w:tc>
          <w:tcPr>
            <w:tcW w:w="618" w:type="pct"/>
            <w:shd w:val="clear" w:color="auto" w:fill="auto"/>
          </w:tcPr>
          <w:p w14:paraId="2DFCC1FE">
            <w:pPr>
              <w:pStyle w:val="53"/>
              <w:spacing w:line="240" w:lineRule="auto"/>
              <w:ind w:left="120"/>
              <w:rPr>
                <w:sz w:val="18"/>
                <w:szCs w:val="18"/>
              </w:rPr>
            </w:pPr>
            <w:r>
              <w:rPr>
                <w:sz w:val="18"/>
                <w:szCs w:val="18"/>
              </w:rPr>
              <w:t>-4.522e-</w:t>
            </w:r>
            <w:r>
              <w:rPr>
                <w:spacing w:val="-5"/>
                <w:sz w:val="18"/>
                <w:szCs w:val="18"/>
              </w:rPr>
              <w:t>05</w:t>
            </w:r>
          </w:p>
        </w:tc>
        <w:tc>
          <w:tcPr>
            <w:tcW w:w="618" w:type="pct"/>
            <w:shd w:val="clear" w:color="auto" w:fill="auto"/>
          </w:tcPr>
          <w:p w14:paraId="54AAEEAF">
            <w:pPr>
              <w:pStyle w:val="53"/>
              <w:spacing w:line="240" w:lineRule="auto"/>
              <w:jc w:val="center"/>
              <w:rPr>
                <w:sz w:val="18"/>
                <w:szCs w:val="18"/>
              </w:rPr>
            </w:pPr>
            <w:r>
              <w:rPr>
                <w:spacing w:val="-2"/>
                <w:sz w:val="18"/>
                <w:szCs w:val="18"/>
              </w:rPr>
              <w:t>0.297</w:t>
            </w:r>
          </w:p>
        </w:tc>
      </w:tr>
      <w:tr w14:paraId="01E98444">
        <w:tblPrEx>
          <w:tblCellMar>
            <w:top w:w="0" w:type="dxa"/>
            <w:left w:w="0" w:type="dxa"/>
            <w:bottom w:w="0" w:type="dxa"/>
            <w:right w:w="0" w:type="dxa"/>
          </w:tblCellMar>
        </w:tblPrEx>
        <w:trPr>
          <w:trHeight w:val="510" w:hRule="exact"/>
        </w:trPr>
        <w:tc>
          <w:tcPr>
            <w:tcW w:w="926" w:type="pct"/>
          </w:tcPr>
          <w:p w14:paraId="0655B34B">
            <w:pPr>
              <w:pStyle w:val="53"/>
              <w:spacing w:line="240" w:lineRule="auto"/>
              <w:ind w:left="119"/>
              <w:rPr>
                <w:sz w:val="18"/>
                <w:szCs w:val="18"/>
              </w:rPr>
            </w:pPr>
            <w:r>
              <w:rPr>
                <w:spacing w:val="-5"/>
                <w:sz w:val="18"/>
                <w:szCs w:val="18"/>
              </w:rPr>
              <w:t>OPM</w:t>
            </w:r>
          </w:p>
        </w:tc>
        <w:tc>
          <w:tcPr>
            <w:tcW w:w="540" w:type="pct"/>
          </w:tcPr>
          <w:p w14:paraId="20CBE511">
            <w:pPr>
              <w:pStyle w:val="53"/>
              <w:spacing w:line="240" w:lineRule="auto"/>
              <w:jc w:val="center"/>
              <w:rPr>
                <w:sz w:val="18"/>
                <w:szCs w:val="18"/>
              </w:rPr>
            </w:pPr>
            <w:r>
              <w:rPr>
                <w:sz w:val="18"/>
                <w:szCs w:val="18"/>
              </w:rPr>
              <w:t>-4.961e-</w:t>
            </w:r>
            <w:r>
              <w:rPr>
                <w:spacing w:val="-5"/>
                <w:sz w:val="18"/>
                <w:szCs w:val="18"/>
              </w:rPr>
              <w:t>05</w:t>
            </w:r>
          </w:p>
        </w:tc>
        <w:tc>
          <w:tcPr>
            <w:tcW w:w="284" w:type="pct"/>
          </w:tcPr>
          <w:p w14:paraId="491F8615">
            <w:pPr>
              <w:pStyle w:val="53"/>
              <w:spacing w:line="240" w:lineRule="auto"/>
              <w:ind w:left="103"/>
              <w:jc w:val="center"/>
              <w:rPr>
                <w:sz w:val="18"/>
                <w:szCs w:val="18"/>
              </w:rPr>
            </w:pPr>
            <w:r>
              <w:rPr>
                <w:spacing w:val="-2"/>
                <w:sz w:val="18"/>
                <w:szCs w:val="18"/>
              </w:rPr>
              <w:t>0.080</w:t>
            </w:r>
          </w:p>
        </w:tc>
        <w:tc>
          <w:tcPr>
            <w:tcW w:w="409" w:type="pct"/>
          </w:tcPr>
          <w:p w14:paraId="5967A35A">
            <w:pPr>
              <w:pStyle w:val="53"/>
              <w:spacing w:line="240" w:lineRule="auto"/>
              <w:ind w:right="1"/>
              <w:jc w:val="center"/>
              <w:rPr>
                <w:sz w:val="18"/>
                <w:szCs w:val="18"/>
              </w:rPr>
            </w:pPr>
            <w:r>
              <w:rPr>
                <w:spacing w:val="-10"/>
                <w:sz w:val="18"/>
                <w:szCs w:val="18"/>
              </w:rPr>
              <w:t>—</w:t>
            </w:r>
          </w:p>
        </w:tc>
        <w:tc>
          <w:tcPr>
            <w:tcW w:w="367" w:type="pct"/>
          </w:tcPr>
          <w:p w14:paraId="77F297B9">
            <w:pPr>
              <w:pStyle w:val="53"/>
              <w:spacing w:line="240" w:lineRule="auto"/>
              <w:ind w:left="102"/>
              <w:jc w:val="center"/>
              <w:rPr>
                <w:sz w:val="18"/>
                <w:szCs w:val="18"/>
              </w:rPr>
            </w:pPr>
            <w:r>
              <w:rPr>
                <w:spacing w:val="-10"/>
                <w:sz w:val="18"/>
                <w:szCs w:val="18"/>
              </w:rPr>
              <w:t>—</w:t>
            </w:r>
          </w:p>
        </w:tc>
        <w:tc>
          <w:tcPr>
            <w:tcW w:w="618" w:type="pct"/>
            <w:shd w:val="clear" w:color="auto" w:fill="auto"/>
          </w:tcPr>
          <w:p w14:paraId="30B380DB">
            <w:pPr>
              <w:pStyle w:val="53"/>
              <w:spacing w:line="240" w:lineRule="auto"/>
              <w:ind w:left="120"/>
              <w:rPr>
                <w:sz w:val="18"/>
                <w:szCs w:val="18"/>
              </w:rPr>
            </w:pPr>
            <w:r>
              <w:rPr>
                <w:spacing w:val="-2"/>
                <w:sz w:val="18"/>
                <w:szCs w:val="18"/>
              </w:rPr>
              <w:t>-8.021e-</w:t>
            </w:r>
            <w:r>
              <w:rPr>
                <w:spacing w:val="-5"/>
                <w:sz w:val="18"/>
                <w:szCs w:val="18"/>
              </w:rPr>
              <w:t>06</w:t>
            </w:r>
          </w:p>
        </w:tc>
        <w:tc>
          <w:tcPr>
            <w:tcW w:w="620" w:type="pct"/>
            <w:shd w:val="clear" w:color="auto" w:fill="auto"/>
          </w:tcPr>
          <w:p w14:paraId="716313B8">
            <w:pPr>
              <w:pStyle w:val="53"/>
              <w:spacing w:line="240" w:lineRule="auto"/>
              <w:ind w:right="11"/>
              <w:jc w:val="center"/>
              <w:rPr>
                <w:sz w:val="18"/>
                <w:szCs w:val="18"/>
              </w:rPr>
            </w:pPr>
            <w:r>
              <w:rPr>
                <w:spacing w:val="-2"/>
                <w:sz w:val="18"/>
                <w:szCs w:val="18"/>
              </w:rPr>
              <w:t>0.001</w:t>
            </w:r>
          </w:p>
        </w:tc>
        <w:tc>
          <w:tcPr>
            <w:tcW w:w="618" w:type="pct"/>
            <w:shd w:val="clear" w:color="auto" w:fill="auto"/>
          </w:tcPr>
          <w:p w14:paraId="00F86299">
            <w:pPr>
              <w:pStyle w:val="53"/>
              <w:spacing w:line="240" w:lineRule="auto"/>
              <w:ind w:left="120"/>
              <w:rPr>
                <w:sz w:val="18"/>
                <w:szCs w:val="18"/>
              </w:rPr>
            </w:pPr>
            <w:r>
              <w:rPr>
                <w:sz w:val="18"/>
                <w:szCs w:val="18"/>
              </w:rPr>
              <w:t>-1.492e-</w:t>
            </w:r>
            <w:r>
              <w:rPr>
                <w:spacing w:val="-5"/>
                <w:sz w:val="18"/>
                <w:szCs w:val="18"/>
              </w:rPr>
              <w:t>05</w:t>
            </w:r>
          </w:p>
        </w:tc>
        <w:tc>
          <w:tcPr>
            <w:tcW w:w="618" w:type="pct"/>
            <w:shd w:val="clear" w:color="auto" w:fill="auto"/>
          </w:tcPr>
          <w:p w14:paraId="53EB38A9">
            <w:pPr>
              <w:pStyle w:val="53"/>
              <w:spacing w:line="240" w:lineRule="auto"/>
              <w:jc w:val="center"/>
              <w:rPr>
                <w:sz w:val="18"/>
                <w:szCs w:val="18"/>
              </w:rPr>
            </w:pPr>
            <w:r>
              <w:rPr>
                <w:spacing w:val="-2"/>
                <w:sz w:val="18"/>
                <w:szCs w:val="18"/>
              </w:rPr>
              <w:t>0.000</w:t>
            </w:r>
          </w:p>
        </w:tc>
      </w:tr>
      <w:tr w14:paraId="4316B33D">
        <w:tblPrEx>
          <w:tblCellMar>
            <w:top w:w="0" w:type="dxa"/>
            <w:left w:w="0" w:type="dxa"/>
            <w:bottom w:w="0" w:type="dxa"/>
            <w:right w:w="0" w:type="dxa"/>
          </w:tblCellMar>
        </w:tblPrEx>
        <w:trPr>
          <w:trHeight w:val="510" w:hRule="exact"/>
        </w:trPr>
        <w:tc>
          <w:tcPr>
            <w:tcW w:w="926" w:type="pct"/>
          </w:tcPr>
          <w:p w14:paraId="7683CD9C">
            <w:pPr>
              <w:pStyle w:val="53"/>
              <w:spacing w:line="240" w:lineRule="auto"/>
              <w:ind w:left="119"/>
              <w:rPr>
                <w:sz w:val="18"/>
                <w:szCs w:val="18"/>
              </w:rPr>
            </w:pPr>
            <w:r>
              <w:rPr>
                <w:spacing w:val="-5"/>
                <w:sz w:val="18"/>
                <w:szCs w:val="18"/>
              </w:rPr>
              <w:t>CR</w:t>
            </w:r>
          </w:p>
        </w:tc>
        <w:tc>
          <w:tcPr>
            <w:tcW w:w="540" w:type="pct"/>
          </w:tcPr>
          <w:p w14:paraId="3973E09F">
            <w:pPr>
              <w:pStyle w:val="53"/>
              <w:spacing w:line="240" w:lineRule="auto"/>
              <w:jc w:val="center"/>
              <w:rPr>
                <w:sz w:val="18"/>
                <w:szCs w:val="18"/>
              </w:rPr>
            </w:pPr>
            <w:r>
              <w:rPr>
                <w:spacing w:val="-2"/>
                <w:sz w:val="18"/>
                <w:szCs w:val="18"/>
              </w:rPr>
              <w:t>0.0032</w:t>
            </w:r>
          </w:p>
        </w:tc>
        <w:tc>
          <w:tcPr>
            <w:tcW w:w="284" w:type="pct"/>
          </w:tcPr>
          <w:p w14:paraId="2D7D0369">
            <w:pPr>
              <w:pStyle w:val="53"/>
              <w:spacing w:line="240" w:lineRule="auto"/>
              <w:ind w:left="103"/>
              <w:jc w:val="center"/>
              <w:rPr>
                <w:sz w:val="18"/>
                <w:szCs w:val="18"/>
              </w:rPr>
            </w:pPr>
            <w:r>
              <w:rPr>
                <w:spacing w:val="-2"/>
                <w:sz w:val="18"/>
                <w:szCs w:val="18"/>
              </w:rPr>
              <w:t>0.153</w:t>
            </w:r>
          </w:p>
        </w:tc>
        <w:tc>
          <w:tcPr>
            <w:tcW w:w="409" w:type="pct"/>
          </w:tcPr>
          <w:p w14:paraId="2FF8B035">
            <w:pPr>
              <w:pStyle w:val="53"/>
              <w:spacing w:line="240" w:lineRule="auto"/>
              <w:ind w:right="1"/>
              <w:jc w:val="center"/>
              <w:rPr>
                <w:sz w:val="18"/>
                <w:szCs w:val="18"/>
              </w:rPr>
            </w:pPr>
            <w:r>
              <w:rPr>
                <w:spacing w:val="-10"/>
                <w:sz w:val="18"/>
                <w:szCs w:val="18"/>
              </w:rPr>
              <w:t>—</w:t>
            </w:r>
          </w:p>
        </w:tc>
        <w:tc>
          <w:tcPr>
            <w:tcW w:w="367" w:type="pct"/>
          </w:tcPr>
          <w:p w14:paraId="728CABA8">
            <w:pPr>
              <w:pStyle w:val="53"/>
              <w:spacing w:line="240" w:lineRule="auto"/>
              <w:ind w:left="102"/>
              <w:jc w:val="center"/>
              <w:rPr>
                <w:sz w:val="18"/>
                <w:szCs w:val="18"/>
              </w:rPr>
            </w:pPr>
            <w:r>
              <w:rPr>
                <w:spacing w:val="-10"/>
                <w:sz w:val="18"/>
                <w:szCs w:val="18"/>
              </w:rPr>
              <w:t>—</w:t>
            </w:r>
          </w:p>
        </w:tc>
        <w:tc>
          <w:tcPr>
            <w:tcW w:w="618" w:type="pct"/>
            <w:shd w:val="clear" w:color="auto" w:fill="auto"/>
          </w:tcPr>
          <w:p w14:paraId="19A23409">
            <w:pPr>
              <w:pStyle w:val="53"/>
              <w:spacing w:line="240" w:lineRule="auto"/>
              <w:ind w:left="289"/>
              <w:rPr>
                <w:sz w:val="18"/>
                <w:szCs w:val="18"/>
              </w:rPr>
            </w:pPr>
            <w:r>
              <w:rPr>
                <w:spacing w:val="-2"/>
                <w:sz w:val="18"/>
                <w:szCs w:val="18"/>
              </w:rPr>
              <w:t>0.0003</w:t>
            </w:r>
          </w:p>
        </w:tc>
        <w:tc>
          <w:tcPr>
            <w:tcW w:w="620" w:type="pct"/>
            <w:shd w:val="clear" w:color="auto" w:fill="auto"/>
          </w:tcPr>
          <w:p w14:paraId="7EB2F53D">
            <w:pPr>
              <w:pStyle w:val="53"/>
              <w:spacing w:line="240" w:lineRule="auto"/>
              <w:ind w:right="11"/>
              <w:jc w:val="center"/>
              <w:rPr>
                <w:sz w:val="18"/>
                <w:szCs w:val="18"/>
              </w:rPr>
            </w:pPr>
            <w:r>
              <w:rPr>
                <w:spacing w:val="-2"/>
                <w:sz w:val="18"/>
                <w:szCs w:val="18"/>
              </w:rPr>
              <w:t>0.053</w:t>
            </w:r>
          </w:p>
        </w:tc>
        <w:tc>
          <w:tcPr>
            <w:tcW w:w="618" w:type="pct"/>
            <w:shd w:val="clear" w:color="auto" w:fill="auto"/>
          </w:tcPr>
          <w:p w14:paraId="3277194D">
            <w:pPr>
              <w:pStyle w:val="53"/>
              <w:spacing w:line="240" w:lineRule="auto"/>
              <w:ind w:left="289"/>
              <w:rPr>
                <w:sz w:val="18"/>
                <w:szCs w:val="18"/>
              </w:rPr>
            </w:pPr>
            <w:r>
              <w:rPr>
                <w:spacing w:val="-2"/>
                <w:sz w:val="18"/>
                <w:szCs w:val="18"/>
              </w:rPr>
              <w:t>0.0009</w:t>
            </w:r>
          </w:p>
        </w:tc>
        <w:tc>
          <w:tcPr>
            <w:tcW w:w="618" w:type="pct"/>
            <w:shd w:val="clear" w:color="auto" w:fill="auto"/>
          </w:tcPr>
          <w:p w14:paraId="1E12676E">
            <w:pPr>
              <w:pStyle w:val="53"/>
              <w:spacing w:line="240" w:lineRule="auto"/>
              <w:jc w:val="center"/>
              <w:rPr>
                <w:sz w:val="18"/>
                <w:szCs w:val="18"/>
              </w:rPr>
            </w:pPr>
            <w:r>
              <w:rPr>
                <w:spacing w:val="-2"/>
                <w:sz w:val="18"/>
                <w:szCs w:val="18"/>
              </w:rPr>
              <w:t>0.000</w:t>
            </w:r>
          </w:p>
        </w:tc>
      </w:tr>
      <w:tr w14:paraId="476507E2">
        <w:tblPrEx>
          <w:tblCellMar>
            <w:top w:w="0" w:type="dxa"/>
            <w:left w:w="0" w:type="dxa"/>
            <w:bottom w:w="0" w:type="dxa"/>
            <w:right w:w="0" w:type="dxa"/>
          </w:tblCellMar>
        </w:tblPrEx>
        <w:trPr>
          <w:trHeight w:val="510" w:hRule="exact"/>
        </w:trPr>
        <w:tc>
          <w:tcPr>
            <w:tcW w:w="926" w:type="pct"/>
          </w:tcPr>
          <w:p w14:paraId="58E7018D">
            <w:pPr>
              <w:pStyle w:val="53"/>
              <w:spacing w:line="240" w:lineRule="auto"/>
              <w:ind w:left="119"/>
              <w:rPr>
                <w:sz w:val="18"/>
                <w:szCs w:val="18"/>
              </w:rPr>
            </w:pPr>
            <w:r>
              <w:rPr>
                <w:spacing w:val="-5"/>
                <w:sz w:val="18"/>
                <w:szCs w:val="18"/>
              </w:rPr>
              <w:t>QR</w:t>
            </w:r>
          </w:p>
        </w:tc>
        <w:tc>
          <w:tcPr>
            <w:tcW w:w="540" w:type="pct"/>
          </w:tcPr>
          <w:p w14:paraId="3133689F">
            <w:pPr>
              <w:pStyle w:val="53"/>
              <w:spacing w:line="240" w:lineRule="auto"/>
              <w:jc w:val="center"/>
              <w:rPr>
                <w:sz w:val="18"/>
                <w:szCs w:val="18"/>
              </w:rPr>
            </w:pPr>
            <w:r>
              <w:rPr>
                <w:sz w:val="18"/>
                <w:szCs w:val="18"/>
              </w:rPr>
              <w:t>-</w:t>
            </w:r>
            <w:r>
              <w:rPr>
                <w:spacing w:val="-2"/>
                <w:sz w:val="18"/>
                <w:szCs w:val="18"/>
              </w:rPr>
              <w:t>0.0075</w:t>
            </w:r>
          </w:p>
        </w:tc>
        <w:tc>
          <w:tcPr>
            <w:tcW w:w="284" w:type="pct"/>
          </w:tcPr>
          <w:p w14:paraId="1C4172E8">
            <w:pPr>
              <w:pStyle w:val="53"/>
              <w:spacing w:line="240" w:lineRule="auto"/>
              <w:ind w:left="103"/>
              <w:jc w:val="center"/>
              <w:rPr>
                <w:sz w:val="18"/>
                <w:szCs w:val="18"/>
              </w:rPr>
            </w:pPr>
            <w:r>
              <w:rPr>
                <w:spacing w:val="-2"/>
                <w:sz w:val="18"/>
                <w:szCs w:val="18"/>
              </w:rPr>
              <w:t>0.073</w:t>
            </w:r>
          </w:p>
        </w:tc>
        <w:tc>
          <w:tcPr>
            <w:tcW w:w="409" w:type="pct"/>
          </w:tcPr>
          <w:p w14:paraId="15E1EB47">
            <w:pPr>
              <w:pStyle w:val="53"/>
              <w:spacing w:line="240" w:lineRule="auto"/>
              <w:ind w:right="1"/>
              <w:jc w:val="center"/>
              <w:rPr>
                <w:sz w:val="18"/>
                <w:szCs w:val="18"/>
              </w:rPr>
            </w:pPr>
            <w:r>
              <w:rPr>
                <w:spacing w:val="-10"/>
                <w:sz w:val="18"/>
                <w:szCs w:val="18"/>
              </w:rPr>
              <w:t>—</w:t>
            </w:r>
          </w:p>
        </w:tc>
        <w:tc>
          <w:tcPr>
            <w:tcW w:w="367" w:type="pct"/>
          </w:tcPr>
          <w:p w14:paraId="170BB0BA">
            <w:pPr>
              <w:pStyle w:val="53"/>
              <w:spacing w:line="240" w:lineRule="auto"/>
              <w:ind w:left="102"/>
              <w:jc w:val="center"/>
              <w:rPr>
                <w:sz w:val="18"/>
                <w:szCs w:val="18"/>
              </w:rPr>
            </w:pPr>
            <w:r>
              <w:rPr>
                <w:spacing w:val="-10"/>
                <w:sz w:val="18"/>
                <w:szCs w:val="18"/>
              </w:rPr>
              <w:t>—</w:t>
            </w:r>
          </w:p>
        </w:tc>
        <w:tc>
          <w:tcPr>
            <w:tcW w:w="618" w:type="pct"/>
            <w:shd w:val="clear" w:color="auto" w:fill="auto"/>
          </w:tcPr>
          <w:p w14:paraId="3687904F">
            <w:pPr>
              <w:pStyle w:val="53"/>
              <w:spacing w:line="240" w:lineRule="auto"/>
              <w:ind w:left="254"/>
              <w:rPr>
                <w:sz w:val="18"/>
                <w:szCs w:val="18"/>
              </w:rPr>
            </w:pPr>
            <w:r>
              <w:rPr>
                <w:sz w:val="18"/>
                <w:szCs w:val="18"/>
              </w:rPr>
              <w:t>-</w:t>
            </w:r>
            <w:r>
              <w:rPr>
                <w:spacing w:val="-2"/>
                <w:sz w:val="18"/>
                <w:szCs w:val="18"/>
              </w:rPr>
              <w:t>0.0017</w:t>
            </w:r>
          </w:p>
        </w:tc>
        <w:tc>
          <w:tcPr>
            <w:tcW w:w="620" w:type="pct"/>
            <w:shd w:val="clear" w:color="auto" w:fill="auto"/>
          </w:tcPr>
          <w:p w14:paraId="09B7FE25">
            <w:pPr>
              <w:pStyle w:val="53"/>
              <w:spacing w:line="240" w:lineRule="auto"/>
              <w:ind w:right="11"/>
              <w:jc w:val="center"/>
              <w:rPr>
                <w:sz w:val="18"/>
                <w:szCs w:val="18"/>
              </w:rPr>
            </w:pPr>
            <w:r>
              <w:rPr>
                <w:spacing w:val="-2"/>
                <w:sz w:val="18"/>
                <w:szCs w:val="18"/>
              </w:rPr>
              <w:t>0.000</w:t>
            </w:r>
          </w:p>
        </w:tc>
        <w:tc>
          <w:tcPr>
            <w:tcW w:w="618" w:type="pct"/>
            <w:shd w:val="clear" w:color="auto" w:fill="auto"/>
          </w:tcPr>
          <w:p w14:paraId="729D83F1">
            <w:pPr>
              <w:pStyle w:val="53"/>
              <w:spacing w:line="240" w:lineRule="auto"/>
              <w:ind w:left="254"/>
              <w:rPr>
                <w:sz w:val="18"/>
                <w:szCs w:val="18"/>
              </w:rPr>
            </w:pPr>
            <w:r>
              <w:rPr>
                <w:sz w:val="18"/>
                <w:szCs w:val="18"/>
              </w:rPr>
              <w:t>-</w:t>
            </w:r>
            <w:r>
              <w:rPr>
                <w:spacing w:val="-2"/>
                <w:sz w:val="18"/>
                <w:szCs w:val="18"/>
              </w:rPr>
              <w:t>0.0019</w:t>
            </w:r>
          </w:p>
        </w:tc>
        <w:tc>
          <w:tcPr>
            <w:tcW w:w="618" w:type="pct"/>
            <w:shd w:val="clear" w:color="auto" w:fill="auto"/>
          </w:tcPr>
          <w:p w14:paraId="1FDB9EBA">
            <w:pPr>
              <w:pStyle w:val="53"/>
              <w:spacing w:line="240" w:lineRule="auto"/>
              <w:jc w:val="center"/>
              <w:rPr>
                <w:sz w:val="18"/>
                <w:szCs w:val="18"/>
              </w:rPr>
            </w:pPr>
            <w:r>
              <w:rPr>
                <w:spacing w:val="-2"/>
                <w:sz w:val="18"/>
                <w:szCs w:val="18"/>
              </w:rPr>
              <w:t>0.000</w:t>
            </w:r>
          </w:p>
        </w:tc>
      </w:tr>
      <w:tr w14:paraId="149E1675">
        <w:tblPrEx>
          <w:tblCellMar>
            <w:top w:w="0" w:type="dxa"/>
            <w:left w:w="0" w:type="dxa"/>
            <w:bottom w:w="0" w:type="dxa"/>
            <w:right w:w="0" w:type="dxa"/>
          </w:tblCellMar>
        </w:tblPrEx>
        <w:trPr>
          <w:trHeight w:val="510" w:hRule="exact"/>
        </w:trPr>
        <w:tc>
          <w:tcPr>
            <w:tcW w:w="926" w:type="pct"/>
          </w:tcPr>
          <w:p w14:paraId="09EC396E">
            <w:pPr>
              <w:pStyle w:val="53"/>
              <w:spacing w:line="240" w:lineRule="auto"/>
              <w:ind w:left="119"/>
              <w:rPr>
                <w:sz w:val="18"/>
                <w:szCs w:val="18"/>
              </w:rPr>
            </w:pPr>
            <w:r>
              <w:rPr>
                <w:spacing w:val="-5"/>
                <w:sz w:val="18"/>
                <w:szCs w:val="18"/>
              </w:rPr>
              <w:t>ND</w:t>
            </w:r>
          </w:p>
        </w:tc>
        <w:tc>
          <w:tcPr>
            <w:tcW w:w="540" w:type="pct"/>
          </w:tcPr>
          <w:p w14:paraId="4663D9A6">
            <w:pPr>
              <w:pStyle w:val="53"/>
              <w:spacing w:line="240" w:lineRule="auto"/>
              <w:jc w:val="center"/>
              <w:rPr>
                <w:sz w:val="18"/>
                <w:szCs w:val="18"/>
              </w:rPr>
            </w:pPr>
            <w:r>
              <w:rPr>
                <w:sz w:val="18"/>
                <w:szCs w:val="18"/>
              </w:rPr>
              <w:t>-</w:t>
            </w:r>
            <w:r>
              <w:rPr>
                <w:spacing w:val="-2"/>
                <w:sz w:val="18"/>
                <w:szCs w:val="18"/>
              </w:rPr>
              <w:t>0.0006</w:t>
            </w:r>
          </w:p>
        </w:tc>
        <w:tc>
          <w:tcPr>
            <w:tcW w:w="284" w:type="pct"/>
          </w:tcPr>
          <w:p w14:paraId="7FA180FB">
            <w:pPr>
              <w:pStyle w:val="53"/>
              <w:spacing w:line="240" w:lineRule="auto"/>
              <w:ind w:left="103"/>
              <w:jc w:val="center"/>
              <w:rPr>
                <w:sz w:val="18"/>
                <w:szCs w:val="18"/>
              </w:rPr>
            </w:pPr>
            <w:r>
              <w:rPr>
                <w:spacing w:val="-2"/>
                <w:sz w:val="18"/>
                <w:szCs w:val="18"/>
              </w:rPr>
              <w:t>0.799</w:t>
            </w:r>
          </w:p>
        </w:tc>
        <w:tc>
          <w:tcPr>
            <w:tcW w:w="409" w:type="pct"/>
          </w:tcPr>
          <w:p w14:paraId="71DE088E">
            <w:pPr>
              <w:pStyle w:val="53"/>
              <w:spacing w:line="240" w:lineRule="auto"/>
              <w:ind w:right="1"/>
              <w:jc w:val="center"/>
              <w:rPr>
                <w:sz w:val="18"/>
                <w:szCs w:val="18"/>
              </w:rPr>
            </w:pPr>
            <w:r>
              <w:rPr>
                <w:spacing w:val="-10"/>
                <w:sz w:val="18"/>
                <w:szCs w:val="18"/>
              </w:rPr>
              <w:t>—</w:t>
            </w:r>
          </w:p>
        </w:tc>
        <w:tc>
          <w:tcPr>
            <w:tcW w:w="367" w:type="pct"/>
          </w:tcPr>
          <w:p w14:paraId="6DFB14A9">
            <w:pPr>
              <w:pStyle w:val="53"/>
              <w:spacing w:line="240" w:lineRule="auto"/>
              <w:ind w:left="102"/>
              <w:jc w:val="center"/>
              <w:rPr>
                <w:sz w:val="18"/>
                <w:szCs w:val="18"/>
              </w:rPr>
            </w:pPr>
            <w:r>
              <w:rPr>
                <w:spacing w:val="-10"/>
                <w:sz w:val="18"/>
                <w:szCs w:val="18"/>
              </w:rPr>
              <w:t>—</w:t>
            </w:r>
          </w:p>
        </w:tc>
        <w:tc>
          <w:tcPr>
            <w:tcW w:w="618" w:type="pct"/>
            <w:shd w:val="clear" w:color="auto" w:fill="auto"/>
          </w:tcPr>
          <w:p w14:paraId="545498F2">
            <w:pPr>
              <w:pStyle w:val="53"/>
              <w:spacing w:line="240" w:lineRule="auto"/>
              <w:ind w:left="254"/>
              <w:rPr>
                <w:sz w:val="18"/>
                <w:szCs w:val="18"/>
              </w:rPr>
            </w:pPr>
            <w:r>
              <w:rPr>
                <w:sz w:val="18"/>
                <w:szCs w:val="18"/>
              </w:rPr>
              <w:t>-</w:t>
            </w:r>
            <w:r>
              <w:rPr>
                <w:spacing w:val="-2"/>
                <w:sz w:val="18"/>
                <w:szCs w:val="18"/>
              </w:rPr>
              <w:t>0.0001</w:t>
            </w:r>
          </w:p>
        </w:tc>
        <w:tc>
          <w:tcPr>
            <w:tcW w:w="620" w:type="pct"/>
            <w:shd w:val="clear" w:color="auto" w:fill="auto"/>
          </w:tcPr>
          <w:p w14:paraId="4C7C5800">
            <w:pPr>
              <w:pStyle w:val="53"/>
              <w:spacing w:line="240" w:lineRule="auto"/>
              <w:ind w:right="11"/>
              <w:jc w:val="center"/>
              <w:rPr>
                <w:sz w:val="18"/>
                <w:szCs w:val="18"/>
              </w:rPr>
            </w:pPr>
            <w:r>
              <w:rPr>
                <w:spacing w:val="-2"/>
                <w:sz w:val="18"/>
                <w:szCs w:val="18"/>
              </w:rPr>
              <w:t>0.491</w:t>
            </w:r>
          </w:p>
        </w:tc>
        <w:tc>
          <w:tcPr>
            <w:tcW w:w="618" w:type="pct"/>
            <w:shd w:val="clear" w:color="auto" w:fill="auto"/>
          </w:tcPr>
          <w:p w14:paraId="5948DAE7">
            <w:pPr>
              <w:pStyle w:val="53"/>
              <w:spacing w:line="240" w:lineRule="auto"/>
              <w:ind w:left="120"/>
              <w:rPr>
                <w:sz w:val="18"/>
                <w:szCs w:val="18"/>
              </w:rPr>
            </w:pPr>
            <w:r>
              <w:rPr>
                <w:sz w:val="18"/>
                <w:szCs w:val="18"/>
              </w:rPr>
              <w:t>-7.033e-</w:t>
            </w:r>
            <w:r>
              <w:rPr>
                <w:spacing w:val="-5"/>
                <w:sz w:val="18"/>
                <w:szCs w:val="18"/>
              </w:rPr>
              <w:t>05</w:t>
            </w:r>
          </w:p>
        </w:tc>
        <w:tc>
          <w:tcPr>
            <w:tcW w:w="618" w:type="pct"/>
            <w:shd w:val="clear" w:color="auto" w:fill="auto"/>
          </w:tcPr>
          <w:p w14:paraId="5B02C721">
            <w:pPr>
              <w:pStyle w:val="53"/>
              <w:spacing w:line="240" w:lineRule="auto"/>
              <w:jc w:val="center"/>
              <w:rPr>
                <w:sz w:val="18"/>
                <w:szCs w:val="18"/>
              </w:rPr>
            </w:pPr>
            <w:r>
              <w:rPr>
                <w:spacing w:val="-2"/>
                <w:sz w:val="18"/>
                <w:szCs w:val="18"/>
              </w:rPr>
              <w:t>0.692</w:t>
            </w:r>
          </w:p>
        </w:tc>
      </w:tr>
      <w:tr w14:paraId="4E6A4D0D">
        <w:tblPrEx>
          <w:tblCellMar>
            <w:top w:w="0" w:type="dxa"/>
            <w:left w:w="0" w:type="dxa"/>
            <w:bottom w:w="0" w:type="dxa"/>
            <w:right w:w="0" w:type="dxa"/>
          </w:tblCellMar>
        </w:tblPrEx>
        <w:trPr>
          <w:trHeight w:val="510" w:hRule="exact"/>
        </w:trPr>
        <w:tc>
          <w:tcPr>
            <w:tcW w:w="926" w:type="pct"/>
          </w:tcPr>
          <w:p w14:paraId="0FD03556">
            <w:pPr>
              <w:pStyle w:val="53"/>
              <w:spacing w:line="240" w:lineRule="auto"/>
              <w:ind w:left="119"/>
              <w:rPr>
                <w:sz w:val="18"/>
                <w:szCs w:val="18"/>
              </w:rPr>
            </w:pPr>
            <w:r>
              <w:rPr>
                <w:spacing w:val="-5"/>
                <w:sz w:val="18"/>
                <w:szCs w:val="18"/>
              </w:rPr>
              <w:t>AT</w:t>
            </w:r>
          </w:p>
        </w:tc>
        <w:tc>
          <w:tcPr>
            <w:tcW w:w="540" w:type="pct"/>
          </w:tcPr>
          <w:p w14:paraId="419AEBE0">
            <w:pPr>
              <w:pStyle w:val="53"/>
              <w:spacing w:line="240" w:lineRule="auto"/>
              <w:jc w:val="center"/>
              <w:rPr>
                <w:sz w:val="18"/>
                <w:szCs w:val="18"/>
              </w:rPr>
            </w:pPr>
            <w:r>
              <w:rPr>
                <w:spacing w:val="-2"/>
                <w:sz w:val="18"/>
                <w:szCs w:val="18"/>
              </w:rPr>
              <w:t>0.0059</w:t>
            </w:r>
          </w:p>
        </w:tc>
        <w:tc>
          <w:tcPr>
            <w:tcW w:w="284" w:type="pct"/>
          </w:tcPr>
          <w:p w14:paraId="6F57BCB9">
            <w:pPr>
              <w:pStyle w:val="53"/>
              <w:spacing w:line="240" w:lineRule="auto"/>
              <w:ind w:left="103"/>
              <w:jc w:val="center"/>
              <w:rPr>
                <w:sz w:val="18"/>
                <w:szCs w:val="18"/>
              </w:rPr>
            </w:pPr>
            <w:r>
              <w:rPr>
                <w:spacing w:val="-2"/>
                <w:sz w:val="18"/>
                <w:szCs w:val="18"/>
              </w:rPr>
              <w:t>0.525</w:t>
            </w:r>
          </w:p>
        </w:tc>
        <w:tc>
          <w:tcPr>
            <w:tcW w:w="409" w:type="pct"/>
          </w:tcPr>
          <w:p w14:paraId="13F008EF">
            <w:pPr>
              <w:pStyle w:val="53"/>
              <w:spacing w:line="240" w:lineRule="auto"/>
              <w:ind w:right="1"/>
              <w:jc w:val="center"/>
              <w:rPr>
                <w:sz w:val="18"/>
                <w:szCs w:val="18"/>
              </w:rPr>
            </w:pPr>
            <w:r>
              <w:rPr>
                <w:spacing w:val="-10"/>
                <w:sz w:val="18"/>
                <w:szCs w:val="18"/>
              </w:rPr>
              <w:t>—</w:t>
            </w:r>
          </w:p>
        </w:tc>
        <w:tc>
          <w:tcPr>
            <w:tcW w:w="367" w:type="pct"/>
          </w:tcPr>
          <w:p w14:paraId="7A9378E2">
            <w:pPr>
              <w:pStyle w:val="53"/>
              <w:spacing w:line="240" w:lineRule="auto"/>
              <w:ind w:left="102"/>
              <w:jc w:val="center"/>
              <w:rPr>
                <w:sz w:val="18"/>
                <w:szCs w:val="18"/>
              </w:rPr>
            </w:pPr>
            <w:r>
              <w:rPr>
                <w:spacing w:val="-10"/>
                <w:sz w:val="18"/>
                <w:szCs w:val="18"/>
              </w:rPr>
              <w:t>—</w:t>
            </w:r>
          </w:p>
        </w:tc>
        <w:tc>
          <w:tcPr>
            <w:tcW w:w="618" w:type="pct"/>
            <w:shd w:val="clear" w:color="auto" w:fill="auto"/>
          </w:tcPr>
          <w:p w14:paraId="069181EC">
            <w:pPr>
              <w:pStyle w:val="53"/>
              <w:spacing w:line="240" w:lineRule="auto"/>
              <w:ind w:left="289"/>
              <w:rPr>
                <w:sz w:val="18"/>
                <w:szCs w:val="18"/>
              </w:rPr>
            </w:pPr>
            <w:r>
              <w:rPr>
                <w:spacing w:val="-2"/>
                <w:sz w:val="18"/>
                <w:szCs w:val="18"/>
              </w:rPr>
              <w:t>0.0010</w:t>
            </w:r>
          </w:p>
        </w:tc>
        <w:tc>
          <w:tcPr>
            <w:tcW w:w="620" w:type="pct"/>
            <w:shd w:val="clear" w:color="auto" w:fill="auto"/>
          </w:tcPr>
          <w:p w14:paraId="1731EC1D">
            <w:pPr>
              <w:pStyle w:val="53"/>
              <w:spacing w:line="240" w:lineRule="auto"/>
              <w:ind w:right="11"/>
              <w:jc w:val="center"/>
              <w:rPr>
                <w:sz w:val="18"/>
                <w:szCs w:val="18"/>
              </w:rPr>
            </w:pPr>
            <w:r>
              <w:rPr>
                <w:spacing w:val="-2"/>
                <w:sz w:val="18"/>
                <w:szCs w:val="18"/>
              </w:rPr>
              <w:t>0.278</w:t>
            </w:r>
          </w:p>
        </w:tc>
        <w:tc>
          <w:tcPr>
            <w:tcW w:w="618" w:type="pct"/>
            <w:shd w:val="clear" w:color="auto" w:fill="auto"/>
          </w:tcPr>
          <w:p w14:paraId="713BE2E8">
            <w:pPr>
              <w:pStyle w:val="53"/>
              <w:spacing w:line="240" w:lineRule="auto"/>
              <w:ind w:left="289"/>
              <w:rPr>
                <w:sz w:val="18"/>
                <w:szCs w:val="18"/>
              </w:rPr>
            </w:pPr>
            <w:r>
              <w:rPr>
                <w:spacing w:val="-2"/>
                <w:sz w:val="18"/>
                <w:szCs w:val="18"/>
              </w:rPr>
              <w:t>0.0009</w:t>
            </w:r>
          </w:p>
        </w:tc>
        <w:tc>
          <w:tcPr>
            <w:tcW w:w="618" w:type="pct"/>
            <w:shd w:val="clear" w:color="auto" w:fill="auto"/>
          </w:tcPr>
          <w:p w14:paraId="217CDE56">
            <w:pPr>
              <w:pStyle w:val="53"/>
              <w:spacing w:line="240" w:lineRule="auto"/>
              <w:jc w:val="center"/>
              <w:rPr>
                <w:sz w:val="18"/>
                <w:szCs w:val="18"/>
              </w:rPr>
            </w:pPr>
            <w:r>
              <w:rPr>
                <w:spacing w:val="-2"/>
                <w:sz w:val="18"/>
                <w:szCs w:val="18"/>
              </w:rPr>
              <w:t>0.213</w:t>
            </w:r>
          </w:p>
        </w:tc>
      </w:tr>
      <w:tr w14:paraId="54D2A5A5">
        <w:tblPrEx>
          <w:tblCellMar>
            <w:top w:w="0" w:type="dxa"/>
            <w:left w:w="0" w:type="dxa"/>
            <w:bottom w:w="0" w:type="dxa"/>
            <w:right w:w="0" w:type="dxa"/>
          </w:tblCellMar>
        </w:tblPrEx>
        <w:trPr>
          <w:trHeight w:val="510" w:hRule="exact"/>
        </w:trPr>
        <w:tc>
          <w:tcPr>
            <w:tcW w:w="926" w:type="pct"/>
          </w:tcPr>
          <w:p w14:paraId="5F1AD452">
            <w:pPr>
              <w:pStyle w:val="53"/>
              <w:spacing w:line="240" w:lineRule="auto"/>
              <w:ind w:left="119"/>
              <w:rPr>
                <w:sz w:val="18"/>
                <w:szCs w:val="18"/>
              </w:rPr>
            </w:pPr>
            <w:r>
              <w:rPr>
                <w:spacing w:val="-5"/>
                <w:sz w:val="18"/>
                <w:szCs w:val="18"/>
              </w:rPr>
              <w:t>Soe</w:t>
            </w:r>
          </w:p>
        </w:tc>
        <w:tc>
          <w:tcPr>
            <w:tcW w:w="540" w:type="pct"/>
          </w:tcPr>
          <w:p w14:paraId="23503D82">
            <w:pPr>
              <w:pStyle w:val="53"/>
              <w:spacing w:line="240" w:lineRule="auto"/>
              <w:jc w:val="center"/>
              <w:rPr>
                <w:sz w:val="18"/>
                <w:szCs w:val="18"/>
              </w:rPr>
            </w:pPr>
            <w:r>
              <w:rPr>
                <w:sz w:val="18"/>
                <w:szCs w:val="18"/>
              </w:rPr>
              <w:t>-</w:t>
            </w:r>
            <w:r>
              <w:rPr>
                <w:spacing w:val="-2"/>
                <w:sz w:val="18"/>
                <w:szCs w:val="18"/>
              </w:rPr>
              <w:t>0.0049</w:t>
            </w:r>
          </w:p>
        </w:tc>
        <w:tc>
          <w:tcPr>
            <w:tcW w:w="284" w:type="pct"/>
          </w:tcPr>
          <w:p w14:paraId="58547765">
            <w:pPr>
              <w:pStyle w:val="53"/>
              <w:spacing w:line="240" w:lineRule="auto"/>
              <w:ind w:left="103"/>
              <w:jc w:val="center"/>
              <w:rPr>
                <w:sz w:val="18"/>
                <w:szCs w:val="18"/>
              </w:rPr>
            </w:pPr>
            <w:r>
              <w:rPr>
                <w:spacing w:val="-2"/>
                <w:sz w:val="18"/>
                <w:szCs w:val="18"/>
              </w:rPr>
              <w:t>0.684</w:t>
            </w:r>
          </w:p>
        </w:tc>
        <w:tc>
          <w:tcPr>
            <w:tcW w:w="409" w:type="pct"/>
          </w:tcPr>
          <w:p w14:paraId="3B754F5C">
            <w:pPr>
              <w:pStyle w:val="53"/>
              <w:spacing w:line="240" w:lineRule="auto"/>
              <w:ind w:right="1"/>
              <w:jc w:val="center"/>
              <w:rPr>
                <w:sz w:val="18"/>
                <w:szCs w:val="18"/>
              </w:rPr>
            </w:pPr>
            <w:r>
              <w:rPr>
                <w:spacing w:val="-10"/>
                <w:sz w:val="18"/>
                <w:szCs w:val="18"/>
              </w:rPr>
              <w:t>—</w:t>
            </w:r>
          </w:p>
        </w:tc>
        <w:tc>
          <w:tcPr>
            <w:tcW w:w="367" w:type="pct"/>
          </w:tcPr>
          <w:p w14:paraId="1E7244F4">
            <w:pPr>
              <w:pStyle w:val="53"/>
              <w:spacing w:line="240" w:lineRule="auto"/>
              <w:ind w:left="102"/>
              <w:jc w:val="center"/>
              <w:rPr>
                <w:sz w:val="18"/>
                <w:szCs w:val="18"/>
              </w:rPr>
            </w:pPr>
            <w:r>
              <w:rPr>
                <w:spacing w:val="-10"/>
                <w:sz w:val="18"/>
                <w:szCs w:val="18"/>
              </w:rPr>
              <w:t>—</w:t>
            </w:r>
          </w:p>
        </w:tc>
        <w:tc>
          <w:tcPr>
            <w:tcW w:w="618" w:type="pct"/>
            <w:shd w:val="clear" w:color="auto" w:fill="auto"/>
          </w:tcPr>
          <w:p w14:paraId="20CC17E3">
            <w:pPr>
              <w:pStyle w:val="53"/>
              <w:spacing w:line="240" w:lineRule="auto"/>
              <w:ind w:left="289"/>
              <w:rPr>
                <w:sz w:val="18"/>
                <w:szCs w:val="18"/>
              </w:rPr>
            </w:pPr>
            <w:r>
              <w:rPr>
                <w:spacing w:val="-2"/>
                <w:sz w:val="18"/>
                <w:szCs w:val="18"/>
              </w:rPr>
              <w:t>0.0022</w:t>
            </w:r>
          </w:p>
        </w:tc>
        <w:tc>
          <w:tcPr>
            <w:tcW w:w="620" w:type="pct"/>
            <w:shd w:val="clear" w:color="auto" w:fill="auto"/>
          </w:tcPr>
          <w:p w14:paraId="50BD31BC">
            <w:pPr>
              <w:pStyle w:val="53"/>
              <w:spacing w:line="240" w:lineRule="auto"/>
              <w:ind w:right="11"/>
              <w:jc w:val="center"/>
              <w:rPr>
                <w:sz w:val="18"/>
                <w:szCs w:val="18"/>
              </w:rPr>
            </w:pPr>
            <w:r>
              <w:rPr>
                <w:spacing w:val="-2"/>
                <w:sz w:val="18"/>
                <w:szCs w:val="18"/>
              </w:rPr>
              <w:t>0.034</w:t>
            </w:r>
          </w:p>
        </w:tc>
        <w:tc>
          <w:tcPr>
            <w:tcW w:w="618" w:type="pct"/>
            <w:shd w:val="clear" w:color="auto" w:fill="auto"/>
          </w:tcPr>
          <w:p w14:paraId="0529E413">
            <w:pPr>
              <w:pStyle w:val="53"/>
              <w:spacing w:line="240" w:lineRule="auto"/>
              <w:ind w:left="254"/>
              <w:rPr>
                <w:sz w:val="18"/>
                <w:szCs w:val="18"/>
              </w:rPr>
            </w:pPr>
            <w:r>
              <w:rPr>
                <w:sz w:val="18"/>
                <w:szCs w:val="18"/>
              </w:rPr>
              <w:t>-</w:t>
            </w:r>
            <w:r>
              <w:rPr>
                <w:spacing w:val="-2"/>
                <w:sz w:val="18"/>
                <w:szCs w:val="18"/>
              </w:rPr>
              <w:t>0.0006</w:t>
            </w:r>
          </w:p>
        </w:tc>
        <w:tc>
          <w:tcPr>
            <w:tcW w:w="618" w:type="pct"/>
            <w:shd w:val="clear" w:color="auto" w:fill="auto"/>
          </w:tcPr>
          <w:p w14:paraId="331F5A29">
            <w:pPr>
              <w:pStyle w:val="53"/>
              <w:spacing w:line="240" w:lineRule="auto"/>
              <w:jc w:val="center"/>
              <w:rPr>
                <w:sz w:val="18"/>
                <w:szCs w:val="18"/>
              </w:rPr>
            </w:pPr>
            <w:r>
              <w:rPr>
                <w:spacing w:val="-2"/>
                <w:sz w:val="18"/>
                <w:szCs w:val="18"/>
              </w:rPr>
              <w:t>0.562</w:t>
            </w:r>
          </w:p>
        </w:tc>
      </w:tr>
      <w:tr w14:paraId="4EC0C709">
        <w:tblPrEx>
          <w:tblCellMar>
            <w:top w:w="0" w:type="dxa"/>
            <w:left w:w="0" w:type="dxa"/>
            <w:bottom w:w="0" w:type="dxa"/>
            <w:right w:w="0" w:type="dxa"/>
          </w:tblCellMar>
        </w:tblPrEx>
        <w:trPr>
          <w:trHeight w:val="510" w:hRule="exact"/>
        </w:trPr>
        <w:tc>
          <w:tcPr>
            <w:tcW w:w="926" w:type="pct"/>
            <w:tcBorders>
              <w:bottom w:val="single" w:color="auto" w:sz="4" w:space="0"/>
            </w:tcBorders>
          </w:tcPr>
          <w:p w14:paraId="3029811C">
            <w:pPr>
              <w:pStyle w:val="53"/>
              <w:spacing w:line="240" w:lineRule="auto"/>
              <w:ind w:left="119"/>
              <w:rPr>
                <w:sz w:val="18"/>
                <w:szCs w:val="18"/>
              </w:rPr>
            </w:pPr>
            <w:r>
              <w:rPr>
                <w:spacing w:val="-4"/>
                <w:sz w:val="18"/>
                <w:szCs w:val="18"/>
              </w:rPr>
              <w:t>Dual</w:t>
            </w:r>
          </w:p>
        </w:tc>
        <w:tc>
          <w:tcPr>
            <w:tcW w:w="540" w:type="pct"/>
            <w:tcBorders>
              <w:bottom w:val="single" w:color="auto" w:sz="4" w:space="0"/>
            </w:tcBorders>
          </w:tcPr>
          <w:p w14:paraId="434AE4AA">
            <w:pPr>
              <w:pStyle w:val="53"/>
              <w:spacing w:line="240" w:lineRule="auto"/>
              <w:jc w:val="center"/>
              <w:rPr>
                <w:sz w:val="18"/>
                <w:szCs w:val="18"/>
              </w:rPr>
            </w:pPr>
            <w:r>
              <w:rPr>
                <w:sz w:val="18"/>
                <w:szCs w:val="18"/>
              </w:rPr>
              <w:t>-</w:t>
            </w:r>
            <w:r>
              <w:rPr>
                <w:spacing w:val="-2"/>
                <w:sz w:val="18"/>
                <w:szCs w:val="18"/>
              </w:rPr>
              <w:t>0.0297</w:t>
            </w:r>
          </w:p>
        </w:tc>
        <w:tc>
          <w:tcPr>
            <w:tcW w:w="284" w:type="pct"/>
            <w:tcBorders>
              <w:bottom w:val="single" w:color="auto" w:sz="4" w:space="0"/>
            </w:tcBorders>
          </w:tcPr>
          <w:p w14:paraId="2B333144">
            <w:pPr>
              <w:pStyle w:val="53"/>
              <w:spacing w:line="240" w:lineRule="auto"/>
              <w:ind w:left="103"/>
              <w:jc w:val="center"/>
              <w:rPr>
                <w:sz w:val="18"/>
                <w:szCs w:val="18"/>
              </w:rPr>
            </w:pPr>
            <w:r>
              <w:rPr>
                <w:spacing w:val="-2"/>
                <w:sz w:val="18"/>
                <w:szCs w:val="18"/>
              </w:rPr>
              <w:t>0.005</w:t>
            </w:r>
          </w:p>
        </w:tc>
        <w:tc>
          <w:tcPr>
            <w:tcW w:w="409" w:type="pct"/>
            <w:tcBorders>
              <w:bottom w:val="single" w:color="auto" w:sz="4" w:space="0"/>
            </w:tcBorders>
          </w:tcPr>
          <w:p w14:paraId="65F5B992">
            <w:pPr>
              <w:pStyle w:val="53"/>
              <w:spacing w:line="240" w:lineRule="auto"/>
              <w:ind w:right="1"/>
              <w:jc w:val="center"/>
              <w:rPr>
                <w:sz w:val="18"/>
                <w:szCs w:val="18"/>
              </w:rPr>
            </w:pPr>
            <w:r>
              <w:rPr>
                <w:spacing w:val="-10"/>
                <w:sz w:val="18"/>
                <w:szCs w:val="18"/>
              </w:rPr>
              <w:t>—</w:t>
            </w:r>
          </w:p>
        </w:tc>
        <w:tc>
          <w:tcPr>
            <w:tcW w:w="367" w:type="pct"/>
            <w:tcBorders>
              <w:bottom w:val="single" w:color="auto" w:sz="4" w:space="0"/>
            </w:tcBorders>
          </w:tcPr>
          <w:p w14:paraId="1EDCF4E7">
            <w:pPr>
              <w:pStyle w:val="53"/>
              <w:spacing w:line="240" w:lineRule="auto"/>
              <w:ind w:left="102"/>
              <w:jc w:val="center"/>
              <w:rPr>
                <w:sz w:val="18"/>
                <w:szCs w:val="18"/>
              </w:rPr>
            </w:pPr>
            <w:r>
              <w:rPr>
                <w:spacing w:val="-10"/>
                <w:sz w:val="18"/>
                <w:szCs w:val="18"/>
              </w:rPr>
              <w:t>—</w:t>
            </w:r>
          </w:p>
        </w:tc>
        <w:tc>
          <w:tcPr>
            <w:tcW w:w="618" w:type="pct"/>
            <w:tcBorders>
              <w:bottom w:val="single" w:color="auto" w:sz="4" w:space="0"/>
            </w:tcBorders>
            <w:shd w:val="clear" w:color="auto" w:fill="auto"/>
          </w:tcPr>
          <w:p w14:paraId="1DABF3BF">
            <w:pPr>
              <w:pStyle w:val="53"/>
              <w:spacing w:line="240" w:lineRule="auto"/>
              <w:ind w:left="254"/>
              <w:rPr>
                <w:sz w:val="18"/>
                <w:szCs w:val="18"/>
              </w:rPr>
            </w:pPr>
            <w:r>
              <w:rPr>
                <w:sz w:val="18"/>
                <w:szCs w:val="18"/>
              </w:rPr>
              <w:t>-</w:t>
            </w:r>
            <w:r>
              <w:rPr>
                <w:spacing w:val="-2"/>
                <w:sz w:val="18"/>
                <w:szCs w:val="18"/>
              </w:rPr>
              <w:t>0.0008</w:t>
            </w:r>
          </w:p>
        </w:tc>
        <w:tc>
          <w:tcPr>
            <w:tcW w:w="620" w:type="pct"/>
            <w:tcBorders>
              <w:bottom w:val="single" w:color="auto" w:sz="4" w:space="0"/>
            </w:tcBorders>
            <w:shd w:val="clear" w:color="auto" w:fill="auto"/>
          </w:tcPr>
          <w:p w14:paraId="68B2B835">
            <w:pPr>
              <w:pStyle w:val="53"/>
              <w:spacing w:line="240" w:lineRule="auto"/>
              <w:ind w:right="11"/>
              <w:jc w:val="center"/>
              <w:rPr>
                <w:sz w:val="18"/>
                <w:szCs w:val="18"/>
              </w:rPr>
            </w:pPr>
            <w:r>
              <w:rPr>
                <w:spacing w:val="-2"/>
                <w:sz w:val="18"/>
                <w:szCs w:val="18"/>
              </w:rPr>
              <w:t>0.387</w:t>
            </w:r>
          </w:p>
        </w:tc>
        <w:tc>
          <w:tcPr>
            <w:tcW w:w="618" w:type="pct"/>
            <w:tcBorders>
              <w:bottom w:val="single" w:color="auto" w:sz="4" w:space="0"/>
            </w:tcBorders>
            <w:shd w:val="clear" w:color="auto" w:fill="auto"/>
          </w:tcPr>
          <w:p w14:paraId="2B51B095">
            <w:pPr>
              <w:pStyle w:val="53"/>
              <w:spacing w:line="240" w:lineRule="auto"/>
              <w:ind w:left="254"/>
              <w:rPr>
                <w:sz w:val="18"/>
                <w:szCs w:val="18"/>
              </w:rPr>
            </w:pPr>
            <w:r>
              <w:rPr>
                <w:sz w:val="18"/>
                <w:szCs w:val="18"/>
              </w:rPr>
              <w:t>-</w:t>
            </w:r>
            <w:r>
              <w:rPr>
                <w:spacing w:val="-2"/>
                <w:sz w:val="18"/>
                <w:szCs w:val="18"/>
              </w:rPr>
              <w:t>0.0076</w:t>
            </w:r>
          </w:p>
        </w:tc>
        <w:tc>
          <w:tcPr>
            <w:tcW w:w="618" w:type="pct"/>
            <w:tcBorders>
              <w:bottom w:val="single" w:color="auto" w:sz="4" w:space="0"/>
            </w:tcBorders>
            <w:shd w:val="clear" w:color="auto" w:fill="auto"/>
          </w:tcPr>
          <w:p w14:paraId="77F00A1C">
            <w:pPr>
              <w:pStyle w:val="53"/>
              <w:spacing w:line="240" w:lineRule="auto"/>
              <w:jc w:val="center"/>
              <w:rPr>
                <w:sz w:val="18"/>
                <w:szCs w:val="18"/>
              </w:rPr>
            </w:pPr>
            <w:r>
              <w:rPr>
                <w:spacing w:val="-2"/>
                <w:sz w:val="18"/>
                <w:szCs w:val="18"/>
              </w:rPr>
              <w:t>0.000</w:t>
            </w:r>
          </w:p>
        </w:tc>
      </w:tr>
      <w:tr w14:paraId="2EB36B95">
        <w:tblPrEx>
          <w:tblCellMar>
            <w:top w:w="0" w:type="dxa"/>
            <w:left w:w="0" w:type="dxa"/>
            <w:bottom w:w="0" w:type="dxa"/>
            <w:right w:w="0" w:type="dxa"/>
          </w:tblCellMar>
        </w:tblPrEx>
        <w:trPr>
          <w:trHeight w:val="510" w:hRule="exact"/>
        </w:trPr>
        <w:tc>
          <w:tcPr>
            <w:tcW w:w="5000" w:type="pct"/>
            <w:gridSpan w:val="9"/>
            <w:tcBorders>
              <w:top w:val="single" w:color="auto" w:sz="4" w:space="0"/>
              <w:bottom w:val="single" w:color="auto" w:sz="4" w:space="0"/>
            </w:tcBorders>
          </w:tcPr>
          <w:p w14:paraId="54A08FA4">
            <w:pPr>
              <w:pStyle w:val="53"/>
              <w:spacing w:line="240" w:lineRule="auto"/>
              <w:jc w:val="center"/>
              <w:rPr>
                <w:spacing w:val="-2"/>
                <w:sz w:val="18"/>
                <w:szCs w:val="18"/>
              </w:rPr>
            </w:pPr>
            <w:r>
              <w:rPr>
                <w:rFonts w:hint="eastAsia" w:ascii="宋体" w:hAnsi="宋体" w:eastAsia="宋体" w:cs="宋体"/>
                <w:sz w:val="18"/>
                <w:szCs w:val="18"/>
              </w:rPr>
              <w:t>表8（续）</w:t>
            </w:r>
          </w:p>
        </w:tc>
      </w:tr>
      <w:tr w14:paraId="446C9F87">
        <w:tblPrEx>
          <w:tblCellMar>
            <w:top w:w="0" w:type="dxa"/>
            <w:left w:w="0" w:type="dxa"/>
            <w:bottom w:w="0" w:type="dxa"/>
            <w:right w:w="0" w:type="dxa"/>
          </w:tblCellMar>
        </w:tblPrEx>
        <w:trPr>
          <w:trHeight w:val="510" w:hRule="exact"/>
        </w:trPr>
        <w:tc>
          <w:tcPr>
            <w:tcW w:w="926" w:type="pct"/>
          </w:tcPr>
          <w:p w14:paraId="34330746">
            <w:pPr>
              <w:pStyle w:val="53"/>
              <w:spacing w:line="240" w:lineRule="auto"/>
              <w:ind w:left="119"/>
              <w:rPr>
                <w:sz w:val="18"/>
                <w:szCs w:val="18"/>
              </w:rPr>
            </w:pPr>
            <w:r>
              <w:rPr>
                <w:spacing w:val="-2"/>
                <w:sz w:val="18"/>
                <w:szCs w:val="18"/>
              </w:rPr>
              <w:t>Indep</w:t>
            </w:r>
          </w:p>
        </w:tc>
        <w:tc>
          <w:tcPr>
            <w:tcW w:w="540" w:type="pct"/>
          </w:tcPr>
          <w:p w14:paraId="24AAE199">
            <w:pPr>
              <w:pStyle w:val="53"/>
              <w:spacing w:line="240" w:lineRule="auto"/>
              <w:jc w:val="center"/>
              <w:rPr>
                <w:sz w:val="18"/>
                <w:szCs w:val="18"/>
              </w:rPr>
            </w:pPr>
            <w:r>
              <w:rPr>
                <w:sz w:val="18"/>
                <w:szCs w:val="18"/>
              </w:rPr>
              <w:t>-</w:t>
            </w:r>
            <w:r>
              <w:rPr>
                <w:spacing w:val="-2"/>
                <w:sz w:val="18"/>
                <w:szCs w:val="18"/>
              </w:rPr>
              <w:t>0.0423</w:t>
            </w:r>
          </w:p>
        </w:tc>
        <w:tc>
          <w:tcPr>
            <w:tcW w:w="284" w:type="pct"/>
          </w:tcPr>
          <w:p w14:paraId="4A9D63E7">
            <w:pPr>
              <w:pStyle w:val="53"/>
              <w:spacing w:line="240" w:lineRule="auto"/>
              <w:ind w:left="103"/>
              <w:jc w:val="center"/>
              <w:rPr>
                <w:sz w:val="18"/>
                <w:szCs w:val="18"/>
              </w:rPr>
            </w:pPr>
            <w:r>
              <w:rPr>
                <w:spacing w:val="-2"/>
                <w:sz w:val="18"/>
                <w:szCs w:val="18"/>
              </w:rPr>
              <w:t>0.597</w:t>
            </w:r>
          </w:p>
        </w:tc>
        <w:tc>
          <w:tcPr>
            <w:tcW w:w="409" w:type="pct"/>
          </w:tcPr>
          <w:p w14:paraId="130E6D09">
            <w:pPr>
              <w:pStyle w:val="53"/>
              <w:spacing w:line="240" w:lineRule="auto"/>
              <w:ind w:right="1"/>
              <w:jc w:val="center"/>
              <w:rPr>
                <w:sz w:val="18"/>
                <w:szCs w:val="18"/>
              </w:rPr>
            </w:pPr>
            <w:r>
              <w:rPr>
                <w:spacing w:val="-10"/>
                <w:sz w:val="18"/>
                <w:szCs w:val="18"/>
              </w:rPr>
              <w:t>—</w:t>
            </w:r>
          </w:p>
        </w:tc>
        <w:tc>
          <w:tcPr>
            <w:tcW w:w="367" w:type="pct"/>
          </w:tcPr>
          <w:p w14:paraId="2B79BD20">
            <w:pPr>
              <w:pStyle w:val="53"/>
              <w:spacing w:line="240" w:lineRule="auto"/>
              <w:ind w:left="102"/>
              <w:jc w:val="center"/>
              <w:rPr>
                <w:sz w:val="18"/>
                <w:szCs w:val="18"/>
              </w:rPr>
            </w:pPr>
            <w:r>
              <w:rPr>
                <w:spacing w:val="-10"/>
                <w:sz w:val="18"/>
                <w:szCs w:val="18"/>
              </w:rPr>
              <w:t>—</w:t>
            </w:r>
          </w:p>
        </w:tc>
        <w:tc>
          <w:tcPr>
            <w:tcW w:w="618" w:type="pct"/>
            <w:shd w:val="clear" w:color="auto" w:fill="auto"/>
          </w:tcPr>
          <w:p w14:paraId="785939B5">
            <w:pPr>
              <w:pStyle w:val="53"/>
              <w:spacing w:line="240" w:lineRule="auto"/>
              <w:ind w:left="289"/>
              <w:rPr>
                <w:sz w:val="18"/>
                <w:szCs w:val="18"/>
              </w:rPr>
            </w:pPr>
            <w:r>
              <w:rPr>
                <w:spacing w:val="-2"/>
                <w:sz w:val="18"/>
                <w:szCs w:val="18"/>
              </w:rPr>
              <w:t>0.0015</w:t>
            </w:r>
          </w:p>
        </w:tc>
        <w:tc>
          <w:tcPr>
            <w:tcW w:w="620" w:type="pct"/>
            <w:shd w:val="clear" w:color="auto" w:fill="auto"/>
          </w:tcPr>
          <w:p w14:paraId="1207C0BB">
            <w:pPr>
              <w:pStyle w:val="53"/>
              <w:spacing w:line="240" w:lineRule="auto"/>
              <w:ind w:right="11"/>
              <w:jc w:val="center"/>
              <w:rPr>
                <w:sz w:val="18"/>
                <w:szCs w:val="18"/>
              </w:rPr>
            </w:pPr>
            <w:r>
              <w:rPr>
                <w:spacing w:val="-2"/>
                <w:sz w:val="18"/>
                <w:szCs w:val="18"/>
              </w:rPr>
              <w:t>0.819</w:t>
            </w:r>
          </w:p>
        </w:tc>
        <w:tc>
          <w:tcPr>
            <w:tcW w:w="618" w:type="pct"/>
            <w:shd w:val="clear" w:color="auto" w:fill="auto"/>
          </w:tcPr>
          <w:p w14:paraId="4E796FAB">
            <w:pPr>
              <w:pStyle w:val="53"/>
              <w:spacing w:line="240" w:lineRule="auto"/>
              <w:ind w:left="254"/>
              <w:rPr>
                <w:sz w:val="18"/>
                <w:szCs w:val="18"/>
              </w:rPr>
            </w:pPr>
            <w:r>
              <w:rPr>
                <w:sz w:val="18"/>
                <w:szCs w:val="18"/>
              </w:rPr>
              <w:t>-</w:t>
            </w:r>
            <w:r>
              <w:rPr>
                <w:spacing w:val="-2"/>
                <w:sz w:val="18"/>
                <w:szCs w:val="18"/>
              </w:rPr>
              <w:t>0.0095</w:t>
            </w:r>
          </w:p>
        </w:tc>
        <w:tc>
          <w:tcPr>
            <w:tcW w:w="618" w:type="pct"/>
            <w:shd w:val="clear" w:color="auto" w:fill="auto"/>
          </w:tcPr>
          <w:p w14:paraId="23BDD3A1">
            <w:pPr>
              <w:pStyle w:val="53"/>
              <w:spacing w:line="240" w:lineRule="auto"/>
              <w:jc w:val="center"/>
              <w:rPr>
                <w:sz w:val="18"/>
                <w:szCs w:val="18"/>
              </w:rPr>
            </w:pPr>
            <w:r>
              <w:rPr>
                <w:spacing w:val="-2"/>
                <w:sz w:val="18"/>
                <w:szCs w:val="18"/>
              </w:rPr>
              <w:t>0.137</w:t>
            </w:r>
          </w:p>
        </w:tc>
      </w:tr>
      <w:tr w14:paraId="3363DA25">
        <w:tblPrEx>
          <w:tblCellMar>
            <w:top w:w="0" w:type="dxa"/>
            <w:left w:w="0" w:type="dxa"/>
            <w:bottom w:w="0" w:type="dxa"/>
            <w:right w:w="0" w:type="dxa"/>
          </w:tblCellMar>
        </w:tblPrEx>
        <w:trPr>
          <w:trHeight w:val="510" w:hRule="exact"/>
        </w:trPr>
        <w:tc>
          <w:tcPr>
            <w:tcW w:w="926" w:type="pct"/>
          </w:tcPr>
          <w:p w14:paraId="1630E84B">
            <w:pPr>
              <w:pStyle w:val="53"/>
              <w:spacing w:line="240" w:lineRule="auto"/>
              <w:ind w:left="119"/>
              <w:rPr>
                <w:sz w:val="18"/>
                <w:szCs w:val="18"/>
              </w:rPr>
            </w:pPr>
            <w:r>
              <w:rPr>
                <w:spacing w:val="-5"/>
                <w:sz w:val="18"/>
                <w:szCs w:val="18"/>
              </w:rPr>
              <w:t>Lev</w:t>
            </w:r>
          </w:p>
        </w:tc>
        <w:tc>
          <w:tcPr>
            <w:tcW w:w="540" w:type="pct"/>
          </w:tcPr>
          <w:p w14:paraId="6D4C4E73">
            <w:pPr>
              <w:pStyle w:val="53"/>
              <w:spacing w:line="240" w:lineRule="auto"/>
              <w:jc w:val="center"/>
              <w:rPr>
                <w:sz w:val="18"/>
                <w:szCs w:val="18"/>
              </w:rPr>
            </w:pPr>
            <w:r>
              <w:rPr>
                <w:sz w:val="18"/>
                <w:szCs w:val="18"/>
              </w:rPr>
              <w:t>-</w:t>
            </w:r>
            <w:r>
              <w:rPr>
                <w:spacing w:val="-2"/>
                <w:sz w:val="18"/>
                <w:szCs w:val="18"/>
              </w:rPr>
              <w:t>0.0263</w:t>
            </w:r>
          </w:p>
        </w:tc>
        <w:tc>
          <w:tcPr>
            <w:tcW w:w="284" w:type="pct"/>
          </w:tcPr>
          <w:p w14:paraId="236A7D60">
            <w:pPr>
              <w:pStyle w:val="53"/>
              <w:spacing w:line="240" w:lineRule="auto"/>
              <w:ind w:left="103"/>
              <w:jc w:val="center"/>
              <w:rPr>
                <w:sz w:val="18"/>
                <w:szCs w:val="18"/>
              </w:rPr>
            </w:pPr>
            <w:r>
              <w:rPr>
                <w:spacing w:val="-2"/>
                <w:sz w:val="18"/>
                <w:szCs w:val="18"/>
              </w:rPr>
              <w:t>0.908</w:t>
            </w:r>
          </w:p>
        </w:tc>
        <w:tc>
          <w:tcPr>
            <w:tcW w:w="409" w:type="pct"/>
          </w:tcPr>
          <w:p w14:paraId="47589F6C">
            <w:pPr>
              <w:pStyle w:val="53"/>
              <w:spacing w:line="240" w:lineRule="auto"/>
              <w:ind w:right="1"/>
              <w:jc w:val="center"/>
              <w:rPr>
                <w:sz w:val="18"/>
                <w:szCs w:val="18"/>
              </w:rPr>
            </w:pPr>
            <w:r>
              <w:rPr>
                <w:spacing w:val="-10"/>
                <w:sz w:val="18"/>
                <w:szCs w:val="18"/>
              </w:rPr>
              <w:t>—</w:t>
            </w:r>
          </w:p>
        </w:tc>
        <w:tc>
          <w:tcPr>
            <w:tcW w:w="367" w:type="pct"/>
          </w:tcPr>
          <w:p w14:paraId="2DE8BA04">
            <w:pPr>
              <w:pStyle w:val="53"/>
              <w:spacing w:line="240" w:lineRule="auto"/>
              <w:ind w:left="102"/>
              <w:jc w:val="center"/>
              <w:rPr>
                <w:sz w:val="18"/>
                <w:szCs w:val="18"/>
              </w:rPr>
            </w:pPr>
            <w:r>
              <w:rPr>
                <w:spacing w:val="-10"/>
                <w:sz w:val="18"/>
                <w:szCs w:val="18"/>
              </w:rPr>
              <w:t>—</w:t>
            </w:r>
          </w:p>
        </w:tc>
        <w:tc>
          <w:tcPr>
            <w:tcW w:w="618" w:type="pct"/>
            <w:shd w:val="clear" w:color="auto" w:fill="auto"/>
          </w:tcPr>
          <w:p w14:paraId="543505BE">
            <w:pPr>
              <w:pStyle w:val="53"/>
              <w:spacing w:line="240" w:lineRule="auto"/>
              <w:ind w:left="254"/>
              <w:rPr>
                <w:sz w:val="18"/>
                <w:szCs w:val="18"/>
              </w:rPr>
            </w:pPr>
            <w:r>
              <w:rPr>
                <w:sz w:val="18"/>
                <w:szCs w:val="18"/>
              </w:rPr>
              <w:t>-</w:t>
            </w:r>
            <w:r>
              <w:rPr>
                <w:spacing w:val="-2"/>
                <w:sz w:val="18"/>
                <w:szCs w:val="18"/>
              </w:rPr>
              <w:t>0.0127</w:t>
            </w:r>
          </w:p>
        </w:tc>
        <w:tc>
          <w:tcPr>
            <w:tcW w:w="620" w:type="pct"/>
            <w:shd w:val="clear" w:color="auto" w:fill="auto"/>
          </w:tcPr>
          <w:p w14:paraId="112A1F25">
            <w:pPr>
              <w:pStyle w:val="53"/>
              <w:spacing w:line="240" w:lineRule="auto"/>
              <w:ind w:right="11"/>
              <w:jc w:val="center"/>
              <w:rPr>
                <w:sz w:val="18"/>
                <w:szCs w:val="18"/>
              </w:rPr>
            </w:pPr>
            <w:r>
              <w:rPr>
                <w:spacing w:val="-2"/>
                <w:sz w:val="18"/>
                <w:szCs w:val="18"/>
              </w:rPr>
              <w:t>0.519</w:t>
            </w:r>
          </w:p>
        </w:tc>
        <w:tc>
          <w:tcPr>
            <w:tcW w:w="618" w:type="pct"/>
            <w:shd w:val="clear" w:color="auto" w:fill="auto"/>
          </w:tcPr>
          <w:p w14:paraId="17F98F1B">
            <w:pPr>
              <w:pStyle w:val="53"/>
              <w:spacing w:line="240" w:lineRule="auto"/>
              <w:ind w:left="254"/>
              <w:rPr>
                <w:sz w:val="18"/>
                <w:szCs w:val="18"/>
              </w:rPr>
            </w:pPr>
            <w:r>
              <w:rPr>
                <w:sz w:val="18"/>
                <w:szCs w:val="18"/>
              </w:rPr>
              <w:t>-</w:t>
            </w:r>
            <w:r>
              <w:rPr>
                <w:spacing w:val="-2"/>
                <w:sz w:val="18"/>
                <w:szCs w:val="18"/>
              </w:rPr>
              <w:t>0.0087</w:t>
            </w:r>
          </w:p>
        </w:tc>
        <w:tc>
          <w:tcPr>
            <w:tcW w:w="618" w:type="pct"/>
            <w:shd w:val="clear" w:color="auto" w:fill="auto"/>
          </w:tcPr>
          <w:p w14:paraId="5BF3CF48">
            <w:pPr>
              <w:pStyle w:val="53"/>
              <w:spacing w:line="240" w:lineRule="auto"/>
              <w:jc w:val="center"/>
              <w:rPr>
                <w:sz w:val="18"/>
                <w:szCs w:val="18"/>
              </w:rPr>
            </w:pPr>
            <w:r>
              <w:rPr>
                <w:spacing w:val="-2"/>
                <w:sz w:val="18"/>
                <w:szCs w:val="18"/>
              </w:rPr>
              <w:t>0.627</w:t>
            </w:r>
          </w:p>
        </w:tc>
      </w:tr>
      <w:tr w14:paraId="147F20B0">
        <w:tblPrEx>
          <w:tblCellMar>
            <w:top w:w="0" w:type="dxa"/>
            <w:left w:w="0" w:type="dxa"/>
            <w:bottom w:w="0" w:type="dxa"/>
            <w:right w:w="0" w:type="dxa"/>
          </w:tblCellMar>
        </w:tblPrEx>
        <w:trPr>
          <w:trHeight w:val="510" w:hRule="exact"/>
        </w:trPr>
        <w:tc>
          <w:tcPr>
            <w:tcW w:w="926" w:type="pct"/>
          </w:tcPr>
          <w:p w14:paraId="18B480E1">
            <w:pPr>
              <w:pStyle w:val="53"/>
              <w:spacing w:line="240" w:lineRule="auto"/>
              <w:ind w:left="119"/>
              <w:rPr>
                <w:sz w:val="18"/>
                <w:szCs w:val="18"/>
              </w:rPr>
            </w:pPr>
            <w:r>
              <w:rPr>
                <w:spacing w:val="-4"/>
                <w:sz w:val="18"/>
                <w:szCs w:val="18"/>
              </w:rPr>
              <w:t>Size</w:t>
            </w:r>
          </w:p>
        </w:tc>
        <w:tc>
          <w:tcPr>
            <w:tcW w:w="540" w:type="pct"/>
          </w:tcPr>
          <w:p w14:paraId="5FC0FD7F">
            <w:pPr>
              <w:pStyle w:val="53"/>
              <w:spacing w:line="240" w:lineRule="auto"/>
              <w:jc w:val="center"/>
              <w:rPr>
                <w:sz w:val="18"/>
                <w:szCs w:val="18"/>
              </w:rPr>
            </w:pPr>
            <w:r>
              <w:rPr>
                <w:spacing w:val="-2"/>
                <w:sz w:val="18"/>
                <w:szCs w:val="18"/>
              </w:rPr>
              <w:t>0.0091</w:t>
            </w:r>
          </w:p>
        </w:tc>
        <w:tc>
          <w:tcPr>
            <w:tcW w:w="284" w:type="pct"/>
          </w:tcPr>
          <w:p w14:paraId="09C9CF1A">
            <w:pPr>
              <w:pStyle w:val="53"/>
              <w:spacing w:line="240" w:lineRule="auto"/>
              <w:ind w:left="103"/>
              <w:jc w:val="center"/>
              <w:rPr>
                <w:sz w:val="18"/>
                <w:szCs w:val="18"/>
              </w:rPr>
            </w:pPr>
            <w:r>
              <w:rPr>
                <w:spacing w:val="-2"/>
                <w:sz w:val="18"/>
                <w:szCs w:val="18"/>
              </w:rPr>
              <w:t>0.329</w:t>
            </w:r>
          </w:p>
        </w:tc>
        <w:tc>
          <w:tcPr>
            <w:tcW w:w="409" w:type="pct"/>
          </w:tcPr>
          <w:p w14:paraId="1E1AC362">
            <w:pPr>
              <w:pStyle w:val="53"/>
              <w:spacing w:line="240" w:lineRule="auto"/>
              <w:ind w:right="1"/>
              <w:jc w:val="center"/>
              <w:rPr>
                <w:sz w:val="18"/>
                <w:szCs w:val="18"/>
              </w:rPr>
            </w:pPr>
            <w:r>
              <w:rPr>
                <w:spacing w:val="-10"/>
                <w:sz w:val="18"/>
                <w:szCs w:val="18"/>
              </w:rPr>
              <w:t>—</w:t>
            </w:r>
          </w:p>
        </w:tc>
        <w:tc>
          <w:tcPr>
            <w:tcW w:w="367" w:type="pct"/>
          </w:tcPr>
          <w:p w14:paraId="03C63D27">
            <w:pPr>
              <w:pStyle w:val="53"/>
              <w:spacing w:line="240" w:lineRule="auto"/>
              <w:ind w:left="102"/>
              <w:jc w:val="center"/>
              <w:rPr>
                <w:sz w:val="18"/>
                <w:szCs w:val="18"/>
              </w:rPr>
            </w:pPr>
            <w:r>
              <w:rPr>
                <w:spacing w:val="-10"/>
                <w:sz w:val="18"/>
                <w:szCs w:val="18"/>
              </w:rPr>
              <w:t>—</w:t>
            </w:r>
          </w:p>
        </w:tc>
        <w:tc>
          <w:tcPr>
            <w:tcW w:w="618" w:type="pct"/>
            <w:shd w:val="clear" w:color="auto" w:fill="auto"/>
          </w:tcPr>
          <w:p w14:paraId="6724BDA2">
            <w:pPr>
              <w:pStyle w:val="53"/>
              <w:spacing w:line="240" w:lineRule="auto"/>
              <w:ind w:left="254"/>
              <w:rPr>
                <w:sz w:val="18"/>
                <w:szCs w:val="18"/>
              </w:rPr>
            </w:pPr>
            <w:r>
              <w:rPr>
                <w:sz w:val="18"/>
                <w:szCs w:val="18"/>
              </w:rPr>
              <w:t>-</w:t>
            </w:r>
            <w:r>
              <w:rPr>
                <w:spacing w:val="-2"/>
                <w:sz w:val="18"/>
                <w:szCs w:val="18"/>
              </w:rPr>
              <w:t>0.0002</w:t>
            </w:r>
          </w:p>
        </w:tc>
        <w:tc>
          <w:tcPr>
            <w:tcW w:w="620" w:type="pct"/>
            <w:shd w:val="clear" w:color="auto" w:fill="auto"/>
          </w:tcPr>
          <w:p w14:paraId="078BE019">
            <w:pPr>
              <w:pStyle w:val="53"/>
              <w:spacing w:line="240" w:lineRule="auto"/>
              <w:ind w:right="11"/>
              <w:jc w:val="center"/>
              <w:rPr>
                <w:sz w:val="18"/>
                <w:szCs w:val="18"/>
              </w:rPr>
            </w:pPr>
            <w:r>
              <w:rPr>
                <w:spacing w:val="-2"/>
                <w:sz w:val="18"/>
                <w:szCs w:val="18"/>
              </w:rPr>
              <w:t>0.751</w:t>
            </w:r>
          </w:p>
        </w:tc>
        <w:tc>
          <w:tcPr>
            <w:tcW w:w="618" w:type="pct"/>
            <w:shd w:val="clear" w:color="auto" w:fill="auto"/>
          </w:tcPr>
          <w:p w14:paraId="1C20D64F">
            <w:pPr>
              <w:pStyle w:val="53"/>
              <w:spacing w:line="240" w:lineRule="auto"/>
              <w:ind w:left="289"/>
              <w:rPr>
                <w:sz w:val="18"/>
                <w:szCs w:val="18"/>
              </w:rPr>
            </w:pPr>
            <w:r>
              <w:rPr>
                <w:spacing w:val="-2"/>
                <w:sz w:val="18"/>
                <w:szCs w:val="18"/>
              </w:rPr>
              <w:t>0.0031</w:t>
            </w:r>
          </w:p>
        </w:tc>
        <w:tc>
          <w:tcPr>
            <w:tcW w:w="618" w:type="pct"/>
            <w:shd w:val="clear" w:color="auto" w:fill="auto"/>
          </w:tcPr>
          <w:p w14:paraId="32CA4328">
            <w:pPr>
              <w:pStyle w:val="53"/>
              <w:spacing w:line="240" w:lineRule="auto"/>
              <w:jc w:val="center"/>
              <w:rPr>
                <w:sz w:val="18"/>
                <w:szCs w:val="18"/>
              </w:rPr>
            </w:pPr>
            <w:r>
              <w:rPr>
                <w:spacing w:val="-2"/>
                <w:sz w:val="18"/>
                <w:szCs w:val="18"/>
              </w:rPr>
              <w:t>0.000</w:t>
            </w:r>
          </w:p>
        </w:tc>
      </w:tr>
      <w:tr w14:paraId="568D44E3">
        <w:tblPrEx>
          <w:tblCellMar>
            <w:top w:w="0" w:type="dxa"/>
            <w:left w:w="0" w:type="dxa"/>
            <w:bottom w:w="0" w:type="dxa"/>
            <w:right w:w="0" w:type="dxa"/>
          </w:tblCellMar>
        </w:tblPrEx>
        <w:trPr>
          <w:trHeight w:val="510" w:hRule="exact"/>
        </w:trPr>
        <w:tc>
          <w:tcPr>
            <w:tcW w:w="926" w:type="pct"/>
            <w:tcBorders>
              <w:bottom w:val="single" w:color="000000" w:sz="8" w:space="0"/>
            </w:tcBorders>
          </w:tcPr>
          <w:p w14:paraId="6C15BA87">
            <w:pPr>
              <w:pStyle w:val="53"/>
              <w:spacing w:line="240" w:lineRule="auto"/>
              <w:ind w:left="119"/>
              <w:rPr>
                <w:sz w:val="18"/>
                <w:szCs w:val="18"/>
              </w:rPr>
            </w:pPr>
            <w:r>
              <w:rPr>
                <w:spacing w:val="-4"/>
                <w:sz w:val="18"/>
                <w:szCs w:val="18"/>
              </w:rPr>
              <w:t>Big4</w:t>
            </w:r>
          </w:p>
        </w:tc>
        <w:tc>
          <w:tcPr>
            <w:tcW w:w="540" w:type="pct"/>
            <w:tcBorders>
              <w:bottom w:val="single" w:color="000000" w:sz="8" w:space="0"/>
            </w:tcBorders>
          </w:tcPr>
          <w:p w14:paraId="18A1CEE5">
            <w:pPr>
              <w:pStyle w:val="53"/>
              <w:spacing w:line="240" w:lineRule="auto"/>
              <w:jc w:val="center"/>
              <w:rPr>
                <w:sz w:val="18"/>
                <w:szCs w:val="18"/>
              </w:rPr>
            </w:pPr>
            <w:r>
              <w:rPr>
                <w:sz w:val="18"/>
                <w:szCs w:val="18"/>
              </w:rPr>
              <w:t>-</w:t>
            </w:r>
            <w:r>
              <w:rPr>
                <w:spacing w:val="-2"/>
                <w:sz w:val="18"/>
                <w:szCs w:val="18"/>
              </w:rPr>
              <w:t>0.0181</w:t>
            </w:r>
          </w:p>
        </w:tc>
        <w:tc>
          <w:tcPr>
            <w:tcW w:w="284" w:type="pct"/>
            <w:tcBorders>
              <w:bottom w:val="single" w:color="000000" w:sz="8" w:space="0"/>
            </w:tcBorders>
          </w:tcPr>
          <w:p w14:paraId="128AF8CB">
            <w:pPr>
              <w:pStyle w:val="53"/>
              <w:spacing w:line="240" w:lineRule="auto"/>
              <w:ind w:left="103"/>
              <w:jc w:val="center"/>
              <w:rPr>
                <w:sz w:val="18"/>
                <w:szCs w:val="18"/>
              </w:rPr>
            </w:pPr>
            <w:r>
              <w:rPr>
                <w:spacing w:val="-2"/>
                <w:sz w:val="18"/>
                <w:szCs w:val="18"/>
              </w:rPr>
              <w:t>0.349</w:t>
            </w:r>
          </w:p>
        </w:tc>
        <w:tc>
          <w:tcPr>
            <w:tcW w:w="409" w:type="pct"/>
            <w:tcBorders>
              <w:bottom w:val="single" w:color="000000" w:sz="8" w:space="0"/>
            </w:tcBorders>
          </w:tcPr>
          <w:p w14:paraId="78772FCD">
            <w:pPr>
              <w:pStyle w:val="53"/>
              <w:spacing w:line="240" w:lineRule="auto"/>
              <w:ind w:right="1"/>
              <w:jc w:val="center"/>
              <w:rPr>
                <w:sz w:val="18"/>
                <w:szCs w:val="18"/>
              </w:rPr>
            </w:pPr>
            <w:r>
              <w:rPr>
                <w:spacing w:val="-10"/>
                <w:sz w:val="18"/>
                <w:szCs w:val="18"/>
              </w:rPr>
              <w:t>—</w:t>
            </w:r>
          </w:p>
        </w:tc>
        <w:tc>
          <w:tcPr>
            <w:tcW w:w="367" w:type="pct"/>
            <w:tcBorders>
              <w:bottom w:val="single" w:color="000000" w:sz="8" w:space="0"/>
            </w:tcBorders>
          </w:tcPr>
          <w:p w14:paraId="0F71C42F">
            <w:pPr>
              <w:pStyle w:val="53"/>
              <w:spacing w:line="240" w:lineRule="auto"/>
              <w:ind w:left="102"/>
              <w:jc w:val="center"/>
              <w:rPr>
                <w:sz w:val="18"/>
                <w:szCs w:val="18"/>
              </w:rPr>
            </w:pPr>
            <w:r>
              <w:rPr>
                <w:spacing w:val="-10"/>
                <w:sz w:val="18"/>
                <w:szCs w:val="18"/>
              </w:rPr>
              <w:t>—</w:t>
            </w:r>
          </w:p>
        </w:tc>
        <w:tc>
          <w:tcPr>
            <w:tcW w:w="618" w:type="pct"/>
            <w:tcBorders>
              <w:bottom w:val="single" w:color="000000" w:sz="8" w:space="0"/>
            </w:tcBorders>
            <w:shd w:val="clear" w:color="auto" w:fill="auto"/>
          </w:tcPr>
          <w:p w14:paraId="1A800A88">
            <w:pPr>
              <w:pStyle w:val="53"/>
              <w:spacing w:line="240" w:lineRule="auto"/>
              <w:ind w:left="289"/>
              <w:rPr>
                <w:sz w:val="18"/>
                <w:szCs w:val="18"/>
              </w:rPr>
            </w:pPr>
            <w:r>
              <w:rPr>
                <w:spacing w:val="-2"/>
                <w:sz w:val="18"/>
                <w:szCs w:val="18"/>
              </w:rPr>
              <w:t>0.0017</w:t>
            </w:r>
          </w:p>
        </w:tc>
        <w:tc>
          <w:tcPr>
            <w:tcW w:w="620" w:type="pct"/>
            <w:tcBorders>
              <w:bottom w:val="single" w:color="000000" w:sz="8" w:space="0"/>
            </w:tcBorders>
            <w:shd w:val="clear" w:color="auto" w:fill="auto"/>
          </w:tcPr>
          <w:p w14:paraId="3D20B383">
            <w:pPr>
              <w:pStyle w:val="53"/>
              <w:spacing w:line="240" w:lineRule="auto"/>
              <w:ind w:right="11"/>
              <w:jc w:val="center"/>
              <w:rPr>
                <w:sz w:val="18"/>
                <w:szCs w:val="18"/>
              </w:rPr>
            </w:pPr>
            <w:r>
              <w:rPr>
                <w:spacing w:val="-2"/>
                <w:sz w:val="18"/>
                <w:szCs w:val="18"/>
              </w:rPr>
              <w:t>0.336</w:t>
            </w:r>
          </w:p>
        </w:tc>
        <w:tc>
          <w:tcPr>
            <w:tcW w:w="618" w:type="pct"/>
            <w:tcBorders>
              <w:bottom w:val="single" w:color="000000" w:sz="8" w:space="0"/>
            </w:tcBorders>
            <w:shd w:val="clear" w:color="auto" w:fill="auto"/>
          </w:tcPr>
          <w:p w14:paraId="2A937398">
            <w:pPr>
              <w:pStyle w:val="53"/>
              <w:spacing w:line="240" w:lineRule="auto"/>
              <w:ind w:left="254"/>
              <w:rPr>
                <w:sz w:val="18"/>
                <w:szCs w:val="18"/>
              </w:rPr>
            </w:pPr>
            <w:r>
              <w:rPr>
                <w:sz w:val="18"/>
                <w:szCs w:val="18"/>
              </w:rPr>
              <w:t>-</w:t>
            </w:r>
            <w:r>
              <w:rPr>
                <w:spacing w:val="-2"/>
                <w:sz w:val="18"/>
                <w:szCs w:val="18"/>
              </w:rPr>
              <w:t>0.0002</w:t>
            </w:r>
          </w:p>
        </w:tc>
        <w:tc>
          <w:tcPr>
            <w:tcW w:w="618" w:type="pct"/>
            <w:tcBorders>
              <w:bottom w:val="single" w:color="000000" w:sz="8" w:space="0"/>
            </w:tcBorders>
            <w:shd w:val="clear" w:color="auto" w:fill="auto"/>
          </w:tcPr>
          <w:p w14:paraId="75C6613D">
            <w:pPr>
              <w:pStyle w:val="53"/>
              <w:spacing w:line="240" w:lineRule="auto"/>
              <w:jc w:val="center"/>
              <w:rPr>
                <w:sz w:val="18"/>
                <w:szCs w:val="18"/>
              </w:rPr>
            </w:pPr>
            <w:r>
              <w:rPr>
                <w:spacing w:val="-2"/>
                <w:sz w:val="18"/>
                <w:szCs w:val="18"/>
              </w:rPr>
              <w:t>0.875</w:t>
            </w:r>
          </w:p>
        </w:tc>
      </w:tr>
    </w:tbl>
    <w:p w14:paraId="0498AFAE">
      <w:pPr>
        <w:ind w:firstLine="420" w:firstLineChars="200"/>
        <w:rPr>
          <w:rFonts w:hint="eastAsia" w:ascii="宋体" w:hAnsi="宋体" w:eastAsia="宋体" w:cs="Times New Roman"/>
          <w:sz w:val="21"/>
          <w:szCs w:val="21"/>
        </w:rPr>
      </w:pPr>
    </w:p>
    <w:p w14:paraId="7098594F">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交互项</w:t>
      </w:r>
      <m:oMath>
        <m:r>
          <m:rPr/>
          <w:rPr>
            <w:rFonts w:ascii="Cambria Math" w:hAnsi="Cambria Math" w:eastAsia="宋体" w:cs="Times New Roman"/>
            <w:sz w:val="21"/>
            <w:szCs w:val="21"/>
          </w:rPr>
          <m:t>M×D</m:t>
        </m:r>
      </m:oMath>
      <w:r>
        <w:rPr>
          <w:rFonts w:hint="eastAsia" w:ascii="宋体" w:hAnsi="宋体" w:eastAsia="宋体" w:cs="Times New Roman"/>
          <w:sz w:val="21"/>
          <w:szCs w:val="21"/>
        </w:rPr>
        <w:t>估计系数为0.0099但不显著，说明来自权威性不同的媒体的新闻，其虚假性对股票价格没有显著区别。在进一步分析中，本文还将将新闻来源权威媒体组别作为组别，在DID模型基础上进行分组回归，所得结果如表8中分组双重差分。表中估计系数</w:t>
      </w:r>
      <w:r>
        <w:rPr>
          <w:rFonts w:ascii="宋体" w:hAnsi="宋体" w:eastAsia="宋体" w:cs="Times New Roman"/>
          <w:sz w:val="21"/>
          <w:szCs w:val="21"/>
        </w:rPr>
        <w:t>did在权威组中为</w:t>
      </w:r>
      <w:r>
        <w:rPr>
          <w:rFonts w:hint="eastAsia" w:ascii="Cambria Math" w:hAnsi="Cambria Math" w:eastAsia="宋体" w:cs="Cambria Math"/>
          <w:sz w:val="21"/>
          <w:szCs w:val="21"/>
        </w:rPr>
        <w:t>-</w:t>
      </w:r>
      <w:r>
        <w:rPr>
          <w:rFonts w:ascii="宋体" w:hAnsi="宋体" w:eastAsia="宋体" w:cs="Times New Roman"/>
          <w:sz w:val="21"/>
          <w:szCs w:val="21"/>
        </w:rPr>
        <w:t>0.0053且显</w:t>
      </w:r>
      <w:r>
        <w:rPr>
          <w:rFonts w:hint="eastAsia" w:ascii="宋体" w:hAnsi="宋体" w:eastAsia="宋体" w:cs="Times New Roman"/>
          <w:sz w:val="21"/>
          <w:szCs w:val="21"/>
        </w:rPr>
        <w:t>著，比未分组前更小；在非权威组中为</w:t>
      </w:r>
      <w:r>
        <w:rPr>
          <w:rFonts w:hint="eastAsia" w:ascii="Cambria Math" w:hAnsi="Cambria Math" w:eastAsia="宋体" w:cs="Cambria Math"/>
          <w:sz w:val="21"/>
          <w:szCs w:val="21"/>
        </w:rPr>
        <w:t>-</w:t>
      </w:r>
      <w:r>
        <w:rPr>
          <w:rFonts w:ascii="宋体" w:hAnsi="宋体" w:eastAsia="宋体" w:cs="Times New Roman"/>
          <w:sz w:val="21"/>
          <w:szCs w:val="21"/>
        </w:rPr>
        <w:t>0.0023但</w:t>
      </w:r>
      <w:r>
        <w:rPr>
          <w:rFonts w:hint="eastAsia" w:ascii="宋体" w:hAnsi="宋体" w:eastAsia="宋体" w:cs="Times New Roman"/>
          <w:sz w:val="21"/>
          <w:szCs w:val="21"/>
        </w:rPr>
        <w:t>不显著。</w:t>
      </w:r>
    </w:p>
    <w:p w14:paraId="1FA72742">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分组回归的区别证实了投资者对传闻准确性的判断受到传闻来源媒体的权威性的影响，媒体权威性对投资者的反应具有调节作用这一假设。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p w14:paraId="6A99D6AE">
      <w:pPr>
        <w:spacing w:line="240" w:lineRule="auto"/>
        <w:jc w:val="left"/>
        <w:rPr>
          <w:rFonts w:hint="eastAsia" w:ascii="宋体" w:hAnsi="宋体" w:eastAsia="宋体" w:cs="Times New Roman"/>
          <w:sz w:val="21"/>
          <w:szCs w:val="21"/>
        </w:rPr>
      </w:pPr>
      <w:r>
        <w:rPr>
          <w:rFonts w:hint="eastAsia" w:ascii="宋体" w:hAnsi="宋体" w:eastAsia="宋体" w:cs="Times New Roman"/>
          <w:sz w:val="21"/>
          <w:szCs w:val="21"/>
        </w:rPr>
        <w:br w:type="page"/>
      </w:r>
    </w:p>
    <w:p w14:paraId="2ACDCAE5">
      <w:pPr>
        <w:jc w:val="center"/>
        <w:outlineLvl w:val="0"/>
        <w:rPr>
          <w:rFonts w:hint="eastAsia" w:ascii="宋体" w:hAnsi="宋体" w:eastAsia="宋体" w:cs="Times New Roman"/>
          <w:b/>
          <w:bCs/>
          <w:sz w:val="24"/>
          <w:szCs w:val="24"/>
        </w:rPr>
      </w:pPr>
      <w:bookmarkStart w:id="25" w:name="_Toc30430"/>
      <w:r>
        <w:rPr>
          <w:rFonts w:hint="eastAsia" w:ascii="宋体" w:hAnsi="宋体" w:eastAsia="宋体" w:cs="Times New Roman"/>
          <w:b/>
          <w:bCs/>
          <w:sz w:val="24"/>
          <w:szCs w:val="24"/>
        </w:rPr>
        <w:t>六、结论与启示</w:t>
      </w:r>
      <w:bookmarkEnd w:id="25"/>
    </w:p>
    <w:p w14:paraId="33ED8C6F">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本研究系统探讨了虚假财经新闻对中国金融市场的影响机制，重点分析了其如何通过投资者情绪传导，影响股价异常波动。基于2015-2022年间的中国金融市场数据，本文利用事件研究法测度虚假财经新闻对股价异常收益率的影响，并采用双重差分（DID）方法和基准回归进行因果效应识别。研究结果表明：</w:t>
      </w:r>
    </w:p>
    <w:p w14:paraId="3B313E9D">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第一，虚假财经新闻的传播显著影响了市场的异常收益率。虚假财经新闻发布后，受影响个股的股价呈现出显著的异常收益波动，表现为短期内的负向冲击，较之于真实财经新闻更为显著。进一步的回归分析证实了这种效应的显著性，并表明虚假财经新闻的冲击在事件窗口期后逐渐减弱。</w:t>
      </w:r>
    </w:p>
    <w:p w14:paraId="6B3BE107">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第二，财经新闻情绪对市场的累计异常收益率呈正相关，财经新闻的情绪分数越高，股价累计异常收益率越高，说明财经新闻情绪能左右市场。而进一步的异质性和稳健性检验又表明，不同的情绪测度方法最终会导致显著性的差异，而使用Deepseek作为情绪测度工具较之于Bert等传统方法更好。</w:t>
      </w:r>
    </w:p>
    <w:p w14:paraId="7334BB22">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第三，投资者情绪是新闻情绪影响金融市场的中介变量。中介效应表明，投资者情绪能起到部分中介的作用，这论证了因果路径“新闻-投资者-股价”的存在。</w:t>
      </w:r>
    </w:p>
    <w:p w14:paraId="48FBEF47">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本研究的启示主要包括以下几点：</w:t>
      </w:r>
    </w:p>
    <w:p w14:paraId="04174E3D">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1）政策制定者与监管机构应加强虚假财经新闻治理本研究表明，虚假财经新闻对市场的负面影响较为显著。为减少投资者被虚假财经新闻的错误信息和煽动性情绪误导进而做出非理性决策，监管部门应当加强对于虚假财经新闻的监控力度。</w:t>
      </w:r>
    </w:p>
    <w:p w14:paraId="0D212CAA">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2）投资者应提高信息甄别能力，且应加强对情绪过于激烈的新闻的警惕性。投资者在决策过程中，要充分结合新闻来源、新闻内容、新闻情感、新闻对应的股吧的活跃度等指标来综合评估新闻的真实性、可信性，以此增强对新闻真实性的判断能力，避免受到虚假财经新闻的影响而做出非理性的行为。同时，投资者可利用大语言模型等工具，从而提高对市场新闻情绪的量化分析能力，使得对市场情绪的变化能够得出较为准确的评估结果。</w:t>
      </w:r>
    </w:p>
    <w:p w14:paraId="4CBB3991">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 xml:space="preserve">（3）金融市场的信息披露机制应进一步优化。公司在面对市场传闻或虚假财经新闻时，应及时发布澄清公告，从而缩减因新闻发布而对股价异常收益率扰动的事件窗口，以减少虚假信息对市场的干扰。此外，交易所和媒体平台可以关注投资者情绪，从投资者的反应中评估虚假新闻的影响程度。 </w:t>
      </w:r>
    </w:p>
    <w:p w14:paraId="459C5847">
      <w:pPr>
        <w:ind w:firstLine="420" w:firstLineChars="200"/>
        <w:rPr>
          <w:rFonts w:hint="eastAsia" w:ascii="宋体" w:hAnsi="宋体" w:eastAsia="宋体" w:cs="Times New Roman"/>
          <w:sz w:val="21"/>
          <w:szCs w:val="21"/>
        </w:rPr>
      </w:pPr>
      <w:r>
        <w:rPr>
          <w:rFonts w:hint="eastAsia" w:ascii="宋体" w:hAnsi="宋体" w:eastAsia="宋体" w:cs="Times New Roman"/>
          <w:sz w:val="21"/>
          <w:szCs w:val="21"/>
        </w:rPr>
        <w:t>综上，本研究揭示了虚假财经新闻对金融市场的扰动效应，并为市场监管、投资者行为以及信息传播机制提供了有益的政策和实践启示。未来，结合大数据分析和人工智能技术，有望进一步提升市场对虚假财经新闻的识别能力，从而构建更健康的信息生态系统。</w:t>
      </w:r>
    </w:p>
    <w:p w14:paraId="19F36527">
      <w:pPr>
        <w:rPr>
          <w:rFonts w:hint="eastAsia" w:ascii="宋体" w:hAnsi="宋体" w:eastAsia="宋体" w:cs="Times New Roman"/>
          <w:sz w:val="21"/>
          <w:szCs w:val="21"/>
        </w:rPr>
      </w:pPr>
    </w:p>
    <w:p w14:paraId="297C35FA">
      <w:pPr>
        <w:rPr>
          <w:rFonts w:hint="eastAsia" w:ascii="宋体" w:hAnsi="宋体" w:eastAsia="宋体" w:cs="Times New Roman"/>
          <w:sz w:val="21"/>
          <w:szCs w:val="21"/>
        </w:rPr>
      </w:pPr>
    </w:p>
    <w:p w14:paraId="1D2F8320">
      <w:pPr>
        <w:rPr>
          <w:rFonts w:hint="eastAsia" w:ascii="宋体" w:hAnsi="宋体" w:eastAsia="宋体" w:cs="Times New Roman"/>
          <w:sz w:val="21"/>
          <w:szCs w:val="21"/>
        </w:rPr>
      </w:pPr>
      <w:r>
        <w:rPr>
          <w:rFonts w:hint="eastAsia" w:ascii="宋体" w:hAnsi="宋体" w:eastAsia="宋体" w:cs="Times New Roman"/>
          <w:b/>
          <w:bCs/>
          <w:sz w:val="24"/>
          <w:szCs w:val="24"/>
        </w:rPr>
        <w:t>参考文献</w:t>
      </w:r>
      <w:r>
        <w:rPr>
          <w:rFonts w:ascii="Times New Roman" w:hAnsi="Times New Roman" w:eastAsia="宋体" w:cs="Times New Roman"/>
          <w:sz w:val="21"/>
          <w:szCs w:val="21"/>
        </w:rPr>
        <w:t xml:space="preserve"> </w:t>
      </w:r>
    </w:p>
    <w:sectPr>
      <w:endnotePr>
        <w:numFmt w:val="decimal"/>
      </w:endnotePr>
      <w:pgSz w:w="11906" w:h="16838"/>
      <w:pgMar w:top="2098" w:right="1531" w:bottom="1985" w:left="1531" w:header="851" w:footer="992" w:gutter="0"/>
      <w:cols w:space="425"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54">
    <w:p>
      <w:pPr>
        <w:spacing w:line="240" w:lineRule="auto"/>
      </w:pPr>
      <w:r>
        <w:separator/>
      </w:r>
    </w:p>
  </w:endnote>
  <w:endnote w:type="continuationSeparator" w:id="55">
    <w:p>
      <w:pPr>
        <w:spacing w:line="240" w:lineRule="auto"/>
      </w:pPr>
      <w:r>
        <w:continuationSeparator/>
      </w:r>
    </w:p>
  </w:endnote>
  <w:endnote w:id="0">
    <w:p w14:paraId="4DCB35BC">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Tandoc Jr, E. C., Lim, Z. W., &amp; Ling, R. (2018). Defining “fake news”A typology of scholarly definitions. Digital journalism,6(2), 137-153.</w:t>
      </w:r>
    </w:p>
  </w:endnote>
  <w:endnote w:id="1">
    <w:p w14:paraId="07D940FF">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Clarke, J., Chen, H., Du, D., &amp; Hu, Y. J. (2020). Fake news, investor attention, and market reaction. Information Systems Research, 32(1), 35-52.</w:t>
      </w:r>
    </w:p>
  </w:endnote>
  <w:endnote w:id="2">
    <w:p w14:paraId="349F25FE">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Makortoff K, Brignall M, Waterson J (2019) Metro Bank shares plunge as it attacks ‘false rumours’, The Guardian.</w:t>
      </w:r>
    </w:p>
  </w:endnote>
  <w:endnote w:id="3">
    <w:p w14:paraId="58815352">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史青春, 周静婷. 市场传闻, 澄清公告与股价波动[J]. 现代财经: 天津财经大学学报, 2015 (11): 22-36.</w:t>
      </w:r>
    </w:p>
  </w:endnote>
  <w:endnote w:id="4">
    <w:p w14:paraId="746646A7">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刘春林, 张宁. 上市公司传闻的澄清效果研究——来自中国证券市场的证据[J]. 管理科学学报, 2012, 15(5): 42-54.</w:t>
      </w:r>
    </w:p>
  </w:endnote>
  <w:endnote w:id="5">
    <w:p w14:paraId="12B17B04">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Boudoukh J, Feldman R, Kogan S, et al. Information, trading, and volatility: Evidence from firm-specific news[J]. The Review of Financial Studies, 2019, 32(3): 992-1033.</w:t>
      </w:r>
    </w:p>
  </w:endnote>
  <w:endnote w:id="6">
    <w:p w14:paraId="3DC91627">
      <w:pPr>
        <w:pStyle w:val="14"/>
        <w:ind w:left="280" w:hanging="280" w:hangingChars="100"/>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Clarke J (2018) Fake news investor attention, and market reaction. SSRN Electron</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J.</w:t>
      </w:r>
      <w:r>
        <w:fldChar w:fldCharType="begin"/>
      </w:r>
      <w:r>
        <w:instrText xml:space="preserve"> HYPERLINK "https://doi.org/10.2139/ssrn.3213024" </w:instrText>
      </w:r>
      <w:r>
        <w:fldChar w:fldCharType="separate"/>
      </w:r>
      <w:r>
        <w:rPr>
          <w:rStyle w:val="25"/>
          <w:rFonts w:ascii="Times New Roman" w:hAnsi="Times New Roman" w:eastAsia="宋体" w:cs="Times New Roman"/>
          <w:sz w:val="21"/>
          <w:szCs w:val="21"/>
        </w:rPr>
        <w:t>https://doi.org/10.2139/ssrn.3213024</w:t>
      </w:r>
      <w:r>
        <w:rPr>
          <w:rStyle w:val="25"/>
          <w:rFonts w:ascii="Times New Roman" w:hAnsi="Times New Roman" w:eastAsia="宋体" w:cs="Times New Roman"/>
          <w:sz w:val="21"/>
          <w:szCs w:val="21"/>
        </w:rPr>
        <w:fldChar w:fldCharType="end"/>
      </w:r>
    </w:p>
  </w:endnote>
  <w:endnote w:id="7">
    <w:p w14:paraId="6663BDDE">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卢锐，张亚楠，蔡贵龙.社交媒体、公司传闻与股价冲击——来自东方财富股吧论坛的经验证据[J]会计研究，2023(4):59-73</w:t>
      </w:r>
    </w:p>
  </w:endnote>
  <w:endnote w:id="8">
    <w:p w14:paraId="1B77D67A">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Chuai, Y., &amp; Zhao, J. (2022). Anger can make fake news viral online. Frontiers in Physics, 10, 970174.</w:t>
      </w:r>
    </w:p>
  </w:endnote>
  <w:endnote w:id="9">
    <w:p w14:paraId="5F6BBE37">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范小云，王业东，王道平等.不同来源金融文本信息含量的异质性分析——基于混合式文本情绪测度方法[J].管理世界,2022,10:78-95.</w:t>
      </w:r>
    </w:p>
  </w:endnote>
  <w:endnote w:id="10">
    <w:p w14:paraId="436D3127">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许雪晨,田侃.一种基于金融文本情感分析的股票指数预测新方法[J]. 数量经济技术经济研究,2021, 38(12):124-145.</w:t>
      </w:r>
    </w:p>
  </w:endnote>
  <w:endnote w:id="11">
    <w:p w14:paraId="4F037198">
      <w:pPr>
        <w:pStyle w:val="14"/>
        <w:rPr>
          <w:rFonts w:hint="eastAsia"/>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Huang，A.H.，Wang，H.Yang，Y.，2023，“FinBERT：A Language Model for Extracting and Large Information from Financial Text”，Contemporary Accounting Research，vol.40，pp.806˜ 841.</w:t>
      </w:r>
    </w:p>
  </w:endnote>
  <w:endnote w:id="12">
    <w:p w14:paraId="5229B88C">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Shi，Y.，An，Y.，Zhu，X.Jiang，F.，2022，“Better and to Hear All Parties：Understanding the Impact of Homophily in Online Finan⁃cial Discussion”，Electronic Commerce Research and Applications，vol.54，pp.1˜ 18.</w:t>
      </w:r>
    </w:p>
  </w:endnote>
  <w:endnote w:id="13">
    <w:p w14:paraId="2599B504">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鲁训法,黎建强.中国股市指数与投资者情绪指数的相互关系[J]. 系统工程理论与实践,2012,32(3): 621-629.</w:t>
      </w:r>
    </w:p>
  </w:endnote>
  <w:endnote w:id="14">
    <w:p w14:paraId="14C23259">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杨英杰, 周战强, 李德峰.论传闻对个人投资者交易决策的影响——基于上市公司传闻情景的实证分析[J].上海大学学报(社会科学版),2018,35(5): 107-120.</w:t>
      </w:r>
    </w:p>
  </w:endnote>
  <w:endnote w:id="15">
    <w:p w14:paraId="79123647">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张科, 李心丹, 方晓, 等. 股票网络论坛中的意见领袖:慧眼识珠还是吸引眼球[J].管理科学学报,2022.</w:t>
      </w:r>
    </w:p>
  </w:endnote>
  <w:endnote w:id="16">
    <w:p w14:paraId="4AB9399A">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Shiller，R. J.，2015，Irrational Exuberance，Princeton University Press.</w:t>
      </w:r>
    </w:p>
  </w:endnote>
  <w:endnote w:id="17">
    <w:p w14:paraId="3EE3B3DE">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刘新新. 个人和机构投资者情绪与股票收益[D].山西大学,2013.</w:t>
      </w:r>
    </w:p>
  </w:endnote>
  <w:endnote w:id="18">
    <w:p w14:paraId="40782D35">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DeLong，J.B.，Shleifer，A.，Summers，L.H. and Waldmann，R. J.，1990，“Noise Trader Risk in Financial Markets”，Journal of Political Economy，vol.98，pp.703</w:t>
      </w:r>
      <w:r>
        <w:rPr>
          <w:rFonts w:hint="eastAsia" w:ascii="Times New Roman" w:hAnsi="Times New Roman" w:eastAsia="宋体" w:cs="Times New Roman"/>
          <w:sz w:val="21"/>
          <w:szCs w:val="21"/>
        </w:rPr>
        <w:t>-</w:t>
      </w:r>
      <w:r>
        <w:rPr>
          <w:rFonts w:ascii="Times New Roman" w:hAnsi="Times New Roman" w:eastAsia="宋体" w:cs="Times New Roman"/>
          <w:sz w:val="21"/>
          <w:szCs w:val="21"/>
        </w:rPr>
        <w:t>738.</w:t>
      </w:r>
    </w:p>
  </w:endnote>
  <w:endnote w:id="19">
    <w:p w14:paraId="5D6B10C3">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尹海员,南早红.基于深度学习的投资者情绪挖掘及其对股价崩盘风险的影响[J].中央财经大学学报,2024,3:36-56.</w:t>
      </w:r>
    </w:p>
  </w:endnote>
  <w:endnote w:id="20">
    <w:p w14:paraId="6F6EDFC1">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肖强, 焦梦茹.投资者情绪对股票超额收益影响的差异性分析[J]. 2023.</w:t>
      </w:r>
    </w:p>
  </w:endnote>
  <w:endnote w:id="21">
    <w:p w14:paraId="0B8AE3EE">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黄炜, 张子尧,刘安然.从双重差分法到事件研究法[J].产业经济评论,2022,2: 17-36.</w:t>
      </w:r>
    </w:p>
  </w:endnote>
  <w:endnote w:id="22">
    <w:p w14:paraId="6A56DBD4">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江艇.因果推断经验研究中的中介效应与调节效应[J].中国工业经济,2022,5(100):r120.</w:t>
      </w:r>
    </w:p>
  </w:endnote>
  <w:endnote w:id="23">
    <w:p w14:paraId="213C40F7">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Hayes，A. F. Beyond Baron and Kenny: Statistical Mediation Analysis in the</w:t>
      </w:r>
      <w:r>
        <w:rPr>
          <w:rFonts w:ascii="Times New Roman" w:hAnsi="Times New Roman" w:cs="Times New Roman"/>
        </w:rPr>
        <w:t xml:space="preserve"> </w:t>
      </w:r>
      <w:r>
        <w:rPr>
          <w:rFonts w:ascii="Times New Roman" w:hAnsi="Times New Roman" w:eastAsia="宋体" w:cs="Times New Roman"/>
          <w:sz w:val="21"/>
          <w:szCs w:val="21"/>
        </w:rPr>
        <w:t>New</w:t>
      </w:r>
      <w:r>
        <w:rPr>
          <w:rFonts w:hint="eastAsia" w:ascii="Times New Roman" w:hAnsi="Times New Roman" w:eastAsia="宋体" w:cs="Times New Roman"/>
          <w:sz w:val="21"/>
          <w:szCs w:val="21"/>
        </w:rPr>
        <w:t xml:space="preserve"> </w:t>
      </w:r>
      <w:r>
        <w:rPr>
          <w:rFonts w:ascii="Times New Roman" w:hAnsi="Times New Roman" w:eastAsia="宋体" w:cs="Times New Roman"/>
          <w:sz w:val="21"/>
          <w:szCs w:val="21"/>
        </w:rPr>
        <w:t>Millennium［J］</w:t>
      </w:r>
      <w:r>
        <w:rPr>
          <w:rFonts w:ascii="Times New Roman" w:hAnsi="Times New Roman" w:eastAsia="宋体" w:cs="Times New Roman"/>
          <w:sz w:val="21"/>
          <w:szCs w:val="21"/>
        </w:rPr>
        <w:tab/>
      </w:r>
      <w:r>
        <w:rPr>
          <w:rFonts w:ascii="Times New Roman" w:hAnsi="Times New Roman" w:eastAsia="宋体" w:cs="Times New Roman"/>
          <w:sz w:val="21"/>
          <w:szCs w:val="21"/>
        </w:rPr>
        <w:t>．Communication Monographs，2009，76( 4) : 408－420．</w:t>
      </w:r>
    </w:p>
  </w:endnote>
  <w:endnote w:id="24">
    <w:p w14:paraId="1F94FB41">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Cai，X.，Y. Lu，M. Wu，and L.Yu. Does Environmental Regulation Drive away Inbound Foreign Direct Investment? Evidence from a Quasi-natural Experiment in China [J]. Journal of Development Economics，2016，123（1）：73-85.</w:t>
      </w:r>
    </w:p>
  </w:endnote>
  <w:endnote w:id="25">
    <w:p w14:paraId="3177B6F2">
      <w:pPr>
        <w:rPr>
          <w:rFonts w:ascii="Times New Roman" w:hAnsi="Times New Roman"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任胜钢, 郑晶晶, 刘东华, 等. 排污权交易机制是否提高了企业全要素生产率——来自中国上市公司的证据[J].中国工业经济, 2019 (5): 5-23.</w:t>
      </w:r>
    </w:p>
  </w:endnote>
  <w:endnote w:id="26">
    <w:p w14:paraId="58B21C95">
      <w:pPr>
        <w:rPr>
          <w:rFonts w:hint="eastAsia" w:ascii="宋体" w:hAnsi="宋体" w:eastAsia="宋体" w:cs="Times New Roman"/>
          <w:sz w:val="21"/>
          <w:szCs w:val="21"/>
        </w:rPr>
      </w:pPr>
      <w:r>
        <w:rPr>
          <w:rStyle w:val="24"/>
          <w:rFonts w:hint="eastAsia"/>
        </w:rPr>
        <w:t>[</w:t>
      </w:r>
      <w:r>
        <w:rPr>
          <w:rStyle w:val="24"/>
          <w:rFonts w:hint="eastAsia"/>
        </w:rPr>
        <w:endnoteRef/>
      </w:r>
      <w:r>
        <w:rPr>
          <w:rStyle w:val="24"/>
          <w:rFonts w:hint="eastAsia"/>
        </w:rPr>
        <w:t>]</w:t>
      </w:r>
      <w:r>
        <w:rPr>
          <w:rFonts w:hint="eastAsia"/>
        </w:rPr>
        <w:t xml:space="preserve"> </w:t>
      </w:r>
      <w:r>
        <w:rPr>
          <w:rFonts w:ascii="Times New Roman" w:hAnsi="Times New Roman" w:eastAsia="宋体" w:cs="Times New Roman"/>
          <w:sz w:val="21"/>
          <w:szCs w:val="21"/>
        </w:rPr>
        <w:t>刘建秋, 徐雨露. 中小股东群体负面情绪对管理层讨论与分析语调管理的影响[J]. 首都经济贸易大学学报(双月刊), 2024, 26(2)</w:t>
      </w:r>
    </w:p>
    <w:p w14:paraId="43FF6296">
      <w:pPr>
        <w:pStyle w:val="14"/>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ucida Sans Unicode">
    <w:panose1 w:val="020B0602030504020204"/>
    <w:charset w:val="00"/>
    <w:family w:val="swiss"/>
    <w:pitch w:val="default"/>
    <w:sig w:usb0="80001AFF" w:usb1="0000396B" w:usb2="00000000" w:usb3="00000000" w:csb0="200000BF" w:csb1="D7F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9703668"/>
    </w:sdtPr>
    <w:sdtContent>
      <w:p w14:paraId="38AB3C8E">
        <w:pPr>
          <w:pStyle w:val="15"/>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C3EF2F9">
    <w:pPr>
      <w:pStyle w:val="1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line="240" w:lineRule="auto"/>
      </w:pPr>
      <w:r>
        <w:separator/>
      </w:r>
    </w:p>
  </w:footnote>
  <w:footnote w:type="continuationSeparator" w:id="7">
    <w:p>
      <w:pPr>
        <w:spacing w:line="240" w:lineRule="auto"/>
      </w:pPr>
      <w:r>
        <w:continuationSeparator/>
      </w:r>
    </w:p>
  </w:footnote>
  <w:footnote w:id="0">
    <w:p w14:paraId="64B992DD">
      <w:pPr>
        <w:pStyle w:val="19"/>
        <w:rPr>
          <w:rFonts w:hint="eastAsia"/>
        </w:rPr>
      </w:pPr>
      <w:r>
        <w:rPr>
          <w:rStyle w:val="26"/>
          <w:rFonts w:hint="eastAsia"/>
        </w:rPr>
        <w:footnoteRef/>
      </w:r>
      <w:r>
        <w:rPr>
          <w:rFonts w:hint="eastAsia"/>
        </w:rPr>
        <w:t xml:space="preserve"> 刘若水，男，中央财经大学信息学院2022级本科生，rslau@email.cufe.edu.cn,19827582921</w:t>
      </w:r>
    </w:p>
  </w:footnote>
  <w:footnote w:id="1">
    <w:p w14:paraId="659E7FAC">
      <w:pPr>
        <w:pStyle w:val="19"/>
        <w:rPr>
          <w:rFonts w:hint="eastAsia"/>
        </w:rPr>
      </w:pPr>
      <w:r>
        <w:rPr>
          <w:rStyle w:val="26"/>
          <w:rFonts w:hint="eastAsia"/>
        </w:rPr>
        <w:footnoteRef/>
      </w:r>
      <w:r>
        <w:rPr>
          <w:rFonts w:hint="eastAsia"/>
        </w:rPr>
        <w:t xml:space="preserve"> 方艺华，男，中央财经大学金融学院2023级本科生，</w:t>
      </w:r>
      <w:r>
        <w:fldChar w:fldCharType="begin"/>
      </w:r>
      <w:r>
        <w:instrText xml:space="preserve"> HYPERLINK "mailto:fang_yh123@163.com" </w:instrText>
      </w:r>
      <w:r>
        <w:fldChar w:fldCharType="separate"/>
      </w:r>
      <w:r>
        <w:rPr>
          <w:rStyle w:val="25"/>
          <w:rFonts w:hint="eastAsia"/>
        </w:rPr>
        <w:t>fang_yh123@163.com</w:t>
      </w:r>
      <w:r>
        <w:rPr>
          <w:rStyle w:val="25"/>
          <w:rFonts w:hint="eastAsia"/>
        </w:rPr>
        <w:fldChar w:fldCharType="end"/>
      </w:r>
      <w:r>
        <w:rPr>
          <w:rFonts w:hint="eastAsia"/>
        </w:rPr>
        <w:t>，18710253832</w:t>
      </w:r>
    </w:p>
  </w:footnote>
  <w:footnote w:id="2">
    <w:p w14:paraId="3150E2D3">
      <w:pPr>
        <w:pStyle w:val="19"/>
        <w:rPr>
          <w:rFonts w:hint="eastAsia"/>
        </w:rPr>
      </w:pPr>
      <w:r>
        <w:rPr>
          <w:rStyle w:val="26"/>
          <w:rFonts w:hint="eastAsia"/>
        </w:rPr>
        <w:footnoteRef/>
      </w:r>
      <w:r>
        <w:rPr>
          <w:rFonts w:hint="eastAsia"/>
        </w:rPr>
        <w:t xml:space="preserve"> 章宁，女，中央财经大学信息学院院长，教授，zhangning@cufe.edu.cn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40"/>
  <w:drawingGridVerticalSpacing w:val="381"/>
  <w:noPunctuationKerning w:val="1"/>
  <w:characterSpacingControl w:val="compressPunctuation"/>
  <w:footnotePr>
    <w:footnote w:id="6"/>
    <w:footnote w:id="7"/>
  </w:footnotePr>
  <w:endnotePr>
    <w:endnote w:id="54"/>
    <w:endnote w:id="55"/>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278"/>
    <w:rsid w:val="0001689C"/>
    <w:rsid w:val="00033113"/>
    <w:rsid w:val="0004247C"/>
    <w:rsid w:val="00043C6F"/>
    <w:rsid w:val="0004481B"/>
    <w:rsid w:val="00052AB9"/>
    <w:rsid w:val="00056469"/>
    <w:rsid w:val="0006487A"/>
    <w:rsid w:val="00082A60"/>
    <w:rsid w:val="00087187"/>
    <w:rsid w:val="00087C6A"/>
    <w:rsid w:val="000A0196"/>
    <w:rsid w:val="000A47CB"/>
    <w:rsid w:val="000A4C4A"/>
    <w:rsid w:val="000C4123"/>
    <w:rsid w:val="000C72BE"/>
    <w:rsid w:val="000D149F"/>
    <w:rsid w:val="000D6E14"/>
    <w:rsid w:val="000E43A5"/>
    <w:rsid w:val="000F0133"/>
    <w:rsid w:val="000F78B5"/>
    <w:rsid w:val="00103C3A"/>
    <w:rsid w:val="00103F2A"/>
    <w:rsid w:val="00111BDD"/>
    <w:rsid w:val="00116716"/>
    <w:rsid w:val="00116B13"/>
    <w:rsid w:val="00140F80"/>
    <w:rsid w:val="00147DC6"/>
    <w:rsid w:val="00153130"/>
    <w:rsid w:val="0015498C"/>
    <w:rsid w:val="0017283B"/>
    <w:rsid w:val="001845E0"/>
    <w:rsid w:val="00190082"/>
    <w:rsid w:val="00192D66"/>
    <w:rsid w:val="001939A3"/>
    <w:rsid w:val="00194984"/>
    <w:rsid w:val="00196948"/>
    <w:rsid w:val="00197275"/>
    <w:rsid w:val="001B0454"/>
    <w:rsid w:val="001B1000"/>
    <w:rsid w:val="001B34D7"/>
    <w:rsid w:val="001B3EE5"/>
    <w:rsid w:val="001B7890"/>
    <w:rsid w:val="001C4AC9"/>
    <w:rsid w:val="001D449B"/>
    <w:rsid w:val="001D762C"/>
    <w:rsid w:val="001E548E"/>
    <w:rsid w:val="001F4118"/>
    <w:rsid w:val="002033BA"/>
    <w:rsid w:val="00206811"/>
    <w:rsid w:val="0021339E"/>
    <w:rsid w:val="002136E3"/>
    <w:rsid w:val="00216CFB"/>
    <w:rsid w:val="00227D56"/>
    <w:rsid w:val="002357D4"/>
    <w:rsid w:val="0025370E"/>
    <w:rsid w:val="00253D77"/>
    <w:rsid w:val="00282250"/>
    <w:rsid w:val="002937FB"/>
    <w:rsid w:val="002A1880"/>
    <w:rsid w:val="002C468E"/>
    <w:rsid w:val="002D345C"/>
    <w:rsid w:val="002E1249"/>
    <w:rsid w:val="002E20B7"/>
    <w:rsid w:val="002E41C9"/>
    <w:rsid w:val="002F2358"/>
    <w:rsid w:val="00301117"/>
    <w:rsid w:val="003012A1"/>
    <w:rsid w:val="00302889"/>
    <w:rsid w:val="00311E56"/>
    <w:rsid w:val="00322152"/>
    <w:rsid w:val="00323529"/>
    <w:rsid w:val="00323D6E"/>
    <w:rsid w:val="00337ECF"/>
    <w:rsid w:val="003417EF"/>
    <w:rsid w:val="00355AE4"/>
    <w:rsid w:val="003660BC"/>
    <w:rsid w:val="003701CB"/>
    <w:rsid w:val="00377C21"/>
    <w:rsid w:val="003858D5"/>
    <w:rsid w:val="00387BE7"/>
    <w:rsid w:val="00391FA9"/>
    <w:rsid w:val="00392031"/>
    <w:rsid w:val="003A32E1"/>
    <w:rsid w:val="003B1D8F"/>
    <w:rsid w:val="003C6D9E"/>
    <w:rsid w:val="003E08C8"/>
    <w:rsid w:val="003E3432"/>
    <w:rsid w:val="003E38FE"/>
    <w:rsid w:val="0041107D"/>
    <w:rsid w:val="00416E00"/>
    <w:rsid w:val="00424AEB"/>
    <w:rsid w:val="00431D52"/>
    <w:rsid w:val="00437D72"/>
    <w:rsid w:val="004474FC"/>
    <w:rsid w:val="00457C6E"/>
    <w:rsid w:val="00461624"/>
    <w:rsid w:val="00472DF8"/>
    <w:rsid w:val="004737BE"/>
    <w:rsid w:val="00485D6F"/>
    <w:rsid w:val="00495F68"/>
    <w:rsid w:val="004A4ED6"/>
    <w:rsid w:val="004B2BF5"/>
    <w:rsid w:val="004B373B"/>
    <w:rsid w:val="004D05A4"/>
    <w:rsid w:val="004F23E1"/>
    <w:rsid w:val="004F3CBE"/>
    <w:rsid w:val="00502C98"/>
    <w:rsid w:val="00514F2F"/>
    <w:rsid w:val="00531C83"/>
    <w:rsid w:val="00537681"/>
    <w:rsid w:val="00542CCB"/>
    <w:rsid w:val="00545193"/>
    <w:rsid w:val="005553F1"/>
    <w:rsid w:val="00565B10"/>
    <w:rsid w:val="005718F9"/>
    <w:rsid w:val="00581764"/>
    <w:rsid w:val="00594130"/>
    <w:rsid w:val="00595154"/>
    <w:rsid w:val="005A5762"/>
    <w:rsid w:val="005B639F"/>
    <w:rsid w:val="005C0949"/>
    <w:rsid w:val="005D3678"/>
    <w:rsid w:val="005E35BE"/>
    <w:rsid w:val="006032A8"/>
    <w:rsid w:val="00603E89"/>
    <w:rsid w:val="00607769"/>
    <w:rsid w:val="00614FEF"/>
    <w:rsid w:val="00615B2D"/>
    <w:rsid w:val="00623C19"/>
    <w:rsid w:val="0062471A"/>
    <w:rsid w:val="00630344"/>
    <w:rsid w:val="0063038D"/>
    <w:rsid w:val="00630BC9"/>
    <w:rsid w:val="00636714"/>
    <w:rsid w:val="006553D6"/>
    <w:rsid w:val="006734FA"/>
    <w:rsid w:val="00673F00"/>
    <w:rsid w:val="00675F1B"/>
    <w:rsid w:val="00677223"/>
    <w:rsid w:val="00682963"/>
    <w:rsid w:val="006A0341"/>
    <w:rsid w:val="006A3D16"/>
    <w:rsid w:val="006C5E79"/>
    <w:rsid w:val="006C6809"/>
    <w:rsid w:val="006D21E6"/>
    <w:rsid w:val="006E72C7"/>
    <w:rsid w:val="006F2A9D"/>
    <w:rsid w:val="0070549F"/>
    <w:rsid w:val="007139D8"/>
    <w:rsid w:val="00714A7F"/>
    <w:rsid w:val="00740D82"/>
    <w:rsid w:val="0075101F"/>
    <w:rsid w:val="0075334F"/>
    <w:rsid w:val="00755A7F"/>
    <w:rsid w:val="00777751"/>
    <w:rsid w:val="00780153"/>
    <w:rsid w:val="00781374"/>
    <w:rsid w:val="007829B0"/>
    <w:rsid w:val="007913D5"/>
    <w:rsid w:val="007943FB"/>
    <w:rsid w:val="007A13AE"/>
    <w:rsid w:val="007A7058"/>
    <w:rsid w:val="007C4826"/>
    <w:rsid w:val="007F7DC6"/>
    <w:rsid w:val="0080165A"/>
    <w:rsid w:val="00803083"/>
    <w:rsid w:val="00834EA7"/>
    <w:rsid w:val="008418FA"/>
    <w:rsid w:val="008458F0"/>
    <w:rsid w:val="00856A4B"/>
    <w:rsid w:val="00862C96"/>
    <w:rsid w:val="00871D61"/>
    <w:rsid w:val="00873292"/>
    <w:rsid w:val="008A2240"/>
    <w:rsid w:val="008A4B7D"/>
    <w:rsid w:val="008B1A91"/>
    <w:rsid w:val="008B297C"/>
    <w:rsid w:val="008B3527"/>
    <w:rsid w:val="008D2520"/>
    <w:rsid w:val="008E029A"/>
    <w:rsid w:val="008F5A7C"/>
    <w:rsid w:val="00910BF2"/>
    <w:rsid w:val="00924580"/>
    <w:rsid w:val="00937B86"/>
    <w:rsid w:val="0094054B"/>
    <w:rsid w:val="009538F6"/>
    <w:rsid w:val="0095425D"/>
    <w:rsid w:val="00963558"/>
    <w:rsid w:val="00966863"/>
    <w:rsid w:val="0097560A"/>
    <w:rsid w:val="009816C4"/>
    <w:rsid w:val="00983D51"/>
    <w:rsid w:val="00985605"/>
    <w:rsid w:val="009865B6"/>
    <w:rsid w:val="00991A8F"/>
    <w:rsid w:val="009B0D85"/>
    <w:rsid w:val="009B2D0D"/>
    <w:rsid w:val="009B4B27"/>
    <w:rsid w:val="009B731A"/>
    <w:rsid w:val="009C3604"/>
    <w:rsid w:val="009D4BDA"/>
    <w:rsid w:val="009D53F5"/>
    <w:rsid w:val="009D5984"/>
    <w:rsid w:val="009F28B8"/>
    <w:rsid w:val="009F4F4F"/>
    <w:rsid w:val="009F5CE6"/>
    <w:rsid w:val="00A073A5"/>
    <w:rsid w:val="00A21126"/>
    <w:rsid w:val="00A2545F"/>
    <w:rsid w:val="00A25B51"/>
    <w:rsid w:val="00A35DDB"/>
    <w:rsid w:val="00A40F69"/>
    <w:rsid w:val="00A45292"/>
    <w:rsid w:val="00A46890"/>
    <w:rsid w:val="00A51FD5"/>
    <w:rsid w:val="00A60BE9"/>
    <w:rsid w:val="00A7261E"/>
    <w:rsid w:val="00A72E10"/>
    <w:rsid w:val="00A87D01"/>
    <w:rsid w:val="00A94F8D"/>
    <w:rsid w:val="00AB0A4B"/>
    <w:rsid w:val="00AB2048"/>
    <w:rsid w:val="00AB3002"/>
    <w:rsid w:val="00AB7A0D"/>
    <w:rsid w:val="00AC56CF"/>
    <w:rsid w:val="00AE22F8"/>
    <w:rsid w:val="00AF0832"/>
    <w:rsid w:val="00AF5360"/>
    <w:rsid w:val="00AF69C0"/>
    <w:rsid w:val="00B000B2"/>
    <w:rsid w:val="00B10C65"/>
    <w:rsid w:val="00B24F7E"/>
    <w:rsid w:val="00B266C3"/>
    <w:rsid w:val="00B26BC2"/>
    <w:rsid w:val="00B31261"/>
    <w:rsid w:val="00B313F0"/>
    <w:rsid w:val="00B408CD"/>
    <w:rsid w:val="00B60573"/>
    <w:rsid w:val="00B61F06"/>
    <w:rsid w:val="00B64B26"/>
    <w:rsid w:val="00B727A0"/>
    <w:rsid w:val="00B81C23"/>
    <w:rsid w:val="00B82AFC"/>
    <w:rsid w:val="00B838EE"/>
    <w:rsid w:val="00B87B53"/>
    <w:rsid w:val="00B9552A"/>
    <w:rsid w:val="00BB0A7E"/>
    <w:rsid w:val="00BB6278"/>
    <w:rsid w:val="00BD2F57"/>
    <w:rsid w:val="00C02A55"/>
    <w:rsid w:val="00C048D8"/>
    <w:rsid w:val="00C074FD"/>
    <w:rsid w:val="00C14A74"/>
    <w:rsid w:val="00C15D84"/>
    <w:rsid w:val="00C201E3"/>
    <w:rsid w:val="00C218E0"/>
    <w:rsid w:val="00C276AF"/>
    <w:rsid w:val="00C34469"/>
    <w:rsid w:val="00C429DE"/>
    <w:rsid w:val="00C639A3"/>
    <w:rsid w:val="00C659AE"/>
    <w:rsid w:val="00C67E01"/>
    <w:rsid w:val="00C73670"/>
    <w:rsid w:val="00C80FDA"/>
    <w:rsid w:val="00C8104B"/>
    <w:rsid w:val="00C87221"/>
    <w:rsid w:val="00C91D72"/>
    <w:rsid w:val="00C94A91"/>
    <w:rsid w:val="00CA36F2"/>
    <w:rsid w:val="00CB0240"/>
    <w:rsid w:val="00CB0A77"/>
    <w:rsid w:val="00CB5F01"/>
    <w:rsid w:val="00CC358F"/>
    <w:rsid w:val="00CC7E8A"/>
    <w:rsid w:val="00CD1C9F"/>
    <w:rsid w:val="00CD3652"/>
    <w:rsid w:val="00CE02B4"/>
    <w:rsid w:val="00CE3960"/>
    <w:rsid w:val="00CE4348"/>
    <w:rsid w:val="00CE60EA"/>
    <w:rsid w:val="00CE7421"/>
    <w:rsid w:val="00CF2C65"/>
    <w:rsid w:val="00D00D9B"/>
    <w:rsid w:val="00D11056"/>
    <w:rsid w:val="00D163AA"/>
    <w:rsid w:val="00D27F81"/>
    <w:rsid w:val="00D511A9"/>
    <w:rsid w:val="00D5169F"/>
    <w:rsid w:val="00D52719"/>
    <w:rsid w:val="00D64E7D"/>
    <w:rsid w:val="00D67CD4"/>
    <w:rsid w:val="00D720B3"/>
    <w:rsid w:val="00D75220"/>
    <w:rsid w:val="00D808EE"/>
    <w:rsid w:val="00D845F0"/>
    <w:rsid w:val="00D87206"/>
    <w:rsid w:val="00D96109"/>
    <w:rsid w:val="00DC4C6A"/>
    <w:rsid w:val="00DD4813"/>
    <w:rsid w:val="00DE50DD"/>
    <w:rsid w:val="00DF1BD7"/>
    <w:rsid w:val="00DF1BE7"/>
    <w:rsid w:val="00DF398E"/>
    <w:rsid w:val="00E00F53"/>
    <w:rsid w:val="00E11FAB"/>
    <w:rsid w:val="00E24D64"/>
    <w:rsid w:val="00E4271D"/>
    <w:rsid w:val="00E439BA"/>
    <w:rsid w:val="00E500EA"/>
    <w:rsid w:val="00E525AB"/>
    <w:rsid w:val="00E52606"/>
    <w:rsid w:val="00E55806"/>
    <w:rsid w:val="00E66886"/>
    <w:rsid w:val="00E815FD"/>
    <w:rsid w:val="00E96941"/>
    <w:rsid w:val="00EB4276"/>
    <w:rsid w:val="00EB7168"/>
    <w:rsid w:val="00EC19DC"/>
    <w:rsid w:val="00EC7164"/>
    <w:rsid w:val="00ED1670"/>
    <w:rsid w:val="00ED4C6C"/>
    <w:rsid w:val="00EE5ABE"/>
    <w:rsid w:val="00EF0216"/>
    <w:rsid w:val="00F1104A"/>
    <w:rsid w:val="00F2197B"/>
    <w:rsid w:val="00F22E87"/>
    <w:rsid w:val="00F56E1E"/>
    <w:rsid w:val="00F610BB"/>
    <w:rsid w:val="00F76E45"/>
    <w:rsid w:val="00F900F7"/>
    <w:rsid w:val="00F95B24"/>
    <w:rsid w:val="00F97390"/>
    <w:rsid w:val="00FA4BD5"/>
    <w:rsid w:val="00FB039C"/>
    <w:rsid w:val="00FB253A"/>
    <w:rsid w:val="00FB4854"/>
    <w:rsid w:val="00FD018A"/>
    <w:rsid w:val="00FD52FE"/>
    <w:rsid w:val="00FE404A"/>
    <w:rsid w:val="00FE548F"/>
    <w:rsid w:val="00FE7261"/>
    <w:rsid w:val="00FF37D2"/>
    <w:rsid w:val="01A65753"/>
    <w:rsid w:val="031D40E4"/>
    <w:rsid w:val="054D3559"/>
    <w:rsid w:val="085943F7"/>
    <w:rsid w:val="0D297144"/>
    <w:rsid w:val="0E0669DF"/>
    <w:rsid w:val="13622547"/>
    <w:rsid w:val="149B2E5C"/>
    <w:rsid w:val="14A971FD"/>
    <w:rsid w:val="19D41982"/>
    <w:rsid w:val="1B970FDE"/>
    <w:rsid w:val="1CD22716"/>
    <w:rsid w:val="20162A2C"/>
    <w:rsid w:val="2070023A"/>
    <w:rsid w:val="29CC3849"/>
    <w:rsid w:val="2DB2618C"/>
    <w:rsid w:val="3352267B"/>
    <w:rsid w:val="33B17DCE"/>
    <w:rsid w:val="33D056F8"/>
    <w:rsid w:val="35922620"/>
    <w:rsid w:val="43375E2E"/>
    <w:rsid w:val="43F14D5A"/>
    <w:rsid w:val="4AD30124"/>
    <w:rsid w:val="54F60CAC"/>
    <w:rsid w:val="5AB23258"/>
    <w:rsid w:val="5B081E1C"/>
    <w:rsid w:val="5C1C26EA"/>
    <w:rsid w:val="5E8F5D43"/>
    <w:rsid w:val="631420E8"/>
    <w:rsid w:val="640F1F61"/>
    <w:rsid w:val="6D9B136A"/>
    <w:rsid w:val="7127684F"/>
    <w:rsid w:val="79480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60" w:lineRule="exact"/>
      <w:jc w:val="both"/>
    </w:pPr>
    <w:rPr>
      <w:rFonts w:ascii="黑体" w:hAnsi="黑体" w:eastAsia="黑体" w:cstheme="minorBidi"/>
      <w:kern w:val="2"/>
      <w:sz w:val="28"/>
      <w:szCs w:val="28"/>
      <w:lang w:val="en-US" w:eastAsia="zh-CN" w:bidi="ar-SA"/>
    </w:rPr>
  </w:style>
  <w:style w:type="paragraph" w:styleId="2">
    <w:name w:val="heading 1"/>
    <w:basedOn w:val="1"/>
    <w:next w:val="1"/>
    <w:link w:val="2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link w:val="2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0"/>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asciiTheme="majorHAnsi" w:hAnsiTheme="majorHAnsi" w:cstheme="majorBidi"/>
      <w:sz w:val="20"/>
      <w:szCs w:val="20"/>
    </w:rPr>
  </w:style>
  <w:style w:type="paragraph" w:styleId="12">
    <w:name w:val="Body Text"/>
    <w:basedOn w:val="1"/>
    <w:qFormat/>
    <w:uiPriority w:val="1"/>
    <w:pPr>
      <w:ind w:left="51"/>
    </w:pPr>
    <w:rPr>
      <w:rFonts w:ascii="宋体" w:hAnsi="宋体" w:eastAsia="宋体" w:cs="宋体"/>
      <w:sz w:val="21"/>
      <w:szCs w:val="21"/>
    </w:rPr>
  </w:style>
  <w:style w:type="paragraph" w:styleId="13">
    <w:name w:val="toc 3"/>
    <w:basedOn w:val="1"/>
    <w:next w:val="1"/>
    <w:autoRedefine/>
    <w:unhideWhenUsed/>
    <w:qFormat/>
    <w:uiPriority w:val="39"/>
    <w:pPr>
      <w:spacing w:after="100" w:line="259" w:lineRule="auto"/>
      <w:ind w:left="440"/>
      <w:jc w:val="left"/>
    </w:pPr>
    <w:rPr>
      <w:rFonts w:cs="Times New Roman" w:asciiTheme="minorHAnsi" w:hAnsiTheme="minorHAnsi" w:eastAsiaTheme="minorEastAsia"/>
      <w:kern w:val="0"/>
      <w:sz w:val="22"/>
      <w:szCs w:val="22"/>
    </w:rPr>
  </w:style>
  <w:style w:type="paragraph" w:styleId="14">
    <w:name w:val="endnote text"/>
    <w:basedOn w:val="1"/>
    <w:link w:val="54"/>
    <w:semiHidden/>
    <w:unhideWhenUsed/>
    <w:qFormat/>
    <w:uiPriority w:val="99"/>
    <w:pPr>
      <w:snapToGrid w:val="0"/>
      <w:jc w:val="left"/>
    </w:pPr>
  </w:style>
  <w:style w:type="paragraph" w:styleId="15">
    <w:name w:val="footer"/>
    <w:basedOn w:val="1"/>
    <w:link w:val="52"/>
    <w:unhideWhenUsed/>
    <w:qFormat/>
    <w:uiPriority w:val="99"/>
    <w:pPr>
      <w:tabs>
        <w:tab w:val="center" w:pos="4153"/>
        <w:tab w:val="right" w:pos="8306"/>
      </w:tabs>
      <w:snapToGrid w:val="0"/>
      <w:spacing w:line="240" w:lineRule="atLeast"/>
      <w:jc w:val="left"/>
    </w:pPr>
    <w:rPr>
      <w:sz w:val="18"/>
      <w:szCs w:val="18"/>
    </w:rPr>
  </w:style>
  <w:style w:type="paragraph" w:styleId="16">
    <w:name w:val="header"/>
    <w:basedOn w:val="1"/>
    <w:link w:val="51"/>
    <w:unhideWhenUsed/>
    <w:qFormat/>
    <w:uiPriority w:val="99"/>
    <w:pPr>
      <w:tabs>
        <w:tab w:val="center" w:pos="4153"/>
        <w:tab w:val="right" w:pos="8306"/>
      </w:tabs>
      <w:snapToGrid w:val="0"/>
      <w:spacing w:line="240" w:lineRule="atLeast"/>
      <w:jc w:val="center"/>
    </w:pPr>
    <w:rPr>
      <w:sz w:val="18"/>
      <w:szCs w:val="18"/>
    </w:rPr>
  </w:style>
  <w:style w:type="paragraph" w:styleId="17">
    <w:name w:val="toc 1"/>
    <w:basedOn w:val="1"/>
    <w:next w:val="1"/>
    <w:autoRedefine/>
    <w:unhideWhenUsed/>
    <w:qFormat/>
    <w:uiPriority w:val="39"/>
    <w:pPr>
      <w:spacing w:after="100" w:line="259" w:lineRule="auto"/>
      <w:jc w:val="left"/>
    </w:pPr>
    <w:rPr>
      <w:rFonts w:cs="Times New Roman" w:asciiTheme="minorHAnsi" w:hAnsiTheme="minorHAnsi" w:eastAsiaTheme="minorEastAsia"/>
      <w:kern w:val="0"/>
      <w:sz w:val="22"/>
      <w:szCs w:val="22"/>
    </w:rPr>
  </w:style>
  <w:style w:type="paragraph" w:styleId="18">
    <w:name w:val="Subtitle"/>
    <w:basedOn w:val="1"/>
    <w:next w:val="1"/>
    <w:link w:val="37"/>
    <w:qFormat/>
    <w:uiPriority w:val="11"/>
    <w:pPr>
      <w:spacing w:after="160"/>
      <w:jc w:val="center"/>
    </w:pPr>
    <w:rPr>
      <w:rFonts w:asciiTheme="majorHAnsi" w:hAnsiTheme="majorHAnsi"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19">
    <w:name w:val="footnote text"/>
    <w:basedOn w:val="1"/>
    <w:link w:val="55"/>
    <w:semiHidden/>
    <w:unhideWhenUsed/>
    <w:qFormat/>
    <w:uiPriority w:val="99"/>
    <w:pPr>
      <w:snapToGrid w:val="0"/>
      <w:jc w:val="left"/>
    </w:pPr>
    <w:rPr>
      <w:sz w:val="18"/>
      <w:szCs w:val="18"/>
    </w:rPr>
  </w:style>
  <w:style w:type="paragraph" w:styleId="20">
    <w:name w:val="toc 2"/>
    <w:basedOn w:val="1"/>
    <w:next w:val="1"/>
    <w:autoRedefine/>
    <w:unhideWhenUsed/>
    <w:qFormat/>
    <w:uiPriority w:val="39"/>
    <w:pPr>
      <w:spacing w:after="100" w:line="259" w:lineRule="auto"/>
      <w:ind w:left="220"/>
      <w:jc w:val="left"/>
    </w:pPr>
    <w:rPr>
      <w:rFonts w:cs="Times New Roman" w:asciiTheme="minorHAnsi" w:hAnsiTheme="minorHAnsi" w:eastAsiaTheme="minorEastAsia"/>
      <w:kern w:val="0"/>
      <w:sz w:val="22"/>
      <w:szCs w:val="22"/>
    </w:rPr>
  </w:style>
  <w:style w:type="paragraph" w:styleId="21">
    <w:name w:val="Title"/>
    <w:basedOn w:val="1"/>
    <w:next w:val="1"/>
    <w:link w:val="3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4">
    <w:name w:val="endnote reference"/>
    <w:basedOn w:val="23"/>
    <w:semiHidden/>
    <w:unhideWhenUsed/>
    <w:qFormat/>
    <w:uiPriority w:val="99"/>
    <w:rPr>
      <w:vertAlign w:val="superscript"/>
    </w:rPr>
  </w:style>
  <w:style w:type="character" w:styleId="25">
    <w:name w:val="Hyperlink"/>
    <w:basedOn w:val="23"/>
    <w:unhideWhenUsed/>
    <w:qFormat/>
    <w:uiPriority w:val="99"/>
    <w:rPr>
      <w:color w:val="467886" w:themeColor="hyperlink"/>
      <w:u w:val="single"/>
      <w14:textFill>
        <w14:solidFill>
          <w14:schemeClr w14:val="hlink"/>
        </w14:solidFill>
      </w14:textFill>
    </w:rPr>
  </w:style>
  <w:style w:type="character" w:styleId="26">
    <w:name w:val="footnote reference"/>
    <w:basedOn w:val="23"/>
    <w:semiHidden/>
    <w:unhideWhenUsed/>
    <w:qFormat/>
    <w:uiPriority w:val="99"/>
    <w:rPr>
      <w:vertAlign w:val="superscript"/>
    </w:rPr>
  </w:style>
  <w:style w:type="character" w:customStyle="1" w:styleId="27">
    <w:name w:val="标题 1 字符"/>
    <w:basedOn w:val="23"/>
    <w:link w:val="2"/>
    <w:qFormat/>
    <w:uiPriority w:val="9"/>
    <w:rPr>
      <w:rFonts w:asciiTheme="majorHAnsi" w:hAnsiTheme="majorHAnsi" w:eastAsiaTheme="majorEastAsia" w:cstheme="majorBidi"/>
      <w:color w:val="104862" w:themeColor="accent1" w:themeShade="BF"/>
      <w:sz w:val="48"/>
      <w:szCs w:val="48"/>
    </w:rPr>
  </w:style>
  <w:style w:type="character" w:customStyle="1" w:styleId="28">
    <w:name w:val="标题 2 字符"/>
    <w:basedOn w:val="23"/>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9">
    <w:name w:val="标题 3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0">
    <w:name w:val="标题 4 字符"/>
    <w:basedOn w:val="23"/>
    <w:link w:val="5"/>
    <w:semiHidden/>
    <w:qFormat/>
    <w:uiPriority w:val="9"/>
    <w:rPr>
      <w:rFonts w:asciiTheme="minorHAnsi" w:hAnsiTheme="minorHAnsi" w:eastAsiaTheme="minorEastAsia" w:cstheme="majorBidi"/>
      <w:color w:val="104862" w:themeColor="accent1" w:themeShade="BF"/>
    </w:rPr>
  </w:style>
  <w:style w:type="character" w:customStyle="1" w:styleId="31">
    <w:name w:val="标题 5 字符"/>
    <w:basedOn w:val="23"/>
    <w:link w:val="6"/>
    <w:semiHidden/>
    <w:qFormat/>
    <w:uiPriority w:val="9"/>
    <w:rPr>
      <w:rFonts w:asciiTheme="minorHAnsi" w:hAnsiTheme="minorHAnsi" w:eastAsiaTheme="minorEastAsia" w:cstheme="majorBidi"/>
      <w:color w:val="104862" w:themeColor="accent1" w:themeShade="BF"/>
      <w:sz w:val="24"/>
      <w:szCs w:val="24"/>
    </w:rPr>
  </w:style>
  <w:style w:type="character" w:customStyle="1" w:styleId="32">
    <w:name w:val="标题 6 字符"/>
    <w:basedOn w:val="23"/>
    <w:link w:val="7"/>
    <w:semiHidden/>
    <w:qFormat/>
    <w:uiPriority w:val="9"/>
    <w:rPr>
      <w:rFonts w:asciiTheme="minorHAnsi" w:hAnsiTheme="minorHAnsi" w:eastAsiaTheme="minorEastAsia" w:cstheme="majorBidi"/>
      <w:b/>
      <w:bCs/>
      <w:color w:val="104862" w:themeColor="accent1" w:themeShade="BF"/>
    </w:rPr>
  </w:style>
  <w:style w:type="character" w:customStyle="1" w:styleId="33">
    <w:name w:val="标题 7 字符"/>
    <w:basedOn w:val="23"/>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3"/>
    <w:link w:val="9"/>
    <w:semiHidden/>
    <w:qFormat/>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3"/>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3"/>
    <w:link w:val="21"/>
    <w:qFormat/>
    <w:uiPriority w:val="10"/>
    <w:rPr>
      <w:rFonts w:asciiTheme="majorHAnsi" w:hAnsiTheme="majorHAnsi" w:eastAsiaTheme="majorEastAsia" w:cstheme="majorBidi"/>
      <w:spacing w:val="-10"/>
      <w:kern w:val="28"/>
      <w:sz w:val="56"/>
      <w:szCs w:val="56"/>
    </w:rPr>
  </w:style>
  <w:style w:type="character" w:customStyle="1" w:styleId="37">
    <w:name w:val="副标题 字符"/>
    <w:basedOn w:val="23"/>
    <w:link w:val="18"/>
    <w:qFormat/>
    <w:uiPriority w:val="11"/>
    <w:rPr>
      <w:rFonts w:asciiTheme="majorHAnsi" w:hAnsiTheme="majorHAnsi"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引用 字符"/>
    <w:basedOn w:val="23"/>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明显强调1"/>
    <w:basedOn w:val="23"/>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明显引用 字符"/>
    <w:basedOn w:val="23"/>
    <w:link w:val="42"/>
    <w:qFormat/>
    <w:uiPriority w:val="30"/>
    <w:rPr>
      <w:i/>
      <w:iCs/>
      <w:color w:val="104862" w:themeColor="accent1" w:themeShade="BF"/>
    </w:rPr>
  </w:style>
  <w:style w:type="character" w:customStyle="1" w:styleId="44">
    <w:name w:val="明显参考1"/>
    <w:basedOn w:val="23"/>
    <w:qFormat/>
    <w:uiPriority w:val="32"/>
    <w:rPr>
      <w:b/>
      <w:bCs/>
      <w:smallCaps/>
      <w:color w:val="104862" w:themeColor="accent1" w:themeShade="BF"/>
      <w:spacing w:val="5"/>
    </w:rPr>
  </w:style>
  <w:style w:type="table" w:customStyle="1" w:styleId="45">
    <w:name w:val="Table Normal"/>
    <w:semiHidden/>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46">
    <w:name w:val="Table Normal1"/>
    <w:semiHidden/>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47">
    <w:name w:val="Table Normal2"/>
    <w:semiHidden/>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styleId="48">
    <w:name w:val="Placeholder Text"/>
    <w:basedOn w:val="23"/>
    <w:semiHidden/>
    <w:qFormat/>
    <w:uiPriority w:val="99"/>
    <w:rPr>
      <w:color w:val="666666"/>
    </w:rPr>
  </w:style>
  <w:style w:type="character" w:customStyle="1" w:styleId="49">
    <w:name w:val="未处理的提及1"/>
    <w:basedOn w:val="23"/>
    <w:semiHidden/>
    <w:unhideWhenUsed/>
    <w:qFormat/>
    <w:uiPriority w:val="99"/>
    <w:rPr>
      <w:color w:val="605E5C"/>
      <w:shd w:val="clear" w:color="auto" w:fill="E1DFDD"/>
    </w:rPr>
  </w:style>
  <w:style w:type="paragraph" w:customStyle="1" w:styleId="50">
    <w:name w:val="TOC 标题1"/>
    <w:basedOn w:val="2"/>
    <w:next w:val="1"/>
    <w:unhideWhenUsed/>
    <w:qFormat/>
    <w:uiPriority w:val="39"/>
    <w:pPr>
      <w:spacing w:before="240" w:after="0" w:line="259" w:lineRule="auto"/>
      <w:jc w:val="left"/>
      <w:outlineLvl w:val="9"/>
    </w:pPr>
    <w:rPr>
      <w:kern w:val="0"/>
      <w:sz w:val="32"/>
      <w:szCs w:val="32"/>
    </w:rPr>
  </w:style>
  <w:style w:type="character" w:customStyle="1" w:styleId="51">
    <w:name w:val="页眉 字符"/>
    <w:basedOn w:val="23"/>
    <w:link w:val="16"/>
    <w:qFormat/>
    <w:uiPriority w:val="99"/>
    <w:rPr>
      <w:sz w:val="18"/>
      <w:szCs w:val="18"/>
    </w:rPr>
  </w:style>
  <w:style w:type="character" w:customStyle="1" w:styleId="52">
    <w:name w:val="页脚 字符"/>
    <w:basedOn w:val="23"/>
    <w:link w:val="15"/>
    <w:qFormat/>
    <w:uiPriority w:val="99"/>
    <w:rPr>
      <w:sz w:val="18"/>
      <w:szCs w:val="18"/>
    </w:rPr>
  </w:style>
  <w:style w:type="paragraph" w:customStyle="1" w:styleId="53">
    <w:name w:val="Table Paragraph"/>
    <w:basedOn w:val="1"/>
    <w:qFormat/>
    <w:uiPriority w:val="1"/>
    <w:pPr>
      <w:spacing w:before="18"/>
    </w:pPr>
    <w:rPr>
      <w:rFonts w:ascii="Times New Roman" w:hAnsi="Times New Roman" w:eastAsia="Times New Roman" w:cs="Times New Roman"/>
    </w:rPr>
  </w:style>
  <w:style w:type="character" w:customStyle="1" w:styleId="54">
    <w:name w:val="尾注文本 字符"/>
    <w:basedOn w:val="23"/>
    <w:link w:val="14"/>
    <w:semiHidden/>
    <w:qFormat/>
    <w:uiPriority w:val="99"/>
    <w:rPr>
      <w:rFonts w:ascii="黑体" w:hAnsi="黑体" w:eastAsia="黑体" w:cstheme="minorBidi"/>
      <w:kern w:val="2"/>
      <w:sz w:val="28"/>
      <w:szCs w:val="28"/>
    </w:rPr>
  </w:style>
  <w:style w:type="character" w:customStyle="1" w:styleId="55">
    <w:name w:val="脚注文本 字符"/>
    <w:basedOn w:val="23"/>
    <w:link w:val="19"/>
    <w:semiHidden/>
    <w:qFormat/>
    <w:uiPriority w:val="99"/>
    <w:rPr>
      <w:rFonts w:ascii="黑体" w:hAnsi="黑体" w:eastAsia="黑体" w:cstheme="minorBidi"/>
      <w:kern w:val="2"/>
      <w:sz w:val="18"/>
      <w:szCs w:val="18"/>
    </w:rPr>
  </w:style>
  <w:style w:type="character" w:customStyle="1" w:styleId="56">
    <w:name w:val="Unresolved Mention"/>
    <w:basedOn w:val="2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33750E-F012-4AF7-97A0-BC46E6718A28}">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10374</Words>
  <Characters>13036</Characters>
  <Lines>750</Lines>
  <Paragraphs>785</Paragraphs>
  <TotalTime>12</TotalTime>
  <ScaleCrop>false</ScaleCrop>
  <LinksUpToDate>false</LinksUpToDate>
  <CharactersWithSpaces>13471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2025-04-06T15:52:00Z</dcterms:created>
  <dc:creator>艺华 方</dc:creator>
  <cp:lastModifiedBy>第一公民</cp:lastModifiedBy>
  <cp:lastPrinted>2025-04-18T02:22:00Z</cp:lastPrinted>
  <dcterms:modified xsi:type="dcterms:W3CDTF">2025-04-23T03:32:19Z</dcterms:modified>
  <cp:revision>362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eyJoZGlkIjoiYWU2ODE2MzMzNmE4YjJjZTg5YjZmMDdiNDA3NDUwMGEiLCJ1c2VySWQiOiIxMjg3MzQ2ODk2In0=</vt:lpwstr>
  </property>
  <property fmtid="{D5CDD505-2E9C-101B-9397-08002B2CF9AE}" pid="3" name="KSOProductBuildVer">
    <vt:lpwstr>2052-12.1.0.20305</vt:lpwstr>
  </property>
  <property fmtid="{D5CDD505-2E9C-101B-9397-08002B2CF9AE}" pid="4" name="ICV">
    <vt:lpwstr>78707099200C415AA9446367AB898C54_12</vt:lpwstr>
  </property>
</Properties>
</file>