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56"/>
          <w:szCs w:val="56"/>
        </w:rPr>
        <w:t xml:space="preserve">MIGRATION RUNBOOK</w:t>
      </w:r>
    </w:p>
    <w:p>
      <w:pPr>
        <w:spacing w:after="200" w:before="200"/>
        <w:jc w:val="center"/>
      </w:pPr>
      <w:r>
        <w:rPr>
          <w:b/>
          <w:bCs/>
          <w:color w:val="595959"/>
          <w:sz w:val="32"/>
          <w:szCs w:val="32"/>
        </w:rPr>
        <w:t xml:space="preserve">Jira ISSP (Jira CIB Cluster) → Jira TtCAAS1443 (Jira GROUP Cluster)</w:t>
      </w:r>
    </w:p>
    <w:p>
      <w:pPr>
        <w:spacing w:after="100"/>
        <w:jc w:val="center"/>
      </w:pPr>
      <w:r>
        <w:rPr>
          <w:i/>
          <w:iCs/>
          <w:color w:val="595959"/>
          <w:sz w:val="24"/>
          <w:szCs w:val="24"/>
        </w:rPr>
        <w:t xml:space="preserve">Cross-Cluster, Cross-Version Jira Data Migration — ~11,000 Issues</w:t>
      </w:r>
    </w:p>
    <w:p>
      <w:pPr>
        <w:spacing w:before="800"/>
        <w:jc w:val="center"/>
      </w:pPr>
      <w:r>
        <w:rPr>
          <w:sz w:val="22"/>
          <w:szCs w:val="22"/>
        </w:rPr>
        <w:t xml:space="preserve">Document Owner: ______________________  (Migration Owner)</w:t>
      </w:r>
    </w:p>
    <w:p>
      <w:pPr>
        <w:spacing w:after="60"/>
        <w:jc w:val="center"/>
      </w:pPr>
      <w:r>
        <w:rPr>
          <w:sz w:val="22"/>
          <w:szCs w:val="22"/>
        </w:rPr>
        <w:t xml:space="preserve">Status: Draft for Kickoff  |  Version: 0.1  |  Date: September 6, 2026</w:t>
      </w:r>
    </w:p>
    <w:p>
      <w:r>
        <w:br w:type="page"/>
      </w:r>
    </w:p>
    <w:p>
      <w:pPr>
        <w:spacing w:after="100"/>
      </w:pPr>
      <w:r>
        <w:rPr>
          <w:b/>
          <w:bCs/>
          <w:color w:val="1F4E79"/>
          <w:sz w:val="30"/>
          <w:szCs w:val="30"/>
        </w:rPr>
        <w:t xml:space="preserve">Table of Contents</w:t>
      </w:r>
    </w:p>
    <w:p>
      <w:pPr>
        <w:spacing w:after="200"/>
      </w:pPr>
      <w:r>
        <w:rPr>
          <w:i/>
          <w:iCs/>
          <w:color w:val="595959"/>
          <w:sz w:val="18"/>
          <w:szCs w:val="18"/>
        </w:rPr>
        <w:t xml:space="preserve">(Right-click below and choose "Update Field" in Word to populate page numbers.)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pPr>
      <w:r>
        <w:t xml:space="preserve">This runbook defines the end-to-end approach to migrate approximately 11,000 Jira issues from project ISSP on the Jira CIB cluster to project TtCAAS1443 on the Jira GROUP cluster. The two clusters run different Jira versions with different hidden custom field IDs, different workflow schemes, and different priority scales (3-tier vs. 5-tier). The target project is already live, with roughly 1,000 net-new issues created by users since cutover of daily work began.</w:t>
      </w:r>
    </w:p>
    <w:p>
      <w:pPr>
        <w:spacing w:after="160"/>
      </w:pPr>
      <w:r>
        <w:t xml:space="preserve">The approach treats this as a governed ETL (Extract–Transform–Load) program rather than a Jira export/import exercise. It uses a mapping-driven migration engine, an AI-assisted classification layer to resolve ambiguous status and priority mappings, and a batch-and-freeze cutover strategy so that neither the source team's historical record nor the target team's live, in-flight work is disrupted.</w:t>
      </w:r>
    </w:p>
    <w:p>
      <w:pPr>
        <w:spacing w:after="160"/>
      </w:pPr>
      <w:r>
        <w:t xml:space="preserve">As the migration owner, you are accountable for: mapping sign-off, engaging both platform admin teams, sequencing batches to avoid collision with the 1,000 live tickets, running validation/reconciliation, and formal go/no-go decisions at each phase gate.</w:t>
      </w:r>
    </w:p>
    <w:p>
      <w:pPr>
        <w:pStyle w:val="Heading1"/>
        <w:spacing w:after="200" w:before="400"/>
      </w:pPr>
      <w:r>
        <w:t xml:space="preserve">2. Objectives &amp; Success Criteria</w:t>
      </w:r>
    </w:p>
    <w:p>
      <w:pPr>
        <w:pStyle w:val="ListParagraph"/>
        <w:numPr>
          <w:ilvl w:val="0"/>
          <w:numId w:val="1"/>
        </w:numPr>
        <w:spacing w:after="80"/>
      </w:pPr>
      <w:r>
        <w:t xml:space="preserve">Migrate all ~11,000 ISSP issues (fields, comments, attachments, history where feasible, links) into TtCAAS1443 with zero data loss.</w:t>
      </w:r>
    </w:p>
    <w:p>
      <w:pPr>
        <w:pStyle w:val="ListParagraph"/>
        <w:numPr>
          <w:ilvl w:val="0"/>
          <w:numId w:val="1"/>
        </w:numPr>
        <w:spacing w:after="80"/>
      </w:pPr>
      <w:r>
        <w:t xml:space="preserve">Preserve traceability: every migrated issue is tagged with its original key and a permanent mapping record is kept.</w:t>
      </w:r>
    </w:p>
    <w:p>
      <w:pPr>
        <w:pStyle w:val="ListParagraph"/>
        <w:numPr>
          <w:ilvl w:val="0"/>
          <w:numId w:val="1"/>
        </w:numPr>
        <w:spacing w:after="80"/>
      </w:pPr>
      <w:r>
        <w:t xml:space="preserve">Zero disruption to the 1,000+ new issues already live in TtCAAS1443 — no key collisions, no accidental overwrites, no downtime for active users.</w:t>
      </w:r>
    </w:p>
    <w:p>
      <w:pPr>
        <w:pStyle w:val="ListParagraph"/>
        <w:numPr>
          <w:ilvl w:val="0"/>
          <w:numId w:val="1"/>
        </w:numPr>
        <w:spacing w:after="80"/>
      </w:pPr>
      <w:r>
        <w:t xml:space="preserve">Zero disruption to the source system during migration — ISSP remains usable (read-only near the end) until cutover is confirmed.</w:t>
      </w:r>
    </w:p>
    <w:p>
      <w:pPr>
        <w:pStyle w:val="ListParagraph"/>
        <w:numPr>
          <w:ilvl w:val="0"/>
          <w:numId w:val="1"/>
        </w:numPr>
        <w:spacing w:after="80"/>
      </w:pPr>
      <w:r>
        <w:t xml:space="preserve">Workflow states and priorities are translated using an agreed, auditable mapping — not a lossy best-guess.</w:t>
      </w:r>
    </w:p>
    <w:p>
      <w:pPr>
        <w:pStyle w:val="ListParagraph"/>
        <w:numPr>
          <w:ilvl w:val="0"/>
          <w:numId w:val="1"/>
        </w:numPr>
        <w:spacing w:after="80"/>
      </w:pPr>
      <w:r>
        <w:t xml:space="preserve">Migration is repeatable and idempotent — any batch can be safely re-run without creating duplicates.</w:t>
      </w:r>
    </w:p>
    <w:p>
      <w:pPr>
        <w:pStyle w:val="ListParagraph"/>
        <w:numPr>
          <w:ilvl w:val="0"/>
          <w:numId w:val="1"/>
        </w:numPr>
        <w:spacing w:after="80"/>
      </w:pPr>
      <w:r>
        <w:t xml:space="preserve">Manual effort is minimized by automating field/status/priority mapping and by using AI classification only where mapping is genuinely ambiguous, with human review on low-confidence cases only.</w:t>
      </w:r>
    </w:p>
    <w:p>
      <w:pPr>
        <w:pStyle w:val="Heading1"/>
        <w:spacing w:after="200" w:before="400"/>
      </w:pPr>
      <w:r>
        <w:t xml:space="preserve">3. Scope &amp; Assumptions</w:t>
      </w:r>
    </w:p>
    <w:p>
      <w:pPr>
        <w:pStyle w:val="Heading2"/>
        <w:spacing w:after="150" w:before="300"/>
      </w:pPr>
      <w:r>
        <w:t xml:space="preserve">In Scope</w:t>
      </w:r>
    </w:p>
    <w:p>
      <w:pPr>
        <w:pStyle w:val="ListParagraph"/>
        <w:numPr>
          <w:ilvl w:val="0"/>
          <w:numId w:val="1"/>
        </w:numPr>
        <w:spacing w:after="80"/>
      </w:pPr>
      <w:r>
        <w:t xml:space="preserve">All issues under ISSP project (open, closed, resolved) — approx. 11,000 records.</w:t>
      </w:r>
    </w:p>
    <w:p>
      <w:pPr>
        <w:pStyle w:val="ListParagraph"/>
        <w:numPr>
          <w:ilvl w:val="0"/>
          <w:numId w:val="1"/>
        </w:numPr>
        <w:spacing w:after="80"/>
      </w:pPr>
      <w:r>
        <w:t xml:space="preserve">Issue fields (standard + custom), comments, attachments, issue links, and status/priority translation.</w:t>
      </w:r>
    </w:p>
    <w:p>
      <w:pPr>
        <w:pStyle w:val="ListParagraph"/>
        <w:numPr>
          <w:ilvl w:val="0"/>
          <w:numId w:val="1"/>
        </w:numPr>
        <w:spacing w:after="80"/>
      </w:pPr>
      <w:r>
        <w:t xml:space="preserve">Workflow state remapping (e.g., Accepted → In Progress in source vs. Accepted → Selected for Development in target).</w:t>
      </w:r>
    </w:p>
    <w:p>
      <w:pPr>
        <w:pStyle w:val="ListParagraph"/>
        <w:numPr>
          <w:ilvl w:val="0"/>
          <w:numId w:val="1"/>
        </w:numPr>
        <w:spacing w:after="80"/>
      </w:pPr>
      <w:r>
        <w:t xml:space="preserve">Priority remapping (3-tier source: High/Medium/Low → 5-tier target scale).</w:t>
      </w:r>
    </w:p>
    <w:p>
      <w:pPr>
        <w:pStyle w:val="Heading2"/>
        <w:spacing w:after="150" w:before="300"/>
      </w:pPr>
      <w:r>
        <w:t xml:space="preserve">Out of Scope (unless explicitly added)</w:t>
      </w:r>
    </w:p>
    <w:p>
      <w:pPr>
        <w:pStyle w:val="ListParagraph"/>
        <w:numPr>
          <w:ilvl w:val="0"/>
          <w:numId w:val="1"/>
        </w:numPr>
        <w:spacing w:after="80"/>
      </w:pPr>
      <w:r>
        <w:t xml:space="preserve">Dashboards, boards, filters, and automation rules — these are recreated natively in Jira GROUP, not migrated as data.</w:t>
      </w:r>
    </w:p>
    <w:p>
      <w:pPr>
        <w:pStyle w:val="ListParagraph"/>
        <w:numPr>
          <w:ilvl w:val="0"/>
          <w:numId w:val="1"/>
        </w:numPr>
        <w:spacing w:after="80"/>
      </w:pPr>
      <w:r>
        <w:t xml:space="preserve">Historical Jira CIB audit/security logs outside issue changelogs.</w:t>
      </w:r>
    </w:p>
    <w:p>
      <w:pPr>
        <w:pStyle w:val="Heading2"/>
        <w:spacing w:after="150" w:before="300"/>
      </w:pPr>
      <w:r>
        <w:t xml:space="preserve">Assumptions</w:t>
      </w:r>
    </w:p>
    <w:p>
      <w:pPr>
        <w:pStyle w:val="ListParagraph"/>
        <w:numPr>
          <w:ilvl w:val="0"/>
          <w:numId w:val="1"/>
        </w:numPr>
        <w:spacing w:after="80"/>
      </w:pPr>
      <w:r>
        <w:t xml:space="preserve">Both clusters expose REST API access (Jira Cloud/Data Center REST v2 or v3) with service-account credentials available to the migration engine.</w:t>
      </w:r>
    </w:p>
    <w:p>
      <w:pPr>
        <w:pStyle w:val="ListParagraph"/>
        <w:numPr>
          <w:ilvl w:val="0"/>
          <w:numId w:val="1"/>
        </w:numPr>
        <w:spacing w:after="80"/>
      </w:pPr>
      <w:r>
        <w:t xml:space="preserve">Business SMEs from both teams are available for mapping sign-off and low-confidence review queues.</w:t>
      </w:r>
    </w:p>
    <w:p>
      <w:pPr>
        <w:pStyle w:val="ListParagraph"/>
        <w:numPr>
          <w:ilvl w:val="0"/>
          <w:numId w:val="1"/>
        </w:numPr>
        <w:spacing w:after="80"/>
      </w:pPr>
      <w:r>
        <w:t xml:space="preserve">A short read-only freeze window on ISSP is acceptable for the final delta batch.</w:t>
      </w:r>
    </w:p>
    <w:p>
      <w:pPr>
        <w:pStyle w:val="Heading1"/>
        <w:spacing w:after="200" w:before="400"/>
      </w:pPr>
      <w:r>
        <w:t xml:space="preserve">4. Governance &amp; RACI</w:t>
      </w:r>
    </w:p>
    <w:p>
      <w:pPr>
        <w:spacing w:after="160"/>
      </w:pPr>
      <w:r>
        <w:t xml:space="preserve">A single accountable owner (you) is essential given two independent platform teams and a live target system. The table below defines Responsible / Accountable / Consulted / Informed for each work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85"/>
        <w:gridCol w:w="1498"/>
        <w:gridCol w:w="1872"/>
        <w:gridCol w:w="1497"/>
      </w:tblGrid>
      <w:tr>
        <w:trPr>
          <w:tblHeader/>
        </w:trPr>
        <w:tc>
          <w:tcPr>
            <w:tcW w:type="dxa" w:w="2808"/>
            <w:shd w:fill="1F4E79" w:val="clear"/>
            <w:tcMar>
              <w:top w:type="dxa" w:w="80"/>
              <w:left w:type="dxa" w:w="100"/>
              <w:bottom w:type="dxa" w:w="80"/>
              <w:right w:type="dxa" w:w="100"/>
            </w:tcMar>
          </w:tcPr>
          <w:p>
            <w:r>
              <w:rPr>
                <w:b/>
                <w:bCs/>
                <w:color w:val="FFFFFF"/>
                <w:sz w:val="20"/>
                <w:szCs w:val="20"/>
              </w:rPr>
              <w:t xml:space="preserve">Work Stream</w:t>
            </w:r>
          </w:p>
        </w:tc>
        <w:tc>
          <w:tcPr>
            <w:tcW w:type="dxa" w:w="1685"/>
            <w:shd w:fill="1F4E79" w:val="clear"/>
            <w:tcMar>
              <w:top w:type="dxa" w:w="80"/>
              <w:left w:type="dxa" w:w="100"/>
              <w:bottom w:type="dxa" w:w="80"/>
              <w:right w:type="dxa" w:w="100"/>
            </w:tcMar>
          </w:tcPr>
          <w:p>
            <w:r>
              <w:rPr>
                <w:b/>
                <w:bCs/>
                <w:color w:val="FFFFFF"/>
                <w:sz w:val="20"/>
                <w:szCs w:val="20"/>
              </w:rPr>
              <w:t xml:space="preserve">Responsible (R)</w:t>
            </w:r>
          </w:p>
        </w:tc>
        <w:tc>
          <w:tcPr>
            <w:tcW w:type="dxa" w:w="1498"/>
            <w:shd w:fill="1F4E79" w:val="clear"/>
            <w:tcMar>
              <w:top w:type="dxa" w:w="80"/>
              <w:left w:type="dxa" w:w="100"/>
              <w:bottom w:type="dxa" w:w="80"/>
              <w:right w:type="dxa" w:w="100"/>
            </w:tcMar>
          </w:tcPr>
          <w:p>
            <w:r>
              <w:rPr>
                <w:b/>
                <w:bCs/>
                <w:color w:val="FFFFFF"/>
                <w:sz w:val="20"/>
                <w:szCs w:val="20"/>
              </w:rPr>
              <w:t xml:space="preserve">Accountable (A)</w:t>
            </w:r>
          </w:p>
        </w:tc>
        <w:tc>
          <w:tcPr>
            <w:tcW w:type="dxa" w:w="1872"/>
            <w:shd w:fill="1F4E79" w:val="clear"/>
            <w:tcMar>
              <w:top w:type="dxa" w:w="80"/>
              <w:left w:type="dxa" w:w="100"/>
              <w:bottom w:type="dxa" w:w="80"/>
              <w:right w:type="dxa" w:w="100"/>
            </w:tcMar>
          </w:tcPr>
          <w:p>
            <w:r>
              <w:rPr>
                <w:b/>
                <w:bCs/>
                <w:color w:val="FFFFFF"/>
                <w:sz w:val="20"/>
                <w:szCs w:val="20"/>
              </w:rPr>
              <w:t xml:space="preserve">Consulted (C)</w:t>
            </w:r>
          </w:p>
        </w:tc>
        <w:tc>
          <w:tcPr>
            <w:tcW w:type="dxa" w:w="1497"/>
            <w:shd w:fill="1F4E79" w:val="clear"/>
            <w:tcMar>
              <w:top w:type="dxa" w:w="80"/>
              <w:left w:type="dxa" w:w="100"/>
              <w:bottom w:type="dxa" w:w="80"/>
              <w:right w:type="dxa" w:w="100"/>
            </w:tcMar>
          </w:tcPr>
          <w:p>
            <w:r>
              <w:rPr>
                <w:b/>
                <w:bCs/>
                <w:color w:val="FFFFFF"/>
                <w:sz w:val="20"/>
                <w:szCs w:val="20"/>
              </w:rPr>
              <w:t xml:space="preserve">Informed (I)</w:t>
            </w:r>
          </w:p>
        </w:tc>
      </w:tr>
      <w:tr>
        <w:tc>
          <w:tcPr>
            <w:tcW w:type="dxa" w:w="2808"/>
            <w:tcMar>
              <w:top w:type="dxa" w:w="80"/>
              <w:left w:type="dxa" w:w="100"/>
              <w:bottom w:type="dxa" w:w="80"/>
              <w:right w:type="dxa" w:w="100"/>
            </w:tcMar>
          </w:tcPr>
          <w:p>
            <w:r>
              <w:rPr>
                <w:b w:val="false"/>
                <w:bCs w:val="false"/>
                <w:sz w:val="19"/>
                <w:szCs w:val="19"/>
              </w:rPr>
              <w:t xml:space="preserve">Overall migration ownership &amp; go/no-go</w:t>
            </w:r>
          </w:p>
        </w:tc>
        <w:tc>
          <w:tcPr>
            <w:tcW w:type="dxa" w:w="1685"/>
            <w:tcMar>
              <w:top w:type="dxa" w:w="80"/>
              <w:left w:type="dxa" w:w="100"/>
              <w:bottom w:type="dxa" w:w="80"/>
              <w:right w:type="dxa" w:w="100"/>
            </w:tcMar>
          </w:tcPr>
          <w:p>
            <w:r>
              <w:rPr>
                <w:b w:val="false"/>
                <w:bCs w:val="false"/>
                <w:sz w:val="19"/>
                <w:szCs w:val="19"/>
              </w:rPr>
              <w:t xml:space="preserve">You (Migration Owner)</w:t>
            </w:r>
          </w:p>
        </w:tc>
        <w:tc>
          <w:tcPr>
            <w:tcW w:type="dxa" w:w="1498"/>
            <w:tcMar>
              <w:top w:type="dxa" w:w="80"/>
              <w:left w:type="dxa" w:w="100"/>
              <w:bottom w:type="dxa" w:w="80"/>
              <w:right w:type="dxa" w:w="100"/>
            </w:tcMar>
          </w:tcPr>
          <w:p>
            <w:r>
              <w:rPr>
                <w:b w:val="false"/>
                <w:bCs w:val="false"/>
                <w:sz w:val="19"/>
                <w:szCs w:val="19"/>
              </w:rPr>
              <w:t xml:space="preserve">Sponsor</w:t>
            </w:r>
          </w:p>
        </w:tc>
        <w:tc>
          <w:tcPr>
            <w:tcW w:type="dxa" w:w="1872"/>
            <w:tcMar>
              <w:top w:type="dxa" w:w="80"/>
              <w:left w:type="dxa" w:w="100"/>
              <w:bottom w:type="dxa" w:w="80"/>
              <w:right w:type="dxa" w:w="100"/>
            </w:tcMar>
          </w:tcPr>
          <w:p>
            <w:r>
              <w:rPr>
                <w:b w:val="false"/>
                <w:bCs w:val="false"/>
                <w:sz w:val="19"/>
                <w:szCs w:val="19"/>
              </w:rPr>
              <w:t xml:space="preserve">Both team leads, Platform Admins</w:t>
            </w:r>
          </w:p>
        </w:tc>
        <w:tc>
          <w:tcPr>
            <w:tcW w:type="dxa" w:w="1497"/>
            <w:tcMar>
              <w:top w:type="dxa" w:w="80"/>
              <w:left w:type="dxa" w:w="100"/>
              <w:bottom w:type="dxa" w:w="80"/>
              <w:right w:type="dxa" w:w="100"/>
            </w:tcMar>
          </w:tcPr>
          <w:p>
            <w:r>
              <w:rPr>
                <w:b w:val="false"/>
                <w:bCs w:val="false"/>
                <w:sz w:val="19"/>
                <w:szCs w:val="19"/>
              </w:rPr>
              <w:t xml:space="preserve">All stakeholders</w:t>
            </w:r>
          </w:p>
        </w:tc>
      </w:tr>
      <w:tr>
        <w:tc>
          <w:tcPr>
            <w:tcW w:type="dxa" w:w="2808"/>
            <w:shd w:fill="F2F2F2" w:val="clear"/>
            <w:tcMar>
              <w:top w:type="dxa" w:w="80"/>
              <w:left w:type="dxa" w:w="100"/>
              <w:bottom w:type="dxa" w:w="80"/>
              <w:right w:type="dxa" w:w="100"/>
            </w:tcMar>
          </w:tcPr>
          <w:p>
            <w:r>
              <w:rPr>
                <w:b w:val="false"/>
                <w:bCs w:val="false"/>
                <w:sz w:val="19"/>
                <w:szCs w:val="19"/>
              </w:rPr>
              <w:t xml:space="preserve">Source system (Jira CIB / ISSP) admin access &amp; freeze</w:t>
            </w:r>
          </w:p>
        </w:tc>
        <w:tc>
          <w:tcPr>
            <w:tcW w:type="dxa" w:w="1685"/>
            <w:shd w:fill="F2F2F2" w:val="clear"/>
            <w:tcMar>
              <w:top w:type="dxa" w:w="80"/>
              <w:left w:type="dxa" w:w="100"/>
              <w:bottom w:type="dxa" w:w="80"/>
              <w:right w:type="dxa" w:w="100"/>
            </w:tcMar>
          </w:tcPr>
          <w:p>
            <w:r>
              <w:rPr>
                <w:b w:val="false"/>
                <w:bCs w:val="false"/>
                <w:sz w:val="19"/>
                <w:szCs w:val="19"/>
              </w:rPr>
              <w:t xml:space="preserve">Source Platform Admin</w:t>
            </w:r>
          </w:p>
        </w:tc>
        <w:tc>
          <w:tcPr>
            <w:tcW w:type="dxa" w:w="1498"/>
            <w:shd w:fill="F2F2F2" w:val="clear"/>
            <w:tcMar>
              <w:top w:type="dxa" w:w="80"/>
              <w:left w:type="dxa" w:w="100"/>
              <w:bottom w:type="dxa" w:w="80"/>
              <w:right w:type="dxa" w:w="100"/>
            </w:tcMar>
          </w:tcPr>
          <w:p>
            <w:r>
              <w:rPr>
                <w:b w:val="false"/>
                <w:bCs w:val="false"/>
                <w:sz w:val="19"/>
                <w:szCs w:val="19"/>
              </w:rPr>
              <w:t xml:space="preserve">You</w:t>
            </w:r>
          </w:p>
        </w:tc>
        <w:tc>
          <w:tcPr>
            <w:tcW w:type="dxa" w:w="1872"/>
            <w:shd w:fill="F2F2F2" w:val="clear"/>
            <w:tcMar>
              <w:top w:type="dxa" w:w="80"/>
              <w:left w:type="dxa" w:w="100"/>
              <w:bottom w:type="dxa" w:w="80"/>
              <w:right w:type="dxa" w:w="100"/>
            </w:tcMar>
          </w:tcPr>
          <w:p>
            <w:r>
              <w:rPr>
                <w:b w:val="false"/>
                <w:bCs w:val="false"/>
                <w:sz w:val="19"/>
                <w:szCs w:val="19"/>
              </w:rPr>
              <w:t xml:space="preserve">Source team lead</w:t>
            </w:r>
          </w:p>
        </w:tc>
        <w:tc>
          <w:tcPr>
            <w:tcW w:type="dxa" w:w="1497"/>
            <w:shd w:fill="F2F2F2" w:val="clear"/>
            <w:tcMar>
              <w:top w:type="dxa" w:w="80"/>
              <w:left w:type="dxa" w:w="100"/>
              <w:bottom w:type="dxa" w:w="80"/>
              <w:right w:type="dxa" w:w="100"/>
            </w:tcMar>
          </w:tcPr>
          <w:p>
            <w:r>
              <w:rPr>
                <w:b w:val="false"/>
                <w:bCs w:val="false"/>
                <w:sz w:val="19"/>
                <w:szCs w:val="19"/>
              </w:rPr>
              <w:t xml:space="preserve">Source team</w:t>
            </w:r>
          </w:p>
        </w:tc>
      </w:tr>
      <w:tr>
        <w:tc>
          <w:tcPr>
            <w:tcW w:type="dxa" w:w="2808"/>
            <w:tcMar>
              <w:top w:type="dxa" w:w="80"/>
              <w:left w:type="dxa" w:w="100"/>
              <w:bottom w:type="dxa" w:w="80"/>
              <w:right w:type="dxa" w:w="100"/>
            </w:tcMar>
          </w:tcPr>
          <w:p>
            <w:r>
              <w:rPr>
                <w:b w:val="false"/>
                <w:bCs w:val="false"/>
                <w:sz w:val="19"/>
                <w:szCs w:val="19"/>
              </w:rPr>
              <w:t xml:space="preserve">Target system (Jira GROUP / TtCAAS1443) admin access</w:t>
            </w:r>
          </w:p>
        </w:tc>
        <w:tc>
          <w:tcPr>
            <w:tcW w:type="dxa" w:w="1685"/>
            <w:tcMar>
              <w:top w:type="dxa" w:w="80"/>
              <w:left w:type="dxa" w:w="100"/>
              <w:bottom w:type="dxa" w:w="80"/>
              <w:right w:type="dxa" w:w="100"/>
            </w:tcMar>
          </w:tcPr>
          <w:p>
            <w:r>
              <w:rPr>
                <w:b w:val="false"/>
                <w:bCs w:val="false"/>
                <w:sz w:val="19"/>
                <w:szCs w:val="19"/>
              </w:rPr>
              <w:t xml:space="preserve">Target Platform Admin</w:t>
            </w:r>
          </w:p>
        </w:tc>
        <w:tc>
          <w:tcPr>
            <w:tcW w:type="dxa" w:w="1498"/>
            <w:tcMar>
              <w:top w:type="dxa" w:w="80"/>
              <w:left w:type="dxa" w:w="100"/>
              <w:bottom w:type="dxa" w:w="80"/>
              <w:right w:type="dxa" w:w="100"/>
            </w:tcMar>
          </w:tcPr>
          <w:p>
            <w:r>
              <w:rPr>
                <w:b w:val="false"/>
                <w:bCs w:val="false"/>
                <w:sz w:val="19"/>
                <w:szCs w:val="19"/>
              </w:rPr>
              <w:t xml:space="preserve">You</w:t>
            </w:r>
          </w:p>
        </w:tc>
        <w:tc>
          <w:tcPr>
            <w:tcW w:type="dxa" w:w="1872"/>
            <w:tcMar>
              <w:top w:type="dxa" w:w="80"/>
              <w:left w:type="dxa" w:w="100"/>
              <w:bottom w:type="dxa" w:w="80"/>
              <w:right w:type="dxa" w:w="100"/>
            </w:tcMar>
          </w:tcPr>
          <w:p>
            <w:r>
              <w:rPr>
                <w:b w:val="false"/>
                <w:bCs w:val="false"/>
                <w:sz w:val="19"/>
                <w:szCs w:val="19"/>
              </w:rPr>
              <w:t xml:space="preserve">Target team lead</w:t>
            </w:r>
          </w:p>
        </w:tc>
        <w:tc>
          <w:tcPr>
            <w:tcW w:type="dxa" w:w="1497"/>
            <w:tcMar>
              <w:top w:type="dxa" w:w="80"/>
              <w:left w:type="dxa" w:w="100"/>
              <w:bottom w:type="dxa" w:w="80"/>
              <w:right w:type="dxa" w:w="100"/>
            </w:tcMar>
          </w:tcPr>
          <w:p>
            <w:r>
              <w:rPr>
                <w:b w:val="false"/>
                <w:bCs w:val="false"/>
                <w:sz w:val="19"/>
                <w:szCs w:val="19"/>
              </w:rPr>
              <w:t xml:space="preserve">Target team</w:t>
            </w:r>
          </w:p>
        </w:tc>
      </w:tr>
      <w:tr>
        <w:tc>
          <w:tcPr>
            <w:tcW w:type="dxa" w:w="2808"/>
            <w:shd w:fill="F2F2F2" w:val="clear"/>
            <w:tcMar>
              <w:top w:type="dxa" w:w="80"/>
              <w:left w:type="dxa" w:w="100"/>
              <w:bottom w:type="dxa" w:w="80"/>
              <w:right w:type="dxa" w:w="100"/>
            </w:tcMar>
          </w:tcPr>
          <w:p>
            <w:r>
              <w:rPr>
                <w:b w:val="false"/>
                <w:bCs w:val="false"/>
                <w:sz w:val="19"/>
                <w:szCs w:val="19"/>
              </w:rPr>
              <w:t xml:space="preserve">Field / workflow / priority mapping definition</w:t>
            </w:r>
          </w:p>
        </w:tc>
        <w:tc>
          <w:tcPr>
            <w:tcW w:type="dxa" w:w="1685"/>
            <w:shd w:fill="F2F2F2" w:val="clear"/>
            <w:tcMar>
              <w:top w:type="dxa" w:w="80"/>
              <w:left w:type="dxa" w:w="100"/>
              <w:bottom w:type="dxa" w:w="80"/>
              <w:right w:type="dxa" w:w="100"/>
            </w:tcMar>
          </w:tcPr>
          <w:p>
            <w:r>
              <w:rPr>
                <w:b w:val="false"/>
                <w:bCs w:val="false"/>
                <w:sz w:val="19"/>
                <w:szCs w:val="19"/>
              </w:rPr>
              <w:t xml:space="preserve">Business SME (both teams)</w:t>
            </w:r>
          </w:p>
        </w:tc>
        <w:tc>
          <w:tcPr>
            <w:tcW w:type="dxa" w:w="1498"/>
            <w:shd w:fill="F2F2F2" w:val="clear"/>
            <w:tcMar>
              <w:top w:type="dxa" w:w="80"/>
              <w:left w:type="dxa" w:w="100"/>
              <w:bottom w:type="dxa" w:w="80"/>
              <w:right w:type="dxa" w:w="100"/>
            </w:tcMar>
          </w:tcPr>
          <w:p>
            <w:r>
              <w:rPr>
                <w:b w:val="false"/>
                <w:bCs w:val="false"/>
                <w:sz w:val="19"/>
                <w:szCs w:val="19"/>
              </w:rPr>
              <w:t xml:space="preserve">You</w:t>
            </w:r>
          </w:p>
        </w:tc>
        <w:tc>
          <w:tcPr>
            <w:tcW w:type="dxa" w:w="1872"/>
            <w:shd w:fill="F2F2F2" w:val="clear"/>
            <w:tcMar>
              <w:top w:type="dxa" w:w="80"/>
              <w:left w:type="dxa" w:w="100"/>
              <w:bottom w:type="dxa" w:w="80"/>
              <w:right w:type="dxa" w:w="100"/>
            </w:tcMar>
          </w:tcPr>
          <w:p>
            <w:r>
              <w:rPr>
                <w:b w:val="false"/>
                <w:bCs w:val="false"/>
                <w:sz w:val="19"/>
                <w:szCs w:val="19"/>
              </w:rPr>
              <w:t xml:space="preserve">Platform Admins</w:t>
            </w:r>
          </w:p>
        </w:tc>
        <w:tc>
          <w:tcPr>
            <w:tcW w:type="dxa" w:w="1497"/>
            <w:shd w:fill="F2F2F2" w:val="clear"/>
            <w:tcMar>
              <w:top w:type="dxa" w:w="80"/>
              <w:left w:type="dxa" w:w="100"/>
              <w:bottom w:type="dxa" w:w="80"/>
              <w:right w:type="dxa" w:w="100"/>
            </w:tcMar>
          </w:tcPr>
          <w:p>
            <w:r>
              <w:rPr>
                <w:b w:val="false"/>
                <w:bCs w:val="false"/>
                <w:sz w:val="19"/>
                <w:szCs w:val="19"/>
              </w:rPr>
              <w:t xml:space="preserve">-</w:t>
            </w:r>
          </w:p>
        </w:tc>
      </w:tr>
      <w:tr>
        <w:tc>
          <w:tcPr>
            <w:tcW w:type="dxa" w:w="2808"/>
            <w:tcMar>
              <w:top w:type="dxa" w:w="80"/>
              <w:left w:type="dxa" w:w="100"/>
              <w:bottom w:type="dxa" w:w="80"/>
              <w:right w:type="dxa" w:w="100"/>
            </w:tcMar>
          </w:tcPr>
          <w:p>
            <w:r>
              <w:rPr>
                <w:b w:val="false"/>
                <w:bCs w:val="false"/>
                <w:sz w:val="19"/>
                <w:szCs w:val="19"/>
              </w:rPr>
              <w:t xml:space="preserve">Migration engine build (ETL scripts)</w:t>
            </w:r>
          </w:p>
        </w:tc>
        <w:tc>
          <w:tcPr>
            <w:tcW w:type="dxa" w:w="1685"/>
            <w:tcMar>
              <w:top w:type="dxa" w:w="80"/>
              <w:left w:type="dxa" w:w="100"/>
              <w:bottom w:type="dxa" w:w="80"/>
              <w:right w:type="dxa" w:w="100"/>
            </w:tcMar>
          </w:tcPr>
          <w:p>
            <w:r>
              <w:rPr>
                <w:b w:val="false"/>
                <w:bCs w:val="false"/>
                <w:sz w:val="19"/>
                <w:szCs w:val="19"/>
              </w:rPr>
              <w:t xml:space="preserve">Engineering / Automation Lead</w:t>
            </w:r>
          </w:p>
        </w:tc>
        <w:tc>
          <w:tcPr>
            <w:tcW w:type="dxa" w:w="1498"/>
            <w:tcMar>
              <w:top w:type="dxa" w:w="80"/>
              <w:left w:type="dxa" w:w="100"/>
              <w:bottom w:type="dxa" w:w="80"/>
              <w:right w:type="dxa" w:w="100"/>
            </w:tcMar>
          </w:tcPr>
          <w:p>
            <w:r>
              <w:rPr>
                <w:b w:val="false"/>
                <w:bCs w:val="false"/>
                <w:sz w:val="19"/>
                <w:szCs w:val="19"/>
              </w:rPr>
              <w:t xml:space="preserve">You</w:t>
            </w:r>
          </w:p>
        </w:tc>
        <w:tc>
          <w:tcPr>
            <w:tcW w:type="dxa" w:w="1872"/>
            <w:tcMar>
              <w:top w:type="dxa" w:w="80"/>
              <w:left w:type="dxa" w:w="100"/>
              <w:bottom w:type="dxa" w:w="80"/>
              <w:right w:type="dxa" w:w="100"/>
            </w:tcMar>
          </w:tcPr>
          <w:p>
            <w:r>
              <w:rPr>
                <w:b w:val="false"/>
                <w:bCs w:val="false"/>
                <w:sz w:val="19"/>
                <w:szCs w:val="19"/>
              </w:rPr>
              <w:t xml:space="preserve">-</w:t>
            </w:r>
          </w:p>
        </w:tc>
        <w:tc>
          <w:tcPr>
            <w:tcW w:type="dxa" w:w="1497"/>
            <w:tcMar>
              <w:top w:type="dxa" w:w="80"/>
              <w:left w:type="dxa" w:w="100"/>
              <w:bottom w:type="dxa" w:w="80"/>
              <w:right w:type="dxa" w:w="100"/>
            </w:tcMar>
          </w:tcPr>
          <w:p>
            <w:r>
              <w:rPr>
                <w:b w:val="false"/>
                <w:bCs w:val="false"/>
                <w:sz w:val="19"/>
                <w:szCs w:val="19"/>
              </w:rPr>
              <w:t xml:space="preserve">Platform Admins</w:t>
            </w:r>
          </w:p>
        </w:tc>
      </w:tr>
      <w:tr>
        <w:tc>
          <w:tcPr>
            <w:tcW w:type="dxa" w:w="2808"/>
            <w:shd w:fill="F2F2F2" w:val="clear"/>
            <w:tcMar>
              <w:top w:type="dxa" w:w="80"/>
              <w:left w:type="dxa" w:w="100"/>
              <w:bottom w:type="dxa" w:w="80"/>
              <w:right w:type="dxa" w:w="100"/>
            </w:tcMar>
          </w:tcPr>
          <w:p>
            <w:r>
              <w:rPr>
                <w:b w:val="false"/>
                <w:bCs w:val="false"/>
                <w:sz w:val="19"/>
                <w:szCs w:val="19"/>
              </w:rPr>
              <w:t xml:space="preserve">AI-assisted classification tuning &amp; review queue</w:t>
            </w:r>
          </w:p>
        </w:tc>
        <w:tc>
          <w:tcPr>
            <w:tcW w:type="dxa" w:w="1685"/>
            <w:shd w:fill="F2F2F2" w:val="clear"/>
            <w:tcMar>
              <w:top w:type="dxa" w:w="80"/>
              <w:left w:type="dxa" w:w="100"/>
              <w:bottom w:type="dxa" w:w="80"/>
              <w:right w:type="dxa" w:w="100"/>
            </w:tcMar>
          </w:tcPr>
          <w:p>
            <w:r>
              <w:rPr>
                <w:b w:val="false"/>
                <w:bCs w:val="false"/>
                <w:sz w:val="19"/>
                <w:szCs w:val="19"/>
              </w:rPr>
              <w:t xml:space="preserve">Automation Lead + SMEs</w:t>
            </w:r>
          </w:p>
        </w:tc>
        <w:tc>
          <w:tcPr>
            <w:tcW w:type="dxa" w:w="1498"/>
            <w:shd w:fill="F2F2F2" w:val="clear"/>
            <w:tcMar>
              <w:top w:type="dxa" w:w="80"/>
              <w:left w:type="dxa" w:w="100"/>
              <w:bottom w:type="dxa" w:w="80"/>
              <w:right w:type="dxa" w:w="100"/>
            </w:tcMar>
          </w:tcPr>
          <w:p>
            <w:r>
              <w:rPr>
                <w:b w:val="false"/>
                <w:bCs w:val="false"/>
                <w:sz w:val="19"/>
                <w:szCs w:val="19"/>
              </w:rPr>
              <w:t xml:space="preserve">You</w:t>
            </w:r>
          </w:p>
        </w:tc>
        <w:tc>
          <w:tcPr>
            <w:tcW w:type="dxa" w:w="1872"/>
            <w:shd w:fill="F2F2F2" w:val="clear"/>
            <w:tcMar>
              <w:top w:type="dxa" w:w="80"/>
              <w:left w:type="dxa" w:w="100"/>
              <w:bottom w:type="dxa" w:w="80"/>
              <w:right w:type="dxa" w:w="100"/>
            </w:tcMar>
          </w:tcPr>
          <w:p>
            <w:r>
              <w:rPr>
                <w:b w:val="false"/>
                <w:bCs w:val="false"/>
                <w:sz w:val="19"/>
                <w:szCs w:val="19"/>
              </w:rPr>
              <w:t xml:space="preserve">-</w:t>
            </w:r>
          </w:p>
        </w:tc>
        <w:tc>
          <w:tcPr>
            <w:tcW w:type="dxa" w:w="1497"/>
            <w:shd w:fill="F2F2F2" w:val="clear"/>
            <w:tcMar>
              <w:top w:type="dxa" w:w="80"/>
              <w:left w:type="dxa" w:w="100"/>
              <w:bottom w:type="dxa" w:w="80"/>
              <w:right w:type="dxa" w:w="100"/>
            </w:tcMar>
          </w:tcPr>
          <w:p>
            <w:r>
              <w:rPr>
                <w:b w:val="false"/>
                <w:bCs w:val="false"/>
                <w:sz w:val="19"/>
                <w:szCs w:val="19"/>
              </w:rPr>
              <w:t xml:space="preserve">-</w:t>
            </w:r>
          </w:p>
        </w:tc>
      </w:tr>
      <w:tr>
        <w:tc>
          <w:tcPr>
            <w:tcW w:type="dxa" w:w="2808"/>
            <w:tcMar>
              <w:top w:type="dxa" w:w="80"/>
              <w:left w:type="dxa" w:w="100"/>
              <w:bottom w:type="dxa" w:w="80"/>
              <w:right w:type="dxa" w:w="100"/>
            </w:tcMar>
          </w:tcPr>
          <w:p>
            <w:r>
              <w:rPr>
                <w:b w:val="false"/>
                <w:bCs w:val="false"/>
                <w:sz w:val="19"/>
                <w:szCs w:val="19"/>
              </w:rPr>
              <w:t xml:space="preserve">Validation &amp; reconciliation</w:t>
            </w:r>
          </w:p>
        </w:tc>
        <w:tc>
          <w:tcPr>
            <w:tcW w:type="dxa" w:w="1685"/>
            <w:tcMar>
              <w:top w:type="dxa" w:w="80"/>
              <w:left w:type="dxa" w:w="100"/>
              <w:bottom w:type="dxa" w:w="80"/>
              <w:right w:type="dxa" w:w="100"/>
            </w:tcMar>
          </w:tcPr>
          <w:p>
            <w:r>
              <w:rPr>
                <w:b w:val="false"/>
                <w:bCs w:val="false"/>
                <w:sz w:val="19"/>
                <w:szCs w:val="19"/>
              </w:rPr>
              <w:t xml:space="preserve">QA / Validation Lead</w:t>
            </w:r>
          </w:p>
        </w:tc>
        <w:tc>
          <w:tcPr>
            <w:tcW w:type="dxa" w:w="1498"/>
            <w:tcMar>
              <w:top w:type="dxa" w:w="80"/>
              <w:left w:type="dxa" w:w="100"/>
              <w:bottom w:type="dxa" w:w="80"/>
              <w:right w:type="dxa" w:w="100"/>
            </w:tcMar>
          </w:tcPr>
          <w:p>
            <w:r>
              <w:rPr>
                <w:b w:val="false"/>
                <w:bCs w:val="false"/>
                <w:sz w:val="19"/>
                <w:szCs w:val="19"/>
              </w:rPr>
              <w:t xml:space="preserve">You</w:t>
            </w:r>
          </w:p>
        </w:tc>
        <w:tc>
          <w:tcPr>
            <w:tcW w:type="dxa" w:w="1872"/>
            <w:tcMar>
              <w:top w:type="dxa" w:w="80"/>
              <w:left w:type="dxa" w:w="100"/>
              <w:bottom w:type="dxa" w:w="80"/>
              <w:right w:type="dxa" w:w="100"/>
            </w:tcMar>
          </w:tcPr>
          <w:p>
            <w:r>
              <w:rPr>
                <w:b w:val="false"/>
                <w:bCs w:val="false"/>
                <w:sz w:val="19"/>
                <w:szCs w:val="19"/>
              </w:rPr>
              <w:t xml:space="preserve">Both team leads</w:t>
            </w:r>
          </w:p>
        </w:tc>
        <w:tc>
          <w:tcPr>
            <w:tcW w:type="dxa" w:w="1497"/>
            <w:tcMar>
              <w:top w:type="dxa" w:w="80"/>
              <w:left w:type="dxa" w:w="100"/>
              <w:bottom w:type="dxa" w:w="80"/>
              <w:right w:type="dxa" w:w="100"/>
            </w:tcMar>
          </w:tcPr>
          <w:p>
            <w:r>
              <w:rPr>
                <w:b w:val="false"/>
                <w:bCs w:val="false"/>
                <w:sz w:val="19"/>
                <w:szCs w:val="19"/>
              </w:rPr>
              <w:t xml:space="preserve">-</w:t>
            </w:r>
          </w:p>
        </w:tc>
      </w:tr>
      <w:tr>
        <w:tc>
          <w:tcPr>
            <w:tcW w:type="dxa" w:w="2808"/>
            <w:shd w:fill="F2F2F2" w:val="clear"/>
            <w:tcMar>
              <w:top w:type="dxa" w:w="80"/>
              <w:left w:type="dxa" w:w="100"/>
              <w:bottom w:type="dxa" w:w="80"/>
              <w:right w:type="dxa" w:w="100"/>
            </w:tcMar>
          </w:tcPr>
          <w:p>
            <w:r>
              <w:rPr>
                <w:b w:val="false"/>
                <w:bCs w:val="false"/>
                <w:sz w:val="19"/>
                <w:szCs w:val="19"/>
              </w:rPr>
              <w:t xml:space="preserve">Cutover communication to end users</w:t>
            </w:r>
          </w:p>
        </w:tc>
        <w:tc>
          <w:tcPr>
            <w:tcW w:type="dxa" w:w="1685"/>
            <w:shd w:fill="F2F2F2" w:val="clear"/>
            <w:tcMar>
              <w:top w:type="dxa" w:w="80"/>
              <w:left w:type="dxa" w:w="100"/>
              <w:bottom w:type="dxa" w:w="80"/>
              <w:right w:type="dxa" w:w="100"/>
            </w:tcMar>
          </w:tcPr>
          <w:p>
            <w:r>
              <w:rPr>
                <w:b w:val="false"/>
                <w:bCs w:val="false"/>
                <w:sz w:val="19"/>
                <w:szCs w:val="19"/>
              </w:rPr>
              <w:t xml:space="preserve">You</w:t>
            </w:r>
          </w:p>
        </w:tc>
        <w:tc>
          <w:tcPr>
            <w:tcW w:type="dxa" w:w="1498"/>
            <w:shd w:fill="F2F2F2" w:val="clear"/>
            <w:tcMar>
              <w:top w:type="dxa" w:w="80"/>
              <w:left w:type="dxa" w:w="100"/>
              <w:bottom w:type="dxa" w:w="80"/>
              <w:right w:type="dxa" w:w="100"/>
            </w:tcMar>
          </w:tcPr>
          <w:p>
            <w:r>
              <w:rPr>
                <w:b w:val="false"/>
                <w:bCs w:val="false"/>
                <w:sz w:val="19"/>
                <w:szCs w:val="19"/>
              </w:rPr>
              <w:t xml:space="preserve">Sponsor</w:t>
            </w:r>
          </w:p>
        </w:tc>
        <w:tc>
          <w:tcPr>
            <w:tcW w:type="dxa" w:w="1872"/>
            <w:shd w:fill="F2F2F2" w:val="clear"/>
            <w:tcMar>
              <w:top w:type="dxa" w:w="80"/>
              <w:left w:type="dxa" w:w="100"/>
              <w:bottom w:type="dxa" w:w="80"/>
              <w:right w:type="dxa" w:w="100"/>
            </w:tcMar>
          </w:tcPr>
          <w:p>
            <w:r>
              <w:rPr>
                <w:b w:val="false"/>
                <w:bCs w:val="false"/>
                <w:sz w:val="19"/>
                <w:szCs w:val="19"/>
              </w:rPr>
              <w:t xml:space="preserve">-</w:t>
            </w:r>
          </w:p>
        </w:tc>
        <w:tc>
          <w:tcPr>
            <w:tcW w:type="dxa" w:w="1497"/>
            <w:shd w:fill="F2F2F2" w:val="clear"/>
            <w:tcMar>
              <w:top w:type="dxa" w:w="80"/>
              <w:left w:type="dxa" w:w="100"/>
              <w:bottom w:type="dxa" w:w="80"/>
              <w:right w:type="dxa" w:w="100"/>
            </w:tcMar>
          </w:tcPr>
          <w:p>
            <w:r>
              <w:rPr>
                <w:b w:val="false"/>
                <w:bCs w:val="false"/>
                <w:sz w:val="19"/>
                <w:szCs w:val="19"/>
              </w:rPr>
              <w:t xml:space="preserve">Both teams, all Jira GROUP users</w:t>
            </w:r>
          </w:p>
        </w:tc>
      </w:tr>
      <w:tr>
        <w:tc>
          <w:tcPr>
            <w:tcW w:type="dxa" w:w="2808"/>
            <w:tcMar>
              <w:top w:type="dxa" w:w="80"/>
              <w:left w:type="dxa" w:w="100"/>
              <w:bottom w:type="dxa" w:w="80"/>
              <w:right w:type="dxa" w:w="100"/>
            </w:tcMar>
          </w:tcPr>
          <w:p>
            <w:r>
              <w:rPr>
                <w:b w:val="false"/>
                <w:bCs w:val="false"/>
                <w:sz w:val="19"/>
                <w:szCs w:val="19"/>
              </w:rPr>
              <w:t xml:space="preserve">Rollback decision</w:t>
            </w:r>
          </w:p>
        </w:tc>
        <w:tc>
          <w:tcPr>
            <w:tcW w:type="dxa" w:w="1685"/>
            <w:tcMar>
              <w:top w:type="dxa" w:w="80"/>
              <w:left w:type="dxa" w:w="100"/>
              <w:bottom w:type="dxa" w:w="80"/>
              <w:right w:type="dxa" w:w="100"/>
            </w:tcMar>
          </w:tcPr>
          <w:p>
            <w:r>
              <w:rPr>
                <w:b w:val="false"/>
                <w:bCs w:val="false"/>
                <w:sz w:val="19"/>
                <w:szCs w:val="19"/>
              </w:rPr>
              <w:t xml:space="preserve">You</w:t>
            </w:r>
          </w:p>
        </w:tc>
        <w:tc>
          <w:tcPr>
            <w:tcW w:type="dxa" w:w="1498"/>
            <w:tcMar>
              <w:top w:type="dxa" w:w="80"/>
              <w:left w:type="dxa" w:w="100"/>
              <w:bottom w:type="dxa" w:w="80"/>
              <w:right w:type="dxa" w:w="100"/>
            </w:tcMar>
          </w:tcPr>
          <w:p>
            <w:r>
              <w:rPr>
                <w:b w:val="false"/>
                <w:bCs w:val="false"/>
                <w:sz w:val="19"/>
                <w:szCs w:val="19"/>
              </w:rPr>
              <w:t xml:space="preserve">Sponsor</w:t>
            </w:r>
          </w:p>
        </w:tc>
        <w:tc>
          <w:tcPr>
            <w:tcW w:type="dxa" w:w="1872"/>
            <w:tcMar>
              <w:top w:type="dxa" w:w="80"/>
              <w:left w:type="dxa" w:w="100"/>
              <w:bottom w:type="dxa" w:w="80"/>
              <w:right w:type="dxa" w:w="100"/>
            </w:tcMar>
          </w:tcPr>
          <w:p>
            <w:r>
              <w:rPr>
                <w:b w:val="false"/>
                <w:bCs w:val="false"/>
                <w:sz w:val="19"/>
                <w:szCs w:val="19"/>
              </w:rPr>
              <w:t xml:space="preserve">Platform Admins</w:t>
            </w:r>
          </w:p>
        </w:tc>
        <w:tc>
          <w:tcPr>
            <w:tcW w:type="dxa" w:w="1497"/>
            <w:tcMar>
              <w:top w:type="dxa" w:w="80"/>
              <w:left w:type="dxa" w:w="100"/>
              <w:bottom w:type="dxa" w:w="80"/>
              <w:right w:type="dxa" w:w="100"/>
            </w:tcMar>
          </w:tcPr>
          <w:p>
            <w:r>
              <w:rPr>
                <w:b w:val="false"/>
                <w:bCs w:val="false"/>
                <w:sz w:val="19"/>
                <w:szCs w:val="19"/>
              </w:rPr>
              <w:t xml:space="preserve">Both teams</w:t>
            </w:r>
          </w:p>
        </w:tc>
      </w:tr>
    </w:tbl>
    <w:p>
      <w:pPr>
        <w:spacing w:before="200"/>
      </w:pPr>
      <w:r>
        <w:rPr>
          <w:b/>
          <w:bCs/>
        </w:rPr>
        <w:t xml:space="preserve">Recommendation: </w:t>
      </w:r>
      <w:r>
        <w:t xml:space="preserve">stand up a short-lived "Migration Control Tower" — a small cross-functional pod (you + 1 automation engineer + 1 QA + 1 rep per platform team) that meets daily during active batch execution and weekly otherwise.</w:t>
      </w:r>
    </w:p>
    <w:p>
      <w:pPr>
        <w:pStyle w:val="Heading1"/>
        <w:spacing w:after="200" w:before="400"/>
      </w:pPr>
      <w:r>
        <w:t xml:space="preserve">5. Migration Architecture</w:t>
      </w:r>
    </w:p>
    <w:p>
      <w:pPr>
        <w:spacing w:after="160"/>
      </w:pPr>
      <w:r>
        <w:t xml:space="preserve">The diagram below shows the overall data flow. The Migration Control Tower sits between the two clusters and is the only component that writes to the target — end users continue to read/write TtCAAS1443 directly and are never blocked.</w:t>
      </w:r>
    </w:p>
    <w:p>
      <w:pPr>
        <w:spacing w:after="200" w:before="20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19500"/>
                    </a:xfrm>
                    <a:prstGeom prst="rect">
                      <a:avLst/>
                    </a:prstGeom>
                  </pic:spPr>
                </pic:pic>
              </a:graphicData>
            </a:graphic>
          </wp:inline>
        </w:drawing>
      </w:r>
    </w:p>
    <w:p>
      <w:pPr>
        <w:pStyle w:val="Heading2"/>
        <w:spacing w:after="150" w:before="300"/>
      </w:pPr>
      <w:r>
        <w:t xml:space="preserve">Component Walkthrough</w:t>
      </w:r>
    </w:p>
    <w:p>
      <w:pPr>
        <w:pStyle w:val="ListParagraph"/>
        <w:numPr>
          <w:ilvl w:val="0"/>
          <w:numId w:val="1"/>
        </w:numPr>
        <w:spacing w:after="80"/>
      </w:pPr>
      <w:r>
        <w:t xml:space="preserve">1. Extraction Layer — pulls issues from ISSP via REST API in controlled batches (by status/date range), including changelog history and attachments; never writes back to source.</w:t>
      </w:r>
    </w:p>
    <w:p>
      <w:pPr>
        <w:pStyle w:val="ListParagraph"/>
        <w:numPr>
          <w:ilvl w:val="0"/>
          <w:numId w:val="1"/>
        </w:numPr>
        <w:spacing w:after="80"/>
      </w:pPr>
      <w:r>
        <w:t xml:space="preserve">2. AI Assist Layer — an LLM-based classifier reads issue text, labels, and changelog context to suggest the correct target workflow status and priority when the mapping is not a clean 1:1. Confident suggestions are auto-applied; low-confidence cases are routed to a human review queue instead of guessed.</w:t>
      </w:r>
    </w:p>
    <w:p>
      <w:pPr>
        <w:pStyle w:val="ListParagraph"/>
        <w:numPr>
          <w:ilvl w:val="0"/>
          <w:numId w:val="1"/>
        </w:numPr>
        <w:spacing w:after="80"/>
      </w:pPr>
      <w:r>
        <w:t xml:space="preserve">3. Transform Layer — applies the signed-off field/workflow/priority/user mapping and performs an idempotency check against the Mapping Registry so a batch can be safely re-run.</w:t>
      </w:r>
    </w:p>
    <w:p>
      <w:pPr>
        <w:pStyle w:val="ListParagraph"/>
        <w:numPr>
          <w:ilvl w:val="0"/>
          <w:numId w:val="1"/>
        </w:numPr>
        <w:spacing w:after="80"/>
      </w:pPr>
      <w:r>
        <w:t xml:space="preserve">4. Load Layer — pushes transformed issues into TtCAAS1443 in the sequence: historical (closed/resolved) → stale open → active in-flight, always letting Jira auto-assign new keys so it can never collide with the 1,000 live native issues.</w:t>
      </w:r>
    </w:p>
    <w:p>
      <w:pPr>
        <w:pStyle w:val="ListParagraph"/>
        <w:numPr>
          <w:ilvl w:val="0"/>
          <w:numId w:val="1"/>
        </w:numPr>
        <w:spacing w:after="80"/>
      </w:pPr>
      <w:r>
        <w:t xml:space="preserve">5. Validation &amp; Reconciliation — automated count and field-level diff checks after every batch, feeding an audit log and the permanent source-key → target-key mapping table used for traceability.</w:t>
      </w:r>
    </w:p>
    <w:p>
      <w:pPr>
        <w:pStyle w:val="Heading1"/>
        <w:spacing w:after="200" w:before="400"/>
      </w:pPr>
      <w:r>
        <w:t xml:space="preserve">6. Phased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4"/>
        <w:gridCol w:w="4160"/>
        <w:gridCol w:w="1664"/>
        <w:gridCol w:w="1872"/>
      </w:tblGrid>
      <w:tr>
        <w:trPr>
          <w:tblHeader/>
        </w:trPr>
        <w:tc>
          <w:tcPr>
            <w:tcW w:type="dxa" w:w="1664"/>
            <w:shd w:fill="1F4E79" w:val="clear"/>
            <w:tcMar>
              <w:top w:type="dxa" w:w="80"/>
              <w:left w:type="dxa" w:w="100"/>
              <w:bottom w:type="dxa" w:w="80"/>
              <w:right w:type="dxa" w:w="100"/>
            </w:tcMar>
          </w:tcPr>
          <w:p>
            <w:r>
              <w:rPr>
                <w:b/>
                <w:bCs/>
                <w:color w:val="FFFFFF"/>
                <w:sz w:val="20"/>
                <w:szCs w:val="20"/>
              </w:rPr>
              <w:t xml:space="preserve">Phase</w:t>
            </w:r>
          </w:p>
        </w:tc>
        <w:tc>
          <w:tcPr>
            <w:tcW w:type="dxa" w:w="4160"/>
            <w:shd w:fill="1F4E79" w:val="clear"/>
            <w:tcMar>
              <w:top w:type="dxa" w:w="80"/>
              <w:left w:type="dxa" w:w="100"/>
              <w:bottom w:type="dxa" w:w="80"/>
              <w:right w:type="dxa" w:w="100"/>
            </w:tcMar>
          </w:tcPr>
          <w:p>
            <w:r>
              <w:rPr>
                <w:b/>
                <w:bCs/>
                <w:color w:val="FFFFFF"/>
                <w:sz w:val="20"/>
                <w:szCs w:val="20"/>
              </w:rPr>
              <w:t xml:space="preserve">Key Activities</w:t>
            </w:r>
          </w:p>
        </w:tc>
        <w:tc>
          <w:tcPr>
            <w:tcW w:type="dxa" w:w="1664"/>
            <w:shd w:fill="1F4E79" w:val="clear"/>
            <w:tcMar>
              <w:top w:type="dxa" w:w="80"/>
              <w:left w:type="dxa" w:w="100"/>
              <w:bottom w:type="dxa" w:w="80"/>
              <w:right w:type="dxa" w:w="100"/>
            </w:tcMar>
          </w:tcPr>
          <w:p>
            <w:r>
              <w:rPr>
                <w:b/>
                <w:bCs/>
                <w:color w:val="FFFFFF"/>
                <w:sz w:val="20"/>
                <w:szCs w:val="20"/>
              </w:rPr>
              <w:t xml:space="preserve">Owner</w:t>
            </w:r>
          </w:p>
        </w:tc>
        <w:tc>
          <w:tcPr>
            <w:tcW w:type="dxa" w:w="1872"/>
            <w:shd w:fill="1F4E79" w:val="clear"/>
            <w:tcMar>
              <w:top w:type="dxa" w:w="80"/>
              <w:left w:type="dxa" w:w="100"/>
              <w:bottom w:type="dxa" w:w="80"/>
              <w:right w:type="dxa" w:w="100"/>
            </w:tcMar>
          </w:tcPr>
          <w:p>
            <w:r>
              <w:rPr>
                <w:b/>
                <w:bCs/>
                <w:color w:val="FFFFFF"/>
                <w:sz w:val="20"/>
                <w:szCs w:val="20"/>
              </w:rPr>
              <w:t xml:space="preserve">Duration</w:t>
            </w:r>
          </w:p>
        </w:tc>
      </w:tr>
      <w:tr>
        <w:tc>
          <w:tcPr>
            <w:tcW w:type="dxa" w:w="1664"/>
            <w:tcMar>
              <w:top w:type="dxa" w:w="80"/>
              <w:left w:type="dxa" w:w="100"/>
              <w:bottom w:type="dxa" w:w="80"/>
              <w:right w:type="dxa" w:w="100"/>
            </w:tcMar>
          </w:tcPr>
          <w:p>
            <w:r>
              <w:rPr>
                <w:b w:val="false"/>
                <w:bCs w:val="false"/>
                <w:sz w:val="19"/>
                <w:szCs w:val="19"/>
              </w:rPr>
              <w:t xml:space="preserve">Phase 0 — Discovery &amp; Access</w:t>
            </w:r>
          </w:p>
        </w:tc>
        <w:tc>
          <w:tcPr>
            <w:tcW w:type="dxa" w:w="4160"/>
            <w:tcMar>
              <w:top w:type="dxa" w:w="80"/>
              <w:left w:type="dxa" w:w="100"/>
              <w:bottom w:type="dxa" w:w="80"/>
              <w:right w:type="dxa" w:w="100"/>
            </w:tcMar>
          </w:tcPr>
          <w:p>
            <w:r>
              <w:rPr>
                <w:b w:val="false"/>
                <w:bCs w:val="false"/>
                <w:sz w:val="19"/>
                <w:szCs w:val="19"/>
              </w:rPr>
              <w:t xml:space="preserve">Get API/admin access to both clusters; export full field schema (incl. hidden custom field IDs) and workflow scheme from both; inventory all 11,000 issues by status/age/component.</w:t>
            </w:r>
          </w:p>
        </w:tc>
        <w:tc>
          <w:tcPr>
            <w:tcW w:type="dxa" w:w="1664"/>
            <w:tcMar>
              <w:top w:type="dxa" w:w="80"/>
              <w:left w:type="dxa" w:w="100"/>
              <w:bottom w:type="dxa" w:w="80"/>
              <w:right w:type="dxa" w:w="100"/>
            </w:tcMar>
          </w:tcPr>
          <w:p>
            <w:r>
              <w:rPr>
                <w:b w:val="false"/>
                <w:bCs w:val="false"/>
                <w:sz w:val="19"/>
                <w:szCs w:val="19"/>
              </w:rPr>
              <w:t xml:space="preserve">You + both Platform Admins</w:t>
            </w:r>
          </w:p>
        </w:tc>
        <w:tc>
          <w:tcPr>
            <w:tcW w:type="dxa" w:w="1872"/>
            <w:tcMar>
              <w:top w:type="dxa" w:w="80"/>
              <w:left w:type="dxa" w:w="100"/>
              <w:bottom w:type="dxa" w:w="80"/>
              <w:right w:type="dxa" w:w="100"/>
            </w:tcMar>
          </w:tcPr>
          <w:p>
            <w:r>
              <w:rPr>
                <w:b w:val="false"/>
                <w:bCs w:val="false"/>
                <w:sz w:val="19"/>
                <w:szCs w:val="19"/>
              </w:rPr>
              <w:t xml:space="preserve">1 week</w:t>
            </w:r>
          </w:p>
        </w:tc>
      </w:tr>
      <w:tr>
        <w:tc>
          <w:tcPr>
            <w:tcW w:type="dxa" w:w="1664"/>
            <w:shd w:fill="F2F2F2" w:val="clear"/>
            <w:tcMar>
              <w:top w:type="dxa" w:w="80"/>
              <w:left w:type="dxa" w:w="100"/>
              <w:bottom w:type="dxa" w:w="80"/>
              <w:right w:type="dxa" w:w="100"/>
            </w:tcMar>
          </w:tcPr>
          <w:p>
            <w:r>
              <w:rPr>
                <w:b w:val="false"/>
                <w:bCs w:val="false"/>
                <w:sz w:val="19"/>
                <w:szCs w:val="19"/>
              </w:rPr>
              <w:t xml:space="preserve">Phase 1 — Mapping Definition</w:t>
            </w:r>
          </w:p>
        </w:tc>
        <w:tc>
          <w:tcPr>
            <w:tcW w:type="dxa" w:w="4160"/>
            <w:shd w:fill="F2F2F2" w:val="clear"/>
            <w:tcMar>
              <w:top w:type="dxa" w:w="80"/>
              <w:left w:type="dxa" w:w="100"/>
              <w:bottom w:type="dxa" w:w="80"/>
              <w:right w:type="dxa" w:w="100"/>
            </w:tcMar>
          </w:tcPr>
          <w:p>
            <w:r>
              <w:rPr>
                <w:b w:val="false"/>
                <w:bCs w:val="false"/>
                <w:sz w:val="19"/>
                <w:szCs w:val="19"/>
              </w:rPr>
              <w:t xml:space="preserve">Build and get SME sign-off on: field map, workflow-status map, 3→5 priority map, user/group map. Identify ambiguous cases for AI-assist.</w:t>
            </w:r>
          </w:p>
        </w:tc>
        <w:tc>
          <w:tcPr>
            <w:tcW w:type="dxa" w:w="1664"/>
            <w:shd w:fill="F2F2F2" w:val="clear"/>
            <w:tcMar>
              <w:top w:type="dxa" w:w="80"/>
              <w:left w:type="dxa" w:w="100"/>
              <w:bottom w:type="dxa" w:w="80"/>
              <w:right w:type="dxa" w:w="100"/>
            </w:tcMar>
          </w:tcPr>
          <w:p>
            <w:r>
              <w:rPr>
                <w:b w:val="false"/>
                <w:bCs w:val="false"/>
                <w:sz w:val="19"/>
                <w:szCs w:val="19"/>
              </w:rPr>
              <w:t xml:space="preserve">SMEs + You</w:t>
            </w:r>
          </w:p>
        </w:tc>
        <w:tc>
          <w:tcPr>
            <w:tcW w:type="dxa" w:w="1872"/>
            <w:shd w:fill="F2F2F2" w:val="clear"/>
            <w:tcMar>
              <w:top w:type="dxa" w:w="80"/>
              <w:left w:type="dxa" w:w="100"/>
              <w:bottom w:type="dxa" w:w="80"/>
              <w:right w:type="dxa" w:w="100"/>
            </w:tcMar>
          </w:tcPr>
          <w:p>
            <w:r>
              <w:rPr>
                <w:b w:val="false"/>
                <w:bCs w:val="false"/>
                <w:sz w:val="19"/>
                <w:szCs w:val="19"/>
              </w:rPr>
              <w:t xml:space="preserve">1–1.5 weeks</w:t>
            </w:r>
          </w:p>
        </w:tc>
      </w:tr>
      <w:tr>
        <w:tc>
          <w:tcPr>
            <w:tcW w:type="dxa" w:w="1664"/>
            <w:tcMar>
              <w:top w:type="dxa" w:w="80"/>
              <w:left w:type="dxa" w:w="100"/>
              <w:bottom w:type="dxa" w:w="80"/>
              <w:right w:type="dxa" w:w="100"/>
            </w:tcMar>
          </w:tcPr>
          <w:p>
            <w:r>
              <w:rPr>
                <w:b w:val="false"/>
                <w:bCs w:val="false"/>
                <w:sz w:val="19"/>
                <w:szCs w:val="19"/>
              </w:rPr>
              <w:t xml:space="preserve">Phase 2 — Engine Build &amp; AI Tuning</w:t>
            </w:r>
          </w:p>
        </w:tc>
        <w:tc>
          <w:tcPr>
            <w:tcW w:type="dxa" w:w="4160"/>
            <w:tcMar>
              <w:top w:type="dxa" w:w="80"/>
              <w:left w:type="dxa" w:w="100"/>
              <w:bottom w:type="dxa" w:w="80"/>
              <w:right w:type="dxa" w:w="100"/>
            </w:tcMar>
          </w:tcPr>
          <w:p>
            <w:r>
              <w:rPr>
                <w:b w:val="false"/>
                <w:bCs w:val="false"/>
                <w:sz w:val="19"/>
                <w:szCs w:val="19"/>
              </w:rPr>
              <w:t xml:space="preserve">Build extraction/transform/load scripts against mapping tables; build and calibrate the AI classifier on a labeled sample; add idempotency + audit logging.</w:t>
            </w:r>
          </w:p>
        </w:tc>
        <w:tc>
          <w:tcPr>
            <w:tcW w:type="dxa" w:w="1664"/>
            <w:tcMar>
              <w:top w:type="dxa" w:w="80"/>
              <w:left w:type="dxa" w:w="100"/>
              <w:bottom w:type="dxa" w:w="80"/>
              <w:right w:type="dxa" w:w="100"/>
            </w:tcMar>
          </w:tcPr>
          <w:p>
            <w:r>
              <w:rPr>
                <w:b w:val="false"/>
                <w:bCs w:val="false"/>
                <w:sz w:val="19"/>
                <w:szCs w:val="19"/>
              </w:rPr>
              <w:t xml:space="preserve">Automation Lead</w:t>
            </w:r>
          </w:p>
        </w:tc>
        <w:tc>
          <w:tcPr>
            <w:tcW w:type="dxa" w:w="1872"/>
            <w:tcMar>
              <w:top w:type="dxa" w:w="80"/>
              <w:left w:type="dxa" w:w="100"/>
              <w:bottom w:type="dxa" w:w="80"/>
              <w:right w:type="dxa" w:w="100"/>
            </w:tcMar>
          </w:tcPr>
          <w:p>
            <w:r>
              <w:rPr>
                <w:b w:val="false"/>
                <w:bCs w:val="false"/>
                <w:sz w:val="19"/>
                <w:szCs w:val="19"/>
              </w:rPr>
              <w:t xml:space="preserve">2 weeks (parallel with Phase 1 tail)</w:t>
            </w:r>
          </w:p>
        </w:tc>
      </w:tr>
      <w:tr>
        <w:tc>
          <w:tcPr>
            <w:tcW w:type="dxa" w:w="1664"/>
            <w:shd w:fill="F2F2F2" w:val="clear"/>
            <w:tcMar>
              <w:top w:type="dxa" w:w="80"/>
              <w:left w:type="dxa" w:w="100"/>
              <w:bottom w:type="dxa" w:w="80"/>
              <w:right w:type="dxa" w:w="100"/>
            </w:tcMar>
          </w:tcPr>
          <w:p>
            <w:r>
              <w:rPr>
                <w:b w:val="false"/>
                <w:bCs w:val="false"/>
                <w:sz w:val="19"/>
                <w:szCs w:val="19"/>
              </w:rPr>
              <w:t xml:space="preserve">Phase 3 — Pilot Batch</w:t>
            </w:r>
          </w:p>
        </w:tc>
        <w:tc>
          <w:tcPr>
            <w:tcW w:type="dxa" w:w="4160"/>
            <w:shd w:fill="F2F2F2" w:val="clear"/>
            <w:tcMar>
              <w:top w:type="dxa" w:w="80"/>
              <w:left w:type="dxa" w:w="100"/>
              <w:bottom w:type="dxa" w:w="80"/>
              <w:right w:type="dxa" w:w="100"/>
            </w:tcMar>
          </w:tcPr>
          <w:p>
            <w:r>
              <w:rPr>
                <w:b w:val="false"/>
                <w:bCs w:val="false"/>
                <w:sz w:val="19"/>
                <w:szCs w:val="19"/>
              </w:rPr>
              <w:t xml:space="preserve">Migrate ~100 closed/resolved issues first (zero collision risk). Full validation. SME sign-off on accuracy before scaling.</w:t>
            </w:r>
          </w:p>
        </w:tc>
        <w:tc>
          <w:tcPr>
            <w:tcW w:type="dxa" w:w="1664"/>
            <w:shd w:fill="F2F2F2" w:val="clear"/>
            <w:tcMar>
              <w:top w:type="dxa" w:w="80"/>
              <w:left w:type="dxa" w:w="100"/>
              <w:bottom w:type="dxa" w:w="80"/>
              <w:right w:type="dxa" w:w="100"/>
            </w:tcMar>
          </w:tcPr>
          <w:p>
            <w:r>
              <w:rPr>
                <w:b w:val="false"/>
                <w:bCs w:val="false"/>
                <w:sz w:val="19"/>
                <w:szCs w:val="19"/>
              </w:rPr>
              <w:t xml:space="preserve">You + QA + SMEs</w:t>
            </w:r>
          </w:p>
        </w:tc>
        <w:tc>
          <w:tcPr>
            <w:tcW w:type="dxa" w:w="1872"/>
            <w:shd w:fill="F2F2F2" w:val="clear"/>
            <w:tcMar>
              <w:top w:type="dxa" w:w="80"/>
              <w:left w:type="dxa" w:w="100"/>
              <w:bottom w:type="dxa" w:w="80"/>
              <w:right w:type="dxa" w:w="100"/>
            </w:tcMar>
          </w:tcPr>
          <w:p>
            <w:r>
              <w:rPr>
                <w:b w:val="false"/>
                <w:bCs w:val="false"/>
                <w:sz w:val="19"/>
                <w:szCs w:val="19"/>
              </w:rPr>
              <w:t xml:space="preserve">3–4 days</w:t>
            </w:r>
          </w:p>
        </w:tc>
      </w:tr>
      <w:tr>
        <w:tc>
          <w:tcPr>
            <w:tcW w:type="dxa" w:w="1664"/>
            <w:tcMar>
              <w:top w:type="dxa" w:w="80"/>
              <w:left w:type="dxa" w:w="100"/>
              <w:bottom w:type="dxa" w:w="80"/>
              <w:right w:type="dxa" w:w="100"/>
            </w:tcMar>
          </w:tcPr>
          <w:p>
            <w:r>
              <w:rPr>
                <w:b w:val="false"/>
                <w:bCs w:val="false"/>
                <w:sz w:val="19"/>
                <w:szCs w:val="19"/>
              </w:rPr>
              <w:t xml:space="preserve">Phase 4 — Bulk Historical Migration</w:t>
            </w:r>
          </w:p>
        </w:tc>
        <w:tc>
          <w:tcPr>
            <w:tcW w:type="dxa" w:w="4160"/>
            <w:tcMar>
              <w:top w:type="dxa" w:w="80"/>
              <w:left w:type="dxa" w:w="100"/>
              <w:bottom w:type="dxa" w:w="80"/>
              <w:right w:type="dxa" w:w="100"/>
            </w:tcMar>
          </w:tcPr>
          <w:p>
            <w:r>
              <w:rPr>
                <w:b w:val="false"/>
                <w:bCs w:val="false"/>
                <w:sz w:val="19"/>
                <w:szCs w:val="19"/>
              </w:rPr>
              <w:t xml:space="preserve">Migrate all closed/resolved issues (likely the bulk of 11,000) in scheduled batches; no freeze needed since these are immutable.</w:t>
            </w:r>
          </w:p>
        </w:tc>
        <w:tc>
          <w:tcPr>
            <w:tcW w:type="dxa" w:w="1664"/>
            <w:tcMar>
              <w:top w:type="dxa" w:w="80"/>
              <w:left w:type="dxa" w:w="100"/>
              <w:bottom w:type="dxa" w:w="80"/>
              <w:right w:type="dxa" w:w="100"/>
            </w:tcMar>
          </w:tcPr>
          <w:p>
            <w:r>
              <w:rPr>
                <w:b w:val="false"/>
                <w:bCs w:val="false"/>
                <w:sz w:val="19"/>
                <w:szCs w:val="19"/>
              </w:rPr>
              <w:t xml:space="preserve">Automation Lead + QA</w:t>
            </w:r>
          </w:p>
        </w:tc>
        <w:tc>
          <w:tcPr>
            <w:tcW w:type="dxa" w:w="1872"/>
            <w:tcMar>
              <w:top w:type="dxa" w:w="80"/>
              <w:left w:type="dxa" w:w="100"/>
              <w:bottom w:type="dxa" w:w="80"/>
              <w:right w:type="dxa" w:w="100"/>
            </w:tcMar>
          </w:tcPr>
          <w:p>
            <w:r>
              <w:rPr>
                <w:b w:val="false"/>
                <w:bCs w:val="false"/>
                <w:sz w:val="19"/>
                <w:szCs w:val="19"/>
              </w:rPr>
              <w:t xml:space="preserve">1–1.5 weeks</w:t>
            </w:r>
          </w:p>
        </w:tc>
      </w:tr>
      <w:tr>
        <w:tc>
          <w:tcPr>
            <w:tcW w:type="dxa" w:w="1664"/>
            <w:shd w:fill="F2F2F2" w:val="clear"/>
            <w:tcMar>
              <w:top w:type="dxa" w:w="80"/>
              <w:left w:type="dxa" w:w="100"/>
              <w:bottom w:type="dxa" w:w="80"/>
              <w:right w:type="dxa" w:w="100"/>
            </w:tcMar>
          </w:tcPr>
          <w:p>
            <w:r>
              <w:rPr>
                <w:b w:val="false"/>
                <w:bCs w:val="false"/>
                <w:sz w:val="19"/>
                <w:szCs w:val="19"/>
              </w:rPr>
              <w:t xml:space="preserve">Phase 5 — Active/Open Issue Cutover</w:t>
            </w:r>
          </w:p>
        </w:tc>
        <w:tc>
          <w:tcPr>
            <w:tcW w:type="dxa" w:w="4160"/>
            <w:shd w:fill="F2F2F2" w:val="clear"/>
            <w:tcMar>
              <w:top w:type="dxa" w:w="80"/>
              <w:left w:type="dxa" w:w="100"/>
              <w:bottom w:type="dxa" w:w="80"/>
              <w:right w:type="dxa" w:w="100"/>
            </w:tcMar>
          </w:tcPr>
          <w:p>
            <w:r>
              <w:rPr>
                <w:b w:val="false"/>
                <w:bCs w:val="false"/>
                <w:sz w:val="19"/>
                <w:szCs w:val="19"/>
              </w:rPr>
              <w:t xml:space="preserve">Short read-only freeze on ISSP open issues (announce in advance); migrate remaining open/in-progress issues; final delta sync; unfreeze source as read-only archive.</w:t>
            </w:r>
          </w:p>
        </w:tc>
        <w:tc>
          <w:tcPr>
            <w:tcW w:type="dxa" w:w="1664"/>
            <w:shd w:fill="F2F2F2" w:val="clear"/>
            <w:tcMar>
              <w:top w:type="dxa" w:w="80"/>
              <w:left w:type="dxa" w:w="100"/>
              <w:bottom w:type="dxa" w:w="80"/>
              <w:right w:type="dxa" w:w="100"/>
            </w:tcMar>
          </w:tcPr>
          <w:p>
            <w:r>
              <w:rPr>
                <w:b w:val="false"/>
                <w:bCs w:val="false"/>
                <w:sz w:val="19"/>
                <w:szCs w:val="19"/>
              </w:rPr>
              <w:t xml:space="preserve">You + both team leads</w:t>
            </w:r>
          </w:p>
        </w:tc>
        <w:tc>
          <w:tcPr>
            <w:tcW w:type="dxa" w:w="1872"/>
            <w:shd w:fill="F2F2F2" w:val="clear"/>
            <w:tcMar>
              <w:top w:type="dxa" w:w="80"/>
              <w:left w:type="dxa" w:w="100"/>
              <w:bottom w:type="dxa" w:w="80"/>
              <w:right w:type="dxa" w:w="100"/>
            </w:tcMar>
          </w:tcPr>
          <w:p>
            <w:r>
              <w:rPr>
                <w:b w:val="false"/>
                <w:bCs w:val="false"/>
                <w:sz w:val="19"/>
                <w:szCs w:val="19"/>
              </w:rPr>
              <w:t xml:space="preserve">2–3 days (freeze window: hours, not days)</w:t>
            </w:r>
          </w:p>
        </w:tc>
      </w:tr>
      <w:tr>
        <w:tc>
          <w:tcPr>
            <w:tcW w:type="dxa" w:w="1664"/>
            <w:tcMar>
              <w:top w:type="dxa" w:w="80"/>
              <w:left w:type="dxa" w:w="100"/>
              <w:bottom w:type="dxa" w:w="80"/>
              <w:right w:type="dxa" w:w="100"/>
            </w:tcMar>
          </w:tcPr>
          <w:p>
            <w:r>
              <w:rPr>
                <w:b w:val="false"/>
                <w:bCs w:val="false"/>
                <w:sz w:val="19"/>
                <w:szCs w:val="19"/>
              </w:rPr>
              <w:t xml:space="preserve">Phase 6 — Post-Migration Validation &amp; Closeout</w:t>
            </w:r>
          </w:p>
        </w:tc>
        <w:tc>
          <w:tcPr>
            <w:tcW w:type="dxa" w:w="4160"/>
            <w:tcMar>
              <w:top w:type="dxa" w:w="80"/>
              <w:left w:type="dxa" w:w="100"/>
              <w:bottom w:type="dxa" w:w="80"/>
              <w:right w:type="dxa" w:w="100"/>
            </w:tcMar>
          </w:tcPr>
          <w:p>
            <w:r>
              <w:rPr>
                <w:b w:val="false"/>
                <w:bCs w:val="false"/>
                <w:sz w:val="19"/>
                <w:szCs w:val="19"/>
              </w:rPr>
              <w:t xml:space="preserve">Full reconciliation (counts, field diff, attachment/link integrity); publish mapping/audit report; decommission or archive ISSP per retention policy; retrospective.</w:t>
            </w:r>
          </w:p>
        </w:tc>
        <w:tc>
          <w:tcPr>
            <w:tcW w:type="dxa" w:w="1664"/>
            <w:tcMar>
              <w:top w:type="dxa" w:w="80"/>
              <w:left w:type="dxa" w:w="100"/>
              <w:bottom w:type="dxa" w:w="80"/>
              <w:right w:type="dxa" w:w="100"/>
            </w:tcMar>
          </w:tcPr>
          <w:p>
            <w:r>
              <w:rPr>
                <w:b w:val="false"/>
                <w:bCs w:val="false"/>
                <w:sz w:val="19"/>
                <w:szCs w:val="19"/>
              </w:rPr>
              <w:t xml:space="preserve">You + QA</w:t>
            </w:r>
          </w:p>
        </w:tc>
        <w:tc>
          <w:tcPr>
            <w:tcW w:type="dxa" w:w="1872"/>
            <w:tcMar>
              <w:top w:type="dxa" w:w="80"/>
              <w:left w:type="dxa" w:w="100"/>
              <w:bottom w:type="dxa" w:w="80"/>
              <w:right w:type="dxa" w:w="100"/>
            </w:tcMar>
          </w:tcPr>
          <w:p>
            <w:r>
              <w:rPr>
                <w:b w:val="false"/>
                <w:bCs w:val="false"/>
                <w:sz w:val="19"/>
                <w:szCs w:val="19"/>
              </w:rPr>
              <w:t xml:space="preserve">1 week</w:t>
            </w:r>
          </w:p>
        </w:tc>
      </w:tr>
    </w:tbl>
    <w:p>
      <w:pPr>
        <w:spacing w:before="200"/>
      </w:pPr>
      <w:r>
        <w:rPr>
          <w:b/>
          <w:bCs/>
        </w:rPr>
        <w:t xml:space="preserve">Total estimated duration: </w:t>
      </w:r>
      <w:r>
        <w:t xml:space="preserve">~6–8 weeks end-to-end, most of it parallelizable. The only hard blocking window for end users is the short freeze in Phase 5.</w:t>
      </w:r>
    </w:p>
    <w:p>
      <w:pPr>
        <w:pStyle w:val="Heading1"/>
        <w:spacing w:after="200" w:before="400"/>
      </w:pPr>
      <w:r>
        <w:t xml:space="preserve">7. Mapping Strategy</w:t>
      </w:r>
    </w:p>
    <w:p>
      <w:pPr>
        <w:spacing w:after="160"/>
      </w:pPr>
      <w:r>
        <w:t xml:space="preserve">All three mapping tables below must be signed off by SMEs from both teams before Phase 2 engineering begins. These are illustrative examples — the full mapping is maintained as a living spreadsheet/registry, not only in this document.</w:t>
      </w:r>
    </w:p>
    <w:p>
      <w:pPr>
        <w:pStyle w:val="Heading2"/>
        <w:spacing w:after="150" w:before="300"/>
      </w:pPr>
      <w:r>
        <w:t xml:space="preserve">7.1 Field Mapping (illustrative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0"/>
        <w:gridCol w:w="2055"/>
        <w:gridCol w:w="1598"/>
        <w:gridCol w:w="2054"/>
        <w:gridCol w:w="2283"/>
      </w:tblGrid>
      <w:tr>
        <w:trPr>
          <w:tblHeader/>
        </w:trPr>
        <w:tc>
          <w:tcPr>
            <w:tcW w:type="dxa" w:w="1370"/>
            <w:shd w:fill="1F4E79" w:val="clear"/>
            <w:tcMar>
              <w:top w:type="dxa" w:w="80"/>
              <w:left w:type="dxa" w:w="100"/>
              <w:bottom w:type="dxa" w:w="80"/>
              <w:right w:type="dxa" w:w="100"/>
            </w:tcMar>
          </w:tcPr>
          <w:p>
            <w:r>
              <w:rPr>
                <w:b/>
                <w:bCs/>
                <w:color w:val="FFFFFF"/>
                <w:sz w:val="20"/>
                <w:szCs w:val="20"/>
              </w:rPr>
              <w:t xml:space="preserve">Source Side</w:t>
            </w:r>
          </w:p>
        </w:tc>
        <w:tc>
          <w:tcPr>
            <w:tcW w:type="dxa" w:w="2055"/>
            <w:shd w:fill="1F4E79" w:val="clear"/>
            <w:tcMar>
              <w:top w:type="dxa" w:w="80"/>
              <w:left w:type="dxa" w:w="100"/>
              <w:bottom w:type="dxa" w:w="80"/>
              <w:right w:type="dxa" w:w="100"/>
            </w:tcMar>
          </w:tcPr>
          <w:p>
            <w:r>
              <w:rPr>
                <w:b/>
                <w:bCs/>
                <w:color w:val="FFFFFF"/>
                <w:sz w:val="20"/>
                <w:szCs w:val="20"/>
              </w:rPr>
              <w:t xml:space="preserve">Value</w:t>
            </w:r>
          </w:p>
        </w:tc>
        <w:tc>
          <w:tcPr>
            <w:tcW w:type="dxa" w:w="1598"/>
            <w:shd w:fill="1F4E79" w:val="clear"/>
            <w:tcMar>
              <w:top w:type="dxa" w:w="80"/>
              <w:left w:type="dxa" w:w="100"/>
              <w:bottom w:type="dxa" w:w="80"/>
              <w:right w:type="dxa" w:w="100"/>
            </w:tcMar>
          </w:tcPr>
          <w:p>
            <w:r>
              <w:rPr>
                <w:b/>
                <w:bCs/>
                <w:color w:val="FFFFFF"/>
                <w:sz w:val="20"/>
                <w:szCs w:val="20"/>
              </w:rPr>
              <w:t xml:space="preserve">Target Side</w:t>
            </w:r>
          </w:p>
        </w:tc>
        <w:tc>
          <w:tcPr>
            <w:tcW w:type="dxa" w:w="2054"/>
            <w:shd w:fill="1F4E79" w:val="clear"/>
            <w:tcMar>
              <w:top w:type="dxa" w:w="80"/>
              <w:left w:type="dxa" w:w="100"/>
              <w:bottom w:type="dxa" w:w="80"/>
              <w:right w:type="dxa" w:w="100"/>
            </w:tcMar>
          </w:tcPr>
          <w:p>
            <w:r>
              <w:rPr>
                <w:b/>
                <w:bCs/>
                <w:color w:val="FFFFFF"/>
                <w:sz w:val="20"/>
                <w:szCs w:val="20"/>
              </w:rPr>
              <w:t xml:space="preserve">Value</w:t>
            </w:r>
          </w:p>
        </w:tc>
        <w:tc>
          <w:tcPr>
            <w:tcW w:type="dxa" w:w="2283"/>
            <w:shd w:fill="1F4E79" w:val="clear"/>
            <w:tcMar>
              <w:top w:type="dxa" w:w="80"/>
              <w:left w:type="dxa" w:w="100"/>
              <w:bottom w:type="dxa" w:w="80"/>
              <w:right w:type="dxa" w:w="100"/>
            </w:tcMar>
          </w:tcPr>
          <w:p>
            <w:r>
              <w:rPr>
                <w:b/>
                <w:bCs/>
                <w:color w:val="FFFFFF"/>
                <w:sz w:val="20"/>
                <w:szCs w:val="20"/>
              </w:rPr>
              <w:t xml:space="preserve">Notes</w:t>
            </w:r>
          </w:p>
        </w:tc>
      </w:tr>
      <w:tr>
        <w:tc>
          <w:tcPr>
            <w:tcW w:type="dxa" w:w="1370"/>
            <w:tcMar>
              <w:top w:type="dxa" w:w="80"/>
              <w:left w:type="dxa" w:w="100"/>
              <w:bottom w:type="dxa" w:w="80"/>
              <w:right w:type="dxa" w:w="100"/>
            </w:tcMar>
          </w:tcPr>
          <w:p>
            <w:r>
              <w:rPr>
                <w:b w:val="false"/>
                <w:bCs w:val="false"/>
                <w:sz w:val="19"/>
                <w:szCs w:val="19"/>
              </w:rPr>
              <w:t xml:space="preserve">ISSP Field (source)</w:t>
            </w:r>
          </w:p>
        </w:tc>
        <w:tc>
          <w:tcPr>
            <w:tcW w:type="dxa" w:w="2055"/>
            <w:tcMar>
              <w:top w:type="dxa" w:w="80"/>
              <w:left w:type="dxa" w:w="100"/>
              <w:bottom w:type="dxa" w:w="80"/>
              <w:right w:type="dxa" w:w="100"/>
            </w:tcMar>
          </w:tcPr>
          <w:p>
            <w:r>
              <w:rPr>
                <w:b w:val="false"/>
                <w:bCs w:val="false"/>
                <w:sz w:val="19"/>
                <w:szCs w:val="19"/>
              </w:rPr>
              <w:t xml:space="preserve">customfield_10231 ("Business Unit")</w:t>
            </w:r>
          </w:p>
        </w:tc>
        <w:tc>
          <w:tcPr>
            <w:tcW w:type="dxa" w:w="1598"/>
            <w:tcMar>
              <w:top w:type="dxa" w:w="80"/>
              <w:left w:type="dxa" w:w="100"/>
              <w:bottom w:type="dxa" w:w="80"/>
              <w:right w:type="dxa" w:w="100"/>
            </w:tcMar>
          </w:tcPr>
          <w:p>
            <w:r>
              <w:rPr>
                <w:b w:val="false"/>
                <w:bCs w:val="false"/>
                <w:sz w:val="19"/>
                <w:szCs w:val="19"/>
              </w:rPr>
              <w:t xml:space="preserve">TtCAAS1443 Field (target)</w:t>
            </w:r>
          </w:p>
        </w:tc>
        <w:tc>
          <w:tcPr>
            <w:tcW w:type="dxa" w:w="2054"/>
            <w:tcMar>
              <w:top w:type="dxa" w:w="80"/>
              <w:left w:type="dxa" w:w="100"/>
              <w:bottom w:type="dxa" w:w="80"/>
              <w:right w:type="dxa" w:w="100"/>
            </w:tcMar>
          </w:tcPr>
          <w:p>
            <w:r>
              <w:rPr>
                <w:b w:val="false"/>
                <w:bCs w:val="false"/>
                <w:sz w:val="19"/>
                <w:szCs w:val="19"/>
              </w:rPr>
              <w:t xml:space="preserve">customfield_20144 ("Business Unit")</w:t>
            </w:r>
          </w:p>
        </w:tc>
        <w:tc>
          <w:tcPr>
            <w:tcW w:type="dxa" w:w="2283"/>
            <w:tcMar>
              <w:top w:type="dxa" w:w="80"/>
              <w:left w:type="dxa" w:w="100"/>
              <w:bottom w:type="dxa" w:w="80"/>
              <w:right w:type="dxa" w:w="100"/>
            </w:tcMar>
          </w:tcPr>
          <w:p>
            <w:r>
              <w:rPr>
                <w:b w:val="false"/>
                <w:bCs w:val="false"/>
                <w:sz w:val="19"/>
                <w:szCs w:val="19"/>
              </w:rPr>
              <w:t xml:space="preserve">Direct 1:1, ID differs</w:t>
            </w:r>
          </w:p>
        </w:tc>
      </w:tr>
      <w:tr>
        <w:tc>
          <w:tcPr>
            <w:tcW w:type="dxa" w:w="1370"/>
            <w:shd w:fill="F2F2F2" w:val="clear"/>
            <w:tcMar>
              <w:top w:type="dxa" w:w="80"/>
              <w:left w:type="dxa" w:w="100"/>
              <w:bottom w:type="dxa" w:w="80"/>
              <w:right w:type="dxa" w:w="100"/>
            </w:tcMar>
          </w:tcPr>
          <w:p>
            <w:r>
              <w:rPr>
                <w:b w:val="false"/>
                <w:bCs w:val="false"/>
                <w:sz w:val="19"/>
                <w:szCs w:val="19"/>
              </w:rPr>
              <w:t xml:space="preserve">ISSP Field (source)</w:t>
            </w:r>
          </w:p>
        </w:tc>
        <w:tc>
          <w:tcPr>
            <w:tcW w:type="dxa" w:w="2055"/>
            <w:shd w:fill="F2F2F2" w:val="clear"/>
            <w:tcMar>
              <w:top w:type="dxa" w:w="80"/>
              <w:left w:type="dxa" w:w="100"/>
              <w:bottom w:type="dxa" w:w="80"/>
              <w:right w:type="dxa" w:w="100"/>
            </w:tcMar>
          </w:tcPr>
          <w:p>
            <w:r>
              <w:rPr>
                <w:b w:val="false"/>
                <w:bCs w:val="false"/>
                <w:sz w:val="19"/>
                <w:szCs w:val="19"/>
              </w:rPr>
              <w:t xml:space="preserve">customfield_10450 ("Root Cause")</w:t>
            </w:r>
          </w:p>
        </w:tc>
        <w:tc>
          <w:tcPr>
            <w:tcW w:type="dxa" w:w="1598"/>
            <w:shd w:fill="F2F2F2" w:val="clear"/>
            <w:tcMar>
              <w:top w:type="dxa" w:w="80"/>
              <w:left w:type="dxa" w:w="100"/>
              <w:bottom w:type="dxa" w:w="80"/>
              <w:right w:type="dxa" w:w="100"/>
            </w:tcMar>
          </w:tcPr>
          <w:p>
            <w:r>
              <w:rPr>
                <w:b w:val="false"/>
                <w:bCs w:val="false"/>
                <w:sz w:val="19"/>
                <w:szCs w:val="19"/>
              </w:rPr>
              <w:t xml:space="preserve">TtCAAS1443 Field (target)</w:t>
            </w:r>
          </w:p>
        </w:tc>
        <w:tc>
          <w:tcPr>
            <w:tcW w:type="dxa" w:w="2054"/>
            <w:shd w:fill="F2F2F2" w:val="clear"/>
            <w:tcMar>
              <w:top w:type="dxa" w:w="80"/>
              <w:left w:type="dxa" w:w="100"/>
              <w:bottom w:type="dxa" w:w="80"/>
              <w:right w:type="dxa" w:w="100"/>
            </w:tcMar>
          </w:tcPr>
          <w:p>
            <w:r>
              <w:rPr>
                <w:b w:val="false"/>
                <w:bCs w:val="false"/>
                <w:sz w:val="19"/>
                <w:szCs w:val="19"/>
              </w:rPr>
              <w:t xml:space="preserve">customfield_20390 ("RCA Category")</w:t>
            </w:r>
          </w:p>
        </w:tc>
        <w:tc>
          <w:tcPr>
            <w:tcW w:type="dxa" w:w="2283"/>
            <w:shd w:fill="F2F2F2" w:val="clear"/>
            <w:tcMar>
              <w:top w:type="dxa" w:w="80"/>
              <w:left w:type="dxa" w:w="100"/>
              <w:bottom w:type="dxa" w:w="80"/>
              <w:right w:type="dxa" w:w="100"/>
            </w:tcMar>
          </w:tcPr>
          <w:p>
            <w:r>
              <w:rPr>
                <w:b w:val="false"/>
                <w:bCs w:val="false"/>
                <w:sz w:val="19"/>
                <w:szCs w:val="19"/>
              </w:rPr>
              <w:t xml:space="preserve">1:1 with value-list re-map</w:t>
            </w:r>
          </w:p>
        </w:tc>
      </w:tr>
      <w:tr>
        <w:tc>
          <w:tcPr>
            <w:tcW w:type="dxa" w:w="1370"/>
            <w:tcMar>
              <w:top w:type="dxa" w:w="80"/>
              <w:left w:type="dxa" w:w="100"/>
              <w:bottom w:type="dxa" w:w="80"/>
              <w:right w:type="dxa" w:w="100"/>
            </w:tcMar>
          </w:tcPr>
          <w:p>
            <w:r>
              <w:rPr>
                <w:b w:val="false"/>
                <w:bCs w:val="false"/>
                <w:sz w:val="19"/>
                <w:szCs w:val="19"/>
              </w:rPr>
              <w:t xml:space="preserve">ISSP Field (source)</w:t>
            </w:r>
          </w:p>
        </w:tc>
        <w:tc>
          <w:tcPr>
            <w:tcW w:type="dxa" w:w="2055"/>
            <w:tcMar>
              <w:top w:type="dxa" w:w="80"/>
              <w:left w:type="dxa" w:w="100"/>
              <w:bottom w:type="dxa" w:w="80"/>
              <w:right w:type="dxa" w:w="100"/>
            </w:tcMar>
          </w:tcPr>
          <w:p>
            <w:r>
              <w:rPr>
                <w:b w:val="false"/>
                <w:bCs w:val="false"/>
                <w:sz w:val="19"/>
                <w:szCs w:val="19"/>
              </w:rPr>
              <w:t xml:space="preserve">Epic Link</w:t>
            </w:r>
          </w:p>
        </w:tc>
        <w:tc>
          <w:tcPr>
            <w:tcW w:type="dxa" w:w="1598"/>
            <w:tcMar>
              <w:top w:type="dxa" w:w="80"/>
              <w:left w:type="dxa" w:w="100"/>
              <w:bottom w:type="dxa" w:w="80"/>
              <w:right w:type="dxa" w:w="100"/>
            </w:tcMar>
          </w:tcPr>
          <w:p>
            <w:r>
              <w:rPr>
                <w:b w:val="false"/>
                <w:bCs w:val="false"/>
                <w:sz w:val="19"/>
                <w:szCs w:val="19"/>
              </w:rPr>
              <w:t xml:space="preserve">TtCAAS1443 Field (target)</w:t>
            </w:r>
          </w:p>
        </w:tc>
        <w:tc>
          <w:tcPr>
            <w:tcW w:type="dxa" w:w="2054"/>
            <w:tcMar>
              <w:top w:type="dxa" w:w="80"/>
              <w:left w:type="dxa" w:w="100"/>
              <w:bottom w:type="dxa" w:w="80"/>
              <w:right w:type="dxa" w:w="100"/>
            </w:tcMar>
          </w:tcPr>
          <w:p>
            <w:r>
              <w:rPr>
                <w:b w:val="false"/>
                <w:bCs w:val="false"/>
                <w:sz w:val="19"/>
                <w:szCs w:val="19"/>
              </w:rPr>
              <w:t xml:space="preserve">Parent Link (new hierarchy model)</w:t>
            </w:r>
          </w:p>
        </w:tc>
        <w:tc>
          <w:tcPr>
            <w:tcW w:type="dxa" w:w="2283"/>
            <w:tcMar>
              <w:top w:type="dxa" w:w="80"/>
              <w:left w:type="dxa" w:w="100"/>
              <w:bottom w:type="dxa" w:w="80"/>
              <w:right w:type="dxa" w:w="100"/>
            </w:tcMar>
          </w:tcPr>
          <w:p>
            <w:r>
              <w:rPr>
                <w:b w:val="false"/>
                <w:bCs w:val="false"/>
                <w:sz w:val="19"/>
                <w:szCs w:val="19"/>
              </w:rPr>
              <w:t xml:space="preserve">Structural change — needs script logic, not simple copy</w:t>
            </w:r>
          </w:p>
        </w:tc>
      </w:tr>
    </w:tbl>
    <w:p>
      <w:pPr>
        <w:pStyle w:val="Heading2"/>
        <w:spacing w:after="150" w:before="300"/>
      </w:pPr>
      <w:r>
        <w:t xml:space="preserve">7.2 Workflow Status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3"/>
        <w:gridCol w:w="2739"/>
        <w:gridCol w:w="4338"/>
      </w:tblGrid>
      <w:tr>
        <w:trPr>
          <w:tblHeader/>
        </w:trPr>
        <w:tc>
          <w:tcPr>
            <w:tcW w:type="dxa" w:w="2283"/>
            <w:shd w:fill="1F4E79" w:val="clear"/>
            <w:tcMar>
              <w:top w:type="dxa" w:w="80"/>
              <w:left w:type="dxa" w:w="100"/>
              <w:bottom w:type="dxa" w:w="80"/>
              <w:right w:type="dxa" w:w="100"/>
            </w:tcMar>
          </w:tcPr>
          <w:p>
            <w:r>
              <w:rPr>
                <w:b/>
                <w:bCs/>
                <w:color w:val="FFFFFF"/>
                <w:sz w:val="20"/>
                <w:szCs w:val="20"/>
              </w:rPr>
              <w:t xml:space="preserve">Source Status (ISSP)</w:t>
            </w:r>
          </w:p>
        </w:tc>
        <w:tc>
          <w:tcPr>
            <w:tcW w:type="dxa" w:w="2739"/>
            <w:shd w:fill="1F4E79" w:val="clear"/>
            <w:tcMar>
              <w:top w:type="dxa" w:w="80"/>
              <w:left w:type="dxa" w:w="100"/>
              <w:bottom w:type="dxa" w:w="80"/>
              <w:right w:type="dxa" w:w="100"/>
            </w:tcMar>
          </w:tcPr>
          <w:p>
            <w:r>
              <w:rPr>
                <w:b/>
                <w:bCs/>
                <w:color w:val="FFFFFF"/>
                <w:sz w:val="20"/>
                <w:szCs w:val="20"/>
              </w:rPr>
              <w:t xml:space="preserve">Target Status (TtCAAS1443)</w:t>
            </w:r>
          </w:p>
        </w:tc>
        <w:tc>
          <w:tcPr>
            <w:tcW w:type="dxa" w:w="4338"/>
            <w:shd w:fill="1F4E79" w:val="clear"/>
            <w:tcMar>
              <w:top w:type="dxa" w:w="80"/>
              <w:left w:type="dxa" w:w="100"/>
              <w:bottom w:type="dxa" w:w="80"/>
              <w:right w:type="dxa" w:w="100"/>
            </w:tcMar>
          </w:tcPr>
          <w:p>
            <w:r>
              <w:rPr>
                <w:b/>
                <w:bCs/>
                <w:color w:val="FFFFFF"/>
                <w:sz w:val="20"/>
                <w:szCs w:val="20"/>
              </w:rPr>
              <w:t xml:space="preserve">Notes</w:t>
            </w:r>
          </w:p>
        </w:tc>
      </w:tr>
      <w:tr>
        <w:tc>
          <w:tcPr>
            <w:tcW w:type="dxa" w:w="2283"/>
            <w:tcMar>
              <w:top w:type="dxa" w:w="80"/>
              <w:left w:type="dxa" w:w="100"/>
              <w:bottom w:type="dxa" w:w="80"/>
              <w:right w:type="dxa" w:w="100"/>
            </w:tcMar>
          </w:tcPr>
          <w:p>
            <w:r>
              <w:rPr>
                <w:b w:val="false"/>
                <w:bCs w:val="false"/>
                <w:sz w:val="19"/>
                <w:szCs w:val="19"/>
              </w:rPr>
              <w:t xml:space="preserve">Open</w:t>
            </w:r>
          </w:p>
        </w:tc>
        <w:tc>
          <w:tcPr>
            <w:tcW w:type="dxa" w:w="2739"/>
            <w:tcMar>
              <w:top w:type="dxa" w:w="80"/>
              <w:left w:type="dxa" w:w="100"/>
              <w:bottom w:type="dxa" w:w="80"/>
              <w:right w:type="dxa" w:w="100"/>
            </w:tcMar>
          </w:tcPr>
          <w:p>
            <w:r>
              <w:rPr>
                <w:b w:val="false"/>
                <w:bCs w:val="false"/>
                <w:sz w:val="19"/>
                <w:szCs w:val="19"/>
              </w:rPr>
              <w:t xml:space="preserve">Open</w:t>
            </w:r>
          </w:p>
        </w:tc>
        <w:tc>
          <w:tcPr>
            <w:tcW w:type="dxa" w:w="4338"/>
            <w:tcMar>
              <w:top w:type="dxa" w:w="80"/>
              <w:left w:type="dxa" w:w="100"/>
              <w:bottom w:type="dxa" w:w="80"/>
              <w:right w:type="dxa" w:w="100"/>
            </w:tcMar>
          </w:tcPr>
          <w:p>
            <w:r>
              <w:rPr>
                <w:b w:val="false"/>
                <w:bCs w:val="false"/>
                <w:sz w:val="19"/>
                <w:szCs w:val="19"/>
              </w:rPr>
              <w:t xml:space="preserve">Direct</w:t>
            </w:r>
          </w:p>
        </w:tc>
      </w:tr>
      <w:tr>
        <w:tc>
          <w:tcPr>
            <w:tcW w:type="dxa" w:w="2283"/>
            <w:shd w:fill="F2F2F2" w:val="clear"/>
            <w:tcMar>
              <w:top w:type="dxa" w:w="80"/>
              <w:left w:type="dxa" w:w="100"/>
              <w:bottom w:type="dxa" w:w="80"/>
              <w:right w:type="dxa" w:w="100"/>
            </w:tcMar>
          </w:tcPr>
          <w:p>
            <w:r>
              <w:rPr>
                <w:b w:val="false"/>
                <w:bCs w:val="false"/>
                <w:sz w:val="19"/>
                <w:szCs w:val="19"/>
              </w:rPr>
              <w:t xml:space="preserve">Accepted</w:t>
            </w:r>
          </w:p>
        </w:tc>
        <w:tc>
          <w:tcPr>
            <w:tcW w:type="dxa" w:w="2739"/>
            <w:shd w:fill="F2F2F2" w:val="clear"/>
            <w:tcMar>
              <w:top w:type="dxa" w:w="80"/>
              <w:left w:type="dxa" w:w="100"/>
              <w:bottom w:type="dxa" w:w="80"/>
              <w:right w:type="dxa" w:w="100"/>
            </w:tcMar>
          </w:tcPr>
          <w:p>
            <w:r>
              <w:rPr>
                <w:b w:val="false"/>
                <w:bCs w:val="false"/>
                <w:sz w:val="19"/>
                <w:szCs w:val="19"/>
              </w:rPr>
              <w:t xml:space="preserve">Selected for Development</w:t>
            </w:r>
          </w:p>
        </w:tc>
        <w:tc>
          <w:tcPr>
            <w:tcW w:type="dxa" w:w="4338"/>
            <w:shd w:fill="F2F2F2" w:val="clear"/>
            <w:tcMar>
              <w:top w:type="dxa" w:w="80"/>
              <w:left w:type="dxa" w:w="100"/>
              <w:bottom w:type="dxa" w:w="80"/>
              <w:right w:type="dxa" w:w="100"/>
            </w:tcMar>
          </w:tcPr>
          <w:p>
            <w:r>
              <w:rPr>
                <w:b w:val="false"/>
                <w:bCs w:val="false"/>
                <w:sz w:val="19"/>
                <w:szCs w:val="19"/>
              </w:rPr>
              <w:t xml:space="preserve">Direct (per confirmed workflow diff)</w:t>
            </w:r>
          </w:p>
        </w:tc>
      </w:tr>
      <w:tr>
        <w:tc>
          <w:tcPr>
            <w:tcW w:type="dxa" w:w="2283"/>
            <w:tcMar>
              <w:top w:type="dxa" w:w="80"/>
              <w:left w:type="dxa" w:w="100"/>
              <w:bottom w:type="dxa" w:w="80"/>
              <w:right w:type="dxa" w:w="100"/>
            </w:tcMar>
          </w:tcPr>
          <w:p>
            <w:r>
              <w:rPr>
                <w:b w:val="false"/>
                <w:bCs w:val="false"/>
                <w:sz w:val="19"/>
                <w:szCs w:val="19"/>
              </w:rPr>
              <w:t xml:space="preserve">In Progress</w:t>
            </w:r>
          </w:p>
        </w:tc>
        <w:tc>
          <w:tcPr>
            <w:tcW w:type="dxa" w:w="2739"/>
            <w:tcMar>
              <w:top w:type="dxa" w:w="80"/>
              <w:left w:type="dxa" w:w="100"/>
              <w:bottom w:type="dxa" w:w="80"/>
              <w:right w:type="dxa" w:w="100"/>
            </w:tcMar>
          </w:tcPr>
          <w:p>
            <w:r>
              <w:rPr>
                <w:b w:val="false"/>
                <w:bCs w:val="false"/>
                <w:sz w:val="19"/>
                <w:szCs w:val="19"/>
              </w:rPr>
              <w:t xml:space="preserve">In Progress</w:t>
            </w:r>
          </w:p>
        </w:tc>
        <w:tc>
          <w:tcPr>
            <w:tcW w:type="dxa" w:w="4338"/>
            <w:tcMar>
              <w:top w:type="dxa" w:w="80"/>
              <w:left w:type="dxa" w:w="100"/>
              <w:bottom w:type="dxa" w:w="80"/>
              <w:right w:type="dxa" w:w="100"/>
            </w:tcMar>
          </w:tcPr>
          <w:p>
            <w:r>
              <w:rPr>
                <w:b w:val="false"/>
                <w:bCs w:val="false"/>
                <w:sz w:val="19"/>
                <w:szCs w:val="19"/>
              </w:rPr>
              <w:t xml:space="preserve">Direct</w:t>
            </w:r>
          </w:p>
        </w:tc>
      </w:tr>
      <w:tr>
        <w:tc>
          <w:tcPr>
            <w:tcW w:type="dxa" w:w="2283"/>
            <w:shd w:fill="F2F2F2" w:val="clear"/>
            <w:tcMar>
              <w:top w:type="dxa" w:w="80"/>
              <w:left w:type="dxa" w:w="100"/>
              <w:bottom w:type="dxa" w:w="80"/>
              <w:right w:type="dxa" w:w="100"/>
            </w:tcMar>
          </w:tcPr>
          <w:p>
            <w:r>
              <w:rPr>
                <w:b w:val="false"/>
                <w:bCs w:val="false"/>
                <w:sz w:val="19"/>
                <w:szCs w:val="19"/>
              </w:rPr>
              <w:t xml:space="preserve">In Review</w:t>
            </w:r>
          </w:p>
        </w:tc>
        <w:tc>
          <w:tcPr>
            <w:tcW w:type="dxa" w:w="2739"/>
            <w:shd w:fill="F2F2F2" w:val="clear"/>
            <w:tcMar>
              <w:top w:type="dxa" w:w="80"/>
              <w:left w:type="dxa" w:w="100"/>
              <w:bottom w:type="dxa" w:w="80"/>
              <w:right w:type="dxa" w:w="100"/>
            </w:tcMar>
          </w:tcPr>
          <w:p>
            <w:r>
              <w:rPr>
                <w:b w:val="false"/>
                <w:bCs w:val="false"/>
                <w:sz w:val="19"/>
                <w:szCs w:val="19"/>
              </w:rPr>
              <w:t xml:space="preserve">In Review</w:t>
            </w:r>
          </w:p>
        </w:tc>
        <w:tc>
          <w:tcPr>
            <w:tcW w:type="dxa" w:w="4338"/>
            <w:shd w:fill="F2F2F2" w:val="clear"/>
            <w:tcMar>
              <w:top w:type="dxa" w:w="80"/>
              <w:left w:type="dxa" w:w="100"/>
              <w:bottom w:type="dxa" w:w="80"/>
              <w:right w:type="dxa" w:w="100"/>
            </w:tcMar>
          </w:tcPr>
          <w:p>
            <w:r>
              <w:rPr>
                <w:b w:val="false"/>
                <w:bCs w:val="false"/>
                <w:sz w:val="19"/>
                <w:szCs w:val="19"/>
              </w:rPr>
              <w:t xml:space="preserve">Direct</w:t>
            </w:r>
          </w:p>
        </w:tc>
      </w:tr>
      <w:tr>
        <w:tc>
          <w:tcPr>
            <w:tcW w:type="dxa" w:w="2283"/>
            <w:tcMar>
              <w:top w:type="dxa" w:w="80"/>
              <w:left w:type="dxa" w:w="100"/>
              <w:bottom w:type="dxa" w:w="80"/>
              <w:right w:type="dxa" w:w="100"/>
            </w:tcMar>
          </w:tcPr>
          <w:p>
            <w:r>
              <w:rPr>
                <w:b w:val="false"/>
                <w:bCs w:val="false"/>
                <w:sz w:val="19"/>
                <w:szCs w:val="19"/>
              </w:rPr>
              <w:t xml:space="preserve">Blocked</w:t>
            </w:r>
          </w:p>
        </w:tc>
        <w:tc>
          <w:tcPr>
            <w:tcW w:type="dxa" w:w="2739"/>
            <w:tcMar>
              <w:top w:type="dxa" w:w="80"/>
              <w:left w:type="dxa" w:w="100"/>
              <w:bottom w:type="dxa" w:w="80"/>
              <w:right w:type="dxa" w:w="100"/>
            </w:tcMar>
          </w:tcPr>
          <w:p>
            <w:r>
              <w:rPr>
                <w:b w:val="false"/>
                <w:bCs w:val="false"/>
                <w:sz w:val="19"/>
                <w:szCs w:val="19"/>
              </w:rPr>
              <w:t xml:space="preserve">In Progress (+ "Blocked" flag/label)</w:t>
            </w:r>
          </w:p>
        </w:tc>
        <w:tc>
          <w:tcPr>
            <w:tcW w:type="dxa" w:w="4338"/>
            <w:tcMar>
              <w:top w:type="dxa" w:w="80"/>
              <w:left w:type="dxa" w:w="100"/>
              <w:bottom w:type="dxa" w:w="80"/>
              <w:right w:type="dxa" w:w="100"/>
            </w:tcMar>
          </w:tcPr>
          <w:p>
            <w:r>
              <w:rPr>
                <w:b w:val="false"/>
                <w:bCs w:val="false"/>
                <w:sz w:val="19"/>
                <w:szCs w:val="19"/>
              </w:rPr>
              <w:t xml:space="preserve">Target has no separate Blocked state — AI/rule flags via label</w:t>
            </w:r>
          </w:p>
        </w:tc>
      </w:tr>
      <w:tr>
        <w:tc>
          <w:tcPr>
            <w:tcW w:type="dxa" w:w="2283"/>
            <w:shd w:fill="F2F2F2" w:val="clear"/>
            <w:tcMar>
              <w:top w:type="dxa" w:w="80"/>
              <w:left w:type="dxa" w:w="100"/>
              <w:bottom w:type="dxa" w:w="80"/>
              <w:right w:type="dxa" w:w="100"/>
            </w:tcMar>
          </w:tcPr>
          <w:p>
            <w:r>
              <w:rPr>
                <w:b w:val="false"/>
                <w:bCs w:val="false"/>
                <w:sz w:val="19"/>
                <w:szCs w:val="19"/>
              </w:rPr>
              <w:t xml:space="preserve">Resolved / Closed</w:t>
            </w:r>
          </w:p>
        </w:tc>
        <w:tc>
          <w:tcPr>
            <w:tcW w:type="dxa" w:w="2739"/>
            <w:shd w:fill="F2F2F2" w:val="clear"/>
            <w:tcMar>
              <w:top w:type="dxa" w:w="80"/>
              <w:left w:type="dxa" w:w="100"/>
              <w:bottom w:type="dxa" w:w="80"/>
              <w:right w:type="dxa" w:w="100"/>
            </w:tcMar>
          </w:tcPr>
          <w:p>
            <w:r>
              <w:rPr>
                <w:b w:val="false"/>
                <w:bCs w:val="false"/>
                <w:sz w:val="19"/>
                <w:szCs w:val="19"/>
              </w:rPr>
              <w:t xml:space="preserve">Done</w:t>
            </w:r>
          </w:p>
        </w:tc>
        <w:tc>
          <w:tcPr>
            <w:tcW w:type="dxa" w:w="4338"/>
            <w:shd w:fill="F2F2F2" w:val="clear"/>
            <w:tcMar>
              <w:top w:type="dxa" w:w="80"/>
              <w:left w:type="dxa" w:w="100"/>
              <w:bottom w:type="dxa" w:w="80"/>
              <w:right w:type="dxa" w:w="100"/>
            </w:tcMar>
          </w:tcPr>
          <w:p>
            <w:r>
              <w:rPr>
                <w:b w:val="false"/>
                <w:bCs w:val="false"/>
                <w:sz w:val="19"/>
                <w:szCs w:val="19"/>
              </w:rPr>
              <w:t xml:space="preserve">Direct, closed-date preserved in comment/audit field</w:t>
            </w:r>
          </w:p>
        </w:tc>
      </w:tr>
    </w:tbl>
    <w:p>
      <w:pPr>
        <w:pStyle w:val="Heading2"/>
        <w:spacing w:after="150" w:before="300"/>
      </w:pPr>
      <w:r>
        <w:t xml:space="preserve">7.3 Priority Mapping (3-tier → 5-tier)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6"/>
        <w:gridCol w:w="2511"/>
        <w:gridCol w:w="5023"/>
      </w:tblGrid>
      <w:tr>
        <w:trPr>
          <w:tblHeader/>
        </w:trPr>
        <w:tc>
          <w:tcPr>
            <w:tcW w:type="dxa" w:w="1826"/>
            <w:shd w:fill="1F4E79" w:val="clear"/>
            <w:tcMar>
              <w:top w:type="dxa" w:w="80"/>
              <w:left w:type="dxa" w:w="100"/>
              <w:bottom w:type="dxa" w:w="80"/>
              <w:right w:type="dxa" w:w="100"/>
            </w:tcMar>
          </w:tcPr>
          <w:p>
            <w:r>
              <w:rPr>
                <w:b/>
                <w:bCs/>
                <w:color w:val="FFFFFF"/>
                <w:sz w:val="20"/>
                <w:szCs w:val="20"/>
              </w:rPr>
              <w:t xml:space="preserve">Source Priority</w:t>
            </w:r>
          </w:p>
        </w:tc>
        <w:tc>
          <w:tcPr>
            <w:tcW w:type="dxa" w:w="2511"/>
            <w:shd w:fill="1F4E79" w:val="clear"/>
            <w:tcMar>
              <w:top w:type="dxa" w:w="80"/>
              <w:left w:type="dxa" w:w="100"/>
              <w:bottom w:type="dxa" w:w="80"/>
              <w:right w:type="dxa" w:w="100"/>
            </w:tcMar>
          </w:tcPr>
          <w:p>
            <w:r>
              <w:rPr>
                <w:b/>
                <w:bCs/>
                <w:color w:val="FFFFFF"/>
                <w:sz w:val="20"/>
                <w:szCs w:val="20"/>
              </w:rPr>
              <w:t xml:space="preserve">Target Priority (candidate)</w:t>
            </w:r>
          </w:p>
        </w:tc>
        <w:tc>
          <w:tcPr>
            <w:tcW w:type="dxa" w:w="5023"/>
            <w:shd w:fill="1F4E79" w:val="clear"/>
            <w:tcMar>
              <w:top w:type="dxa" w:w="80"/>
              <w:left w:type="dxa" w:w="100"/>
              <w:bottom w:type="dxa" w:w="80"/>
              <w:right w:type="dxa" w:w="100"/>
            </w:tcMar>
          </w:tcPr>
          <w:p>
            <w:r>
              <w:rPr>
                <w:b/>
                <w:bCs/>
                <w:color w:val="FFFFFF"/>
                <w:sz w:val="20"/>
                <w:szCs w:val="20"/>
              </w:rPr>
              <w:t xml:space="preserve">Resolution Approach</w:t>
            </w:r>
          </w:p>
        </w:tc>
      </w:tr>
      <w:tr>
        <w:tc>
          <w:tcPr>
            <w:tcW w:type="dxa" w:w="1826"/>
            <w:tcMar>
              <w:top w:type="dxa" w:w="80"/>
              <w:left w:type="dxa" w:w="100"/>
              <w:bottom w:type="dxa" w:w="80"/>
              <w:right w:type="dxa" w:w="100"/>
            </w:tcMar>
          </w:tcPr>
          <w:p>
            <w:r>
              <w:rPr>
                <w:b w:val="false"/>
                <w:bCs w:val="false"/>
                <w:sz w:val="19"/>
                <w:szCs w:val="19"/>
              </w:rPr>
              <w:t xml:space="preserve">High</w:t>
            </w:r>
          </w:p>
        </w:tc>
        <w:tc>
          <w:tcPr>
            <w:tcW w:type="dxa" w:w="2511"/>
            <w:tcMar>
              <w:top w:type="dxa" w:w="80"/>
              <w:left w:type="dxa" w:w="100"/>
              <w:bottom w:type="dxa" w:w="80"/>
              <w:right w:type="dxa" w:w="100"/>
            </w:tcMar>
          </w:tcPr>
          <w:p>
            <w:r>
              <w:rPr>
                <w:b w:val="false"/>
                <w:bCs w:val="false"/>
                <w:sz w:val="19"/>
                <w:szCs w:val="19"/>
              </w:rPr>
              <w:t xml:space="preserve">Highest or High</w:t>
            </w:r>
          </w:p>
        </w:tc>
        <w:tc>
          <w:tcPr>
            <w:tcW w:type="dxa" w:w="5023"/>
            <w:tcMar>
              <w:top w:type="dxa" w:w="80"/>
              <w:left w:type="dxa" w:w="100"/>
              <w:bottom w:type="dxa" w:w="80"/>
              <w:right w:type="dxa" w:w="100"/>
            </w:tcMar>
          </w:tcPr>
          <w:p>
            <w:r>
              <w:rPr>
                <w:b w:val="false"/>
                <w:bCs w:val="false"/>
                <w:sz w:val="19"/>
                <w:szCs w:val="19"/>
              </w:rPr>
              <w:t xml:space="preserve">AI classifies using issue text/severity keywords + historical SLA breach flag; low-confidence → human review</w:t>
            </w:r>
          </w:p>
        </w:tc>
      </w:tr>
      <w:tr>
        <w:tc>
          <w:tcPr>
            <w:tcW w:type="dxa" w:w="1826"/>
            <w:shd w:fill="F2F2F2" w:val="clear"/>
            <w:tcMar>
              <w:top w:type="dxa" w:w="80"/>
              <w:left w:type="dxa" w:w="100"/>
              <w:bottom w:type="dxa" w:w="80"/>
              <w:right w:type="dxa" w:w="100"/>
            </w:tcMar>
          </w:tcPr>
          <w:p>
            <w:r>
              <w:rPr>
                <w:b w:val="false"/>
                <w:bCs w:val="false"/>
                <w:sz w:val="19"/>
                <w:szCs w:val="19"/>
              </w:rPr>
              <w:t xml:space="preserve">Medium</w:t>
            </w:r>
          </w:p>
        </w:tc>
        <w:tc>
          <w:tcPr>
            <w:tcW w:type="dxa" w:w="2511"/>
            <w:shd w:fill="F2F2F2" w:val="clear"/>
            <w:tcMar>
              <w:top w:type="dxa" w:w="80"/>
              <w:left w:type="dxa" w:w="100"/>
              <w:bottom w:type="dxa" w:w="80"/>
              <w:right w:type="dxa" w:w="100"/>
            </w:tcMar>
          </w:tcPr>
          <w:p>
            <w:r>
              <w:rPr>
                <w:b w:val="false"/>
                <w:bCs w:val="false"/>
                <w:sz w:val="19"/>
                <w:szCs w:val="19"/>
              </w:rPr>
              <w:t xml:space="preserve">Medium or Low</w:t>
            </w:r>
          </w:p>
        </w:tc>
        <w:tc>
          <w:tcPr>
            <w:tcW w:type="dxa" w:w="5023"/>
            <w:shd w:fill="F2F2F2" w:val="clear"/>
            <w:tcMar>
              <w:top w:type="dxa" w:w="80"/>
              <w:left w:type="dxa" w:w="100"/>
              <w:bottom w:type="dxa" w:w="80"/>
              <w:right w:type="dxa" w:w="100"/>
            </w:tcMar>
          </w:tcPr>
          <w:p>
            <w:r>
              <w:rPr>
                <w:b w:val="false"/>
                <w:bCs w:val="false"/>
                <w:sz w:val="19"/>
                <w:szCs w:val="19"/>
              </w:rPr>
              <w:t xml:space="preserve">Same as above — Medium is the ambiguous middle tier needing AI assist</w:t>
            </w:r>
          </w:p>
        </w:tc>
      </w:tr>
      <w:tr>
        <w:tc>
          <w:tcPr>
            <w:tcW w:type="dxa" w:w="1826"/>
            <w:tcMar>
              <w:top w:type="dxa" w:w="80"/>
              <w:left w:type="dxa" w:w="100"/>
              <w:bottom w:type="dxa" w:w="80"/>
              <w:right w:type="dxa" w:w="100"/>
            </w:tcMar>
          </w:tcPr>
          <w:p>
            <w:r>
              <w:rPr>
                <w:b w:val="false"/>
                <w:bCs w:val="false"/>
                <w:sz w:val="19"/>
                <w:szCs w:val="19"/>
              </w:rPr>
              <w:t xml:space="preserve">Low</w:t>
            </w:r>
          </w:p>
        </w:tc>
        <w:tc>
          <w:tcPr>
            <w:tcW w:type="dxa" w:w="2511"/>
            <w:tcMar>
              <w:top w:type="dxa" w:w="80"/>
              <w:left w:type="dxa" w:w="100"/>
              <w:bottom w:type="dxa" w:w="80"/>
              <w:right w:type="dxa" w:w="100"/>
            </w:tcMar>
          </w:tcPr>
          <w:p>
            <w:r>
              <w:rPr>
                <w:b w:val="false"/>
                <w:bCs w:val="false"/>
                <w:sz w:val="19"/>
                <w:szCs w:val="19"/>
              </w:rPr>
              <w:t xml:space="preserve">Low or Lowest</w:t>
            </w:r>
          </w:p>
        </w:tc>
        <w:tc>
          <w:tcPr>
            <w:tcW w:type="dxa" w:w="5023"/>
            <w:tcMar>
              <w:top w:type="dxa" w:w="80"/>
              <w:left w:type="dxa" w:w="100"/>
              <w:bottom w:type="dxa" w:w="80"/>
              <w:right w:type="dxa" w:w="100"/>
            </w:tcMar>
          </w:tcPr>
          <w:p>
            <w:r>
              <w:rPr>
                <w:b w:val="false"/>
                <w:bCs w:val="false"/>
                <w:sz w:val="19"/>
                <w:szCs w:val="19"/>
              </w:rPr>
              <w:t xml:space="preserve">AI classifies using age, comment volume, and label signals</w:t>
            </w:r>
          </w:p>
        </w:tc>
      </w:tr>
    </w:tbl>
    <w:p>
      <w:pPr>
        <w:pStyle w:val="Heading2"/>
        <w:spacing w:after="150" w:before="300"/>
      </w:pPr>
      <w:r>
        <w:t xml:space="preserve">7.4 User Mapping — Departed / Left-Organization Users</w:t>
      </w:r>
    </w:p>
    <w:p>
      <w:pPr>
        <w:spacing w:after="160"/>
      </w:pPr>
      <w:r>
        <w:t xml:space="preserve">A material gap in early planning: Jira's Assignee field can be left blank (Unassigned), but Reporter is a mandatory field and cannot be null. Departed users need different handling per field — this must be signed off alongside the other three maps, not treated as an edge case discovered mid-migration.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042"/>
        <w:gridCol w:w="4914"/>
      </w:tblGrid>
      <w:tr>
        <w:trPr>
          <w:tblHeader/>
        </w:trPr>
        <w:tc>
          <w:tcPr>
            <w:tcW w:type="dxa" w:w="1404"/>
            <w:shd w:fill="1F4E79" w:val="clear"/>
            <w:tcMar>
              <w:top w:type="dxa" w:w="80"/>
              <w:left w:type="dxa" w:w="100"/>
              <w:bottom w:type="dxa" w:w="80"/>
              <w:right w:type="dxa" w:w="100"/>
            </w:tcMar>
          </w:tcPr>
          <w:p>
            <w:r>
              <w:rPr>
                <w:b/>
                <w:bCs/>
                <w:color w:val="FFFFFF"/>
                <w:sz w:val="20"/>
                <w:szCs w:val="20"/>
              </w:rPr>
              <w:t xml:space="preserve">Field</w:t>
            </w:r>
          </w:p>
        </w:tc>
        <w:tc>
          <w:tcPr>
            <w:tcW w:type="dxa" w:w="3042"/>
            <w:shd w:fill="1F4E79" w:val="clear"/>
            <w:tcMar>
              <w:top w:type="dxa" w:w="80"/>
              <w:left w:type="dxa" w:w="100"/>
              <w:bottom w:type="dxa" w:w="80"/>
              <w:right w:type="dxa" w:w="100"/>
            </w:tcMar>
          </w:tcPr>
          <w:p>
            <w:r>
              <w:rPr>
                <w:b/>
                <w:bCs/>
                <w:color w:val="FFFFFF"/>
                <w:sz w:val="20"/>
                <w:szCs w:val="20"/>
              </w:rPr>
              <w:t xml:space="preserve">User Found in Target Directory</w:t>
            </w:r>
          </w:p>
        </w:tc>
        <w:tc>
          <w:tcPr>
            <w:tcW w:type="dxa" w:w="4914"/>
            <w:shd w:fill="1F4E79" w:val="clear"/>
            <w:tcMar>
              <w:top w:type="dxa" w:w="80"/>
              <w:left w:type="dxa" w:w="100"/>
              <w:bottom w:type="dxa" w:w="80"/>
              <w:right w:type="dxa" w:w="100"/>
            </w:tcMar>
          </w:tcPr>
          <w:p>
            <w:r>
              <w:rPr>
                <w:b/>
                <w:bCs/>
                <w:color w:val="FFFFFF"/>
                <w:sz w:val="20"/>
                <w:szCs w:val="20"/>
              </w:rPr>
              <w:t xml:space="preserve">User Has Left the Organization</w:t>
            </w:r>
          </w:p>
        </w:tc>
      </w:tr>
      <w:tr>
        <w:tc>
          <w:tcPr>
            <w:tcW w:type="dxa" w:w="1404"/>
            <w:tcMar>
              <w:top w:type="dxa" w:w="80"/>
              <w:left w:type="dxa" w:w="100"/>
              <w:bottom w:type="dxa" w:w="80"/>
              <w:right w:type="dxa" w:w="100"/>
            </w:tcMar>
          </w:tcPr>
          <w:p>
            <w:r>
              <w:rPr>
                <w:b w:val="false"/>
                <w:bCs w:val="false"/>
                <w:sz w:val="19"/>
                <w:szCs w:val="19"/>
              </w:rPr>
              <w:t xml:space="preserve">Assignee</w:t>
            </w:r>
          </w:p>
        </w:tc>
        <w:tc>
          <w:tcPr>
            <w:tcW w:type="dxa" w:w="3042"/>
            <w:tcMar>
              <w:top w:type="dxa" w:w="80"/>
              <w:left w:type="dxa" w:w="100"/>
              <w:bottom w:type="dxa" w:w="80"/>
              <w:right w:type="dxa" w:w="100"/>
            </w:tcMar>
          </w:tcPr>
          <w:p>
            <w:r>
              <w:rPr>
                <w:b w:val="false"/>
                <w:bCs w:val="false"/>
                <w:sz w:val="19"/>
                <w:szCs w:val="19"/>
              </w:rPr>
              <w:t xml:space="preserve">Direct map to target username</w:t>
            </w:r>
          </w:p>
        </w:tc>
        <w:tc>
          <w:tcPr>
            <w:tcW w:type="dxa" w:w="4914"/>
            <w:tcMar>
              <w:top w:type="dxa" w:w="80"/>
              <w:left w:type="dxa" w:w="100"/>
              <w:bottom w:type="dxa" w:w="80"/>
              <w:right w:type="dxa" w:w="100"/>
            </w:tcMar>
          </w:tcPr>
          <w:p>
            <w:r>
              <w:rPr>
                <w:b w:val="false"/>
                <w:bCs w:val="false"/>
                <w:sz w:val="19"/>
                <w:szCs w:val="19"/>
              </w:rPr>
              <w:t xml:space="preserve">Set to Unassigned — requires "Allow Unassigned Issues" enabled on TtCAAS1443 (verify in Phase 0, before any load)</w:t>
            </w:r>
          </w:p>
        </w:tc>
      </w:tr>
      <w:tr>
        <w:tc>
          <w:tcPr>
            <w:tcW w:type="dxa" w:w="1404"/>
            <w:shd w:fill="F2F2F2" w:val="clear"/>
            <w:tcMar>
              <w:top w:type="dxa" w:w="80"/>
              <w:left w:type="dxa" w:w="100"/>
              <w:bottom w:type="dxa" w:w="80"/>
              <w:right w:type="dxa" w:w="100"/>
            </w:tcMar>
          </w:tcPr>
          <w:p>
            <w:r>
              <w:rPr>
                <w:b w:val="false"/>
                <w:bCs w:val="false"/>
                <w:sz w:val="19"/>
                <w:szCs w:val="19"/>
              </w:rPr>
              <w:t xml:space="preserve">Reporter</w:t>
            </w:r>
          </w:p>
        </w:tc>
        <w:tc>
          <w:tcPr>
            <w:tcW w:type="dxa" w:w="3042"/>
            <w:shd w:fill="F2F2F2" w:val="clear"/>
            <w:tcMar>
              <w:top w:type="dxa" w:w="80"/>
              <w:left w:type="dxa" w:w="100"/>
              <w:bottom w:type="dxa" w:w="80"/>
              <w:right w:type="dxa" w:w="100"/>
            </w:tcMar>
          </w:tcPr>
          <w:p>
            <w:r>
              <w:rPr>
                <w:b w:val="false"/>
                <w:bCs w:val="false"/>
                <w:sz w:val="19"/>
                <w:szCs w:val="19"/>
              </w:rPr>
              <w:t xml:space="preserve">Direct map to target username</w:t>
            </w:r>
          </w:p>
        </w:tc>
        <w:tc>
          <w:tcPr>
            <w:tcW w:type="dxa" w:w="4914"/>
            <w:shd w:fill="F2F2F2" w:val="clear"/>
            <w:tcMar>
              <w:top w:type="dxa" w:w="80"/>
              <w:left w:type="dxa" w:w="100"/>
              <w:bottom w:type="dxa" w:w="80"/>
              <w:right w:type="dxa" w:w="100"/>
            </w:tcMar>
          </w:tcPr>
          <w:p>
            <w:r>
              <w:rPr>
                <w:b w:val="false"/>
                <w:bCs w:val="false"/>
                <w:sz w:val="19"/>
                <w:szCs w:val="19"/>
              </w:rPr>
              <w:t xml:space="preserve">Reporter cannot be blank. Map to a designated fallback account (e.g. migration-archive@company.com) AND preserve the real original name in a dedicated custom field (e.g. "Original Reporter (Archived)") plus an audit log entry</w:t>
            </w:r>
          </w:p>
        </w:tc>
      </w:tr>
      <w:tr>
        <w:tc>
          <w:tcPr>
            <w:tcW w:type="dxa" w:w="1404"/>
            <w:tcMar>
              <w:top w:type="dxa" w:w="80"/>
              <w:left w:type="dxa" w:w="100"/>
              <w:bottom w:type="dxa" w:w="80"/>
              <w:right w:type="dxa" w:w="100"/>
            </w:tcMar>
          </w:tcPr>
          <w:p>
            <w:r>
              <w:rPr>
                <w:b w:val="false"/>
                <w:bCs w:val="false"/>
                <w:sz w:val="19"/>
                <w:szCs w:val="19"/>
              </w:rPr>
              <w:t xml:space="preserve">Watchers</w:t>
            </w:r>
          </w:p>
        </w:tc>
        <w:tc>
          <w:tcPr>
            <w:tcW w:type="dxa" w:w="3042"/>
            <w:tcMar>
              <w:top w:type="dxa" w:w="80"/>
              <w:left w:type="dxa" w:w="100"/>
              <w:bottom w:type="dxa" w:w="80"/>
              <w:right w:type="dxa" w:w="100"/>
            </w:tcMar>
          </w:tcPr>
          <w:p>
            <w:r>
              <w:rPr>
                <w:b w:val="false"/>
                <w:bCs w:val="false"/>
                <w:sz w:val="19"/>
                <w:szCs w:val="19"/>
              </w:rPr>
              <w:t xml:space="preserve">Direct map, added as watcher</w:t>
            </w:r>
          </w:p>
        </w:tc>
        <w:tc>
          <w:tcPr>
            <w:tcW w:type="dxa" w:w="4914"/>
            <w:tcMar>
              <w:top w:type="dxa" w:w="80"/>
              <w:left w:type="dxa" w:w="100"/>
              <w:bottom w:type="dxa" w:w="80"/>
              <w:right w:type="dxa" w:w="100"/>
            </w:tcMar>
          </w:tcPr>
          <w:p>
            <w:r>
              <w:rPr>
                <w:b w:val="false"/>
                <w:bCs w:val="false"/>
                <w:sz w:val="19"/>
                <w:szCs w:val="19"/>
              </w:rPr>
              <w:t xml:space="preserve">Dropped silently from the watcher list; count of removed watchers logged per issue for audit purposes</w:t>
            </w:r>
          </w:p>
        </w:tc>
      </w:tr>
    </w:tbl>
    <w:p>
      <w:pPr>
        <w:spacing w:before="200"/>
      </w:pPr>
      <w:r>
        <w:rPr>
          <w:b/>
          <w:bCs/>
        </w:rPr>
        <w:t xml:space="preserve">Prerequisite check: </w:t>
      </w:r>
      <w:r>
        <w:t xml:space="preserve">confirm "Allow Unassigned Issues" is enabled in TtCAAS1443's project permissions during Phase 0 discovery — if it is not, the Assignee fallback rule above cannot be applied and issues will fail to create.</w:t>
      </w:r>
    </w:p>
    <w:p>
      <w:pPr>
        <w:pStyle w:val="Heading1"/>
        <w:spacing w:after="200" w:before="400"/>
      </w:pPr>
      <w:r>
        <w:t xml:space="preserve">8. AI-Assisted Automation — Where and Why</w:t>
      </w:r>
    </w:p>
    <w:p>
      <w:pPr>
        <w:spacing w:after="160"/>
      </w:pPr>
      <w:r>
        <w:t xml:space="preserve">AI is used narrowly, for the parts of this migration that are genuinely ambiguous, not as a blanket automation layer over the whole pipeline. This keeps trust high and avoids silently mis-mapping business-critical fields.</w:t>
      </w:r>
    </w:p>
    <w:p>
      <w:pPr>
        <w:pStyle w:val="ListParagraph"/>
        <w:numPr>
          <w:ilvl w:val="0"/>
          <w:numId w:val="1"/>
        </w:numPr>
        <w:spacing w:after="80"/>
      </w:pPr>
      <w:r>
        <w:t xml:space="preserve">Priority disambiguation: the 3→5 tier mapping is not deterministic for the middle values. An LLM reads issue summary, description, comment sentiment, historical SLA/severity signals and proposes a target priority with a confidence score.</w:t>
      </w:r>
    </w:p>
    <w:p>
      <w:pPr>
        <w:pStyle w:val="ListParagraph"/>
        <w:numPr>
          <w:ilvl w:val="0"/>
          <w:numId w:val="1"/>
        </w:numPr>
        <w:spacing w:after="80"/>
      </w:pPr>
      <w:r>
        <w:t xml:space="preserve">Workflow status inference: for legacy issues where changelog history is inconsistent or a status was skipped, the classifier infers the most likely equivalent target status from the changelog narrative.</w:t>
      </w:r>
    </w:p>
    <w:p>
      <w:pPr>
        <w:pStyle w:val="ListParagraph"/>
        <w:numPr>
          <w:ilvl w:val="0"/>
          <w:numId w:val="1"/>
        </w:numPr>
        <w:spacing w:after="80"/>
      </w:pPr>
      <w:r>
        <w:t xml:space="preserve">Duplicate/near-duplicate detection: flags ISSP issues that closely resemble something already logged natively in TtCAAS1443 since go-live, so the team can link rather than duplicate.</w:t>
      </w:r>
    </w:p>
    <w:p>
      <w:pPr>
        <w:pStyle w:val="ListParagraph"/>
        <w:numPr>
          <w:ilvl w:val="0"/>
          <w:numId w:val="1"/>
        </w:numPr>
        <w:spacing w:after="80"/>
      </w:pPr>
      <w:r>
        <w:t xml:space="preserve">Confidence thresholding: anything above the agreed confidence threshold (e.g., 90%) is auto-applied and logged; everything below is routed to a lightweight human review queue (a simple spreadsheet or Jira review project), never silently guessed.</w:t>
      </w:r>
    </w:p>
    <w:p>
      <w:pPr>
        <w:pStyle w:val="ListParagraph"/>
        <w:numPr>
          <w:ilvl w:val="0"/>
          <w:numId w:val="1"/>
        </w:numPr>
        <w:spacing w:after="80"/>
      </w:pPr>
      <w:r>
        <w:t xml:space="preserve">Reconciliation anomaly detection: after load, a model-assisted diff check flags outlier issues (unusual field combinations, missing mandatory fields) for manual spot-check instead of relying only on rule-based validation.</w:t>
      </w:r>
    </w:p>
    <w:p>
      <w:pPr>
        <w:spacing w:after="160"/>
      </w:pPr>
      <w:r>
        <w:t xml:space="preserve">This keeps manual effort limited to reviewing the minority of ambiguous cases and to periodic spot-checks — not re-keying or manually triaging all 11,000 issues.</w:t>
      </w:r>
    </w:p>
    <w:p>
      <w:pPr>
        <w:pStyle w:val="Heading1"/>
        <w:spacing w:after="200" w:before="400"/>
      </w:pPr>
      <w:r>
        <w:t xml:space="preserve">9. Cutover Strategy — Protecting Both Live Systems</w:t>
      </w:r>
    </w:p>
    <w:p>
      <w:pPr>
        <w:pStyle w:val="Heading2"/>
        <w:spacing w:after="150" w:before="300"/>
      </w:pPr>
      <w:r>
        <w:t xml:space="preserve">Protecting the Target (Jira GROUP / TtCAAS1443) and its 1,000 new issues</w:t>
      </w:r>
    </w:p>
    <w:p>
      <w:pPr>
        <w:pStyle w:val="ListParagraph"/>
        <w:numPr>
          <w:ilvl w:val="0"/>
          <w:numId w:val="1"/>
        </w:numPr>
        <w:spacing w:after="80"/>
      </w:pPr>
      <w:r>
        <w:t xml:space="preserve">Never predict or reuse target issue keys — always let Jira auto-assign the next available key so migrated issues can never collide with the 1,000 native issues already created.</w:t>
      </w:r>
    </w:p>
    <w:p>
      <w:pPr>
        <w:pStyle w:val="ListParagraph"/>
        <w:numPr>
          <w:ilvl w:val="0"/>
          <w:numId w:val="1"/>
        </w:numPr>
        <w:spacing w:after="80"/>
      </w:pPr>
      <w:r>
        <w:t xml:space="preserve">Tag every migrated issue with a marker field/label, e.g. migrated_from = ISSP-&lt;original key&gt;, so migrated vs. native issues remain distinguishable forever.</w:t>
      </w:r>
    </w:p>
    <w:p>
      <w:pPr>
        <w:pStyle w:val="ListParagraph"/>
        <w:numPr>
          <w:ilvl w:val="0"/>
          <w:numId w:val="1"/>
        </w:numPr>
        <w:spacing w:after="80"/>
      </w:pPr>
      <w:r>
        <w:t xml:space="preserve">Load in batches ordered by risk: closed/resolved first (immutable, zero collision risk), then stale open issues, then active in-flight issues last.</w:t>
      </w:r>
    </w:p>
    <w:p>
      <w:pPr>
        <w:pStyle w:val="ListParagraph"/>
        <w:numPr>
          <w:ilvl w:val="0"/>
          <w:numId w:val="1"/>
        </w:numPr>
        <w:spacing w:after="80"/>
      </w:pPr>
      <w:r>
        <w:t xml:space="preserve">Run loads during low-traffic windows and monitor API rate limits so target performance for live users is unaffected.</w:t>
      </w:r>
    </w:p>
    <w:p>
      <w:pPr>
        <w:pStyle w:val="Heading2"/>
        <w:spacing w:after="150" w:before="300"/>
      </w:pPr>
      <w:r>
        <w:t xml:space="preserve">Protecting the Source (Jira CIB / ISSP)</w:t>
      </w:r>
    </w:p>
    <w:p>
      <w:pPr>
        <w:pStyle w:val="ListParagraph"/>
        <w:numPr>
          <w:ilvl w:val="0"/>
          <w:numId w:val="1"/>
        </w:numPr>
        <w:spacing w:after="80"/>
      </w:pPr>
      <w:r>
        <w:t xml:space="preserve">Migration engine is read-only against the source at all times.</w:t>
      </w:r>
    </w:p>
    <w:p>
      <w:pPr>
        <w:pStyle w:val="ListParagraph"/>
        <w:numPr>
          <w:ilvl w:val="0"/>
          <w:numId w:val="1"/>
        </w:numPr>
        <w:spacing w:after="80"/>
      </w:pPr>
      <w:r>
        <w:t xml:space="preserve">Only the final delta batch (open/active issues) requires a short read-only freeze on ISSP, announced at least 1 week in advance, to guarantee no changes are missed between extraction and cutover.</w:t>
      </w:r>
    </w:p>
    <w:p>
      <w:pPr>
        <w:pStyle w:val="ListParagraph"/>
        <w:numPr>
          <w:ilvl w:val="0"/>
          <w:numId w:val="1"/>
        </w:numPr>
        <w:spacing w:after="80"/>
      </w:pPr>
      <w:r>
        <w:t xml:space="preserve">After validation passes, ISSP is kept as a read-only archive (not deleted) for an agreed retention period as the rollback safety net.</w:t>
      </w:r>
    </w:p>
    <w:p>
      <w:pPr>
        <w:pStyle w:val="Heading1"/>
        <w:spacing w:after="200" w:before="400"/>
      </w:pPr>
      <w: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1170"/>
        <w:gridCol w:w="1170"/>
        <w:gridCol w:w="3744"/>
      </w:tblGrid>
      <w:tr>
        <w:trPr>
          <w:tblHeader/>
        </w:trPr>
        <w:tc>
          <w:tcPr>
            <w:tcW w:type="dxa" w:w="3276"/>
            <w:shd w:fill="1F4E79" w:val="clear"/>
            <w:tcMar>
              <w:top w:type="dxa" w:w="80"/>
              <w:left w:type="dxa" w:w="100"/>
              <w:bottom w:type="dxa" w:w="80"/>
              <w:right w:type="dxa" w:w="100"/>
            </w:tcMar>
          </w:tcPr>
          <w:p>
            <w:r>
              <w:rPr>
                <w:b/>
                <w:bCs/>
                <w:color w:val="FFFFFF"/>
                <w:sz w:val="20"/>
                <w:szCs w:val="20"/>
              </w:rPr>
              <w:t xml:space="preserve">Risk</w:t>
            </w:r>
          </w:p>
        </w:tc>
        <w:tc>
          <w:tcPr>
            <w:tcW w:type="dxa" w:w="1170"/>
            <w:shd w:fill="1F4E79" w:val="clear"/>
            <w:tcMar>
              <w:top w:type="dxa" w:w="80"/>
              <w:left w:type="dxa" w:w="100"/>
              <w:bottom w:type="dxa" w:w="80"/>
              <w:right w:type="dxa" w:w="100"/>
            </w:tcMar>
          </w:tcPr>
          <w:p>
            <w:r>
              <w:rPr>
                <w:b/>
                <w:bCs/>
                <w:color w:val="FFFFFF"/>
                <w:sz w:val="20"/>
                <w:szCs w:val="20"/>
              </w:rPr>
              <w:t xml:space="preserve">Likelihood</w:t>
            </w:r>
          </w:p>
        </w:tc>
        <w:tc>
          <w:tcPr>
            <w:tcW w:type="dxa" w:w="1170"/>
            <w:shd w:fill="1F4E79" w:val="clear"/>
            <w:tcMar>
              <w:top w:type="dxa" w:w="80"/>
              <w:left w:type="dxa" w:w="100"/>
              <w:bottom w:type="dxa" w:w="80"/>
              <w:right w:type="dxa" w:w="100"/>
            </w:tcMar>
          </w:tcPr>
          <w:p>
            <w:r>
              <w:rPr>
                <w:b/>
                <w:bCs/>
                <w:color w:val="FFFFFF"/>
                <w:sz w:val="20"/>
                <w:szCs w:val="20"/>
              </w:rPr>
              <w:t xml:space="preserve">Impact</w:t>
            </w:r>
          </w:p>
        </w:tc>
        <w:tc>
          <w:tcPr>
            <w:tcW w:type="dxa" w:w="3744"/>
            <w:shd w:fill="1F4E79" w:val="clear"/>
            <w:tcMar>
              <w:top w:type="dxa" w:w="80"/>
              <w:left w:type="dxa" w:w="100"/>
              <w:bottom w:type="dxa" w:w="80"/>
              <w:right w:type="dxa" w:w="100"/>
            </w:tcMar>
          </w:tcPr>
          <w:p>
            <w:r>
              <w:rPr>
                <w:b/>
                <w:bCs/>
                <w:color w:val="FFFFFF"/>
                <w:sz w:val="20"/>
                <w:szCs w:val="20"/>
              </w:rPr>
              <w:t xml:space="preserve">Mitigation</w:t>
            </w:r>
          </w:p>
        </w:tc>
      </w:tr>
      <w:tr>
        <w:tc>
          <w:tcPr>
            <w:tcW w:type="dxa" w:w="3276"/>
            <w:tcMar>
              <w:top w:type="dxa" w:w="80"/>
              <w:left w:type="dxa" w:w="100"/>
              <w:bottom w:type="dxa" w:w="80"/>
              <w:right w:type="dxa" w:w="100"/>
            </w:tcMar>
          </w:tcPr>
          <w:p>
            <w:r>
              <w:rPr>
                <w:b w:val="false"/>
                <w:bCs w:val="false"/>
                <w:sz w:val="19"/>
                <w:szCs w:val="19"/>
              </w:rPr>
              <w:t xml:space="preserve">Priority mapping ambiguity causes incorrect target priority</w:t>
            </w:r>
          </w:p>
        </w:tc>
        <w:tc>
          <w:tcPr>
            <w:tcW w:type="dxa" w:w="1170"/>
            <w:tcMar>
              <w:top w:type="dxa" w:w="80"/>
              <w:left w:type="dxa" w:w="100"/>
              <w:bottom w:type="dxa" w:w="80"/>
              <w:right w:type="dxa" w:w="100"/>
            </w:tcMar>
          </w:tcPr>
          <w:p>
            <w:r>
              <w:rPr>
                <w:b w:val="false"/>
                <w:bCs w:val="false"/>
                <w:sz w:val="19"/>
                <w:szCs w:val="19"/>
              </w:rPr>
              <w:t xml:space="preserve">Med</w:t>
            </w:r>
          </w:p>
        </w:tc>
        <w:tc>
          <w:tcPr>
            <w:tcW w:type="dxa" w:w="1170"/>
            <w:tcMar>
              <w:top w:type="dxa" w:w="80"/>
              <w:left w:type="dxa" w:w="100"/>
              <w:bottom w:type="dxa" w:w="80"/>
              <w:right w:type="dxa" w:w="100"/>
            </w:tcMar>
          </w:tcPr>
          <w:p>
            <w:r>
              <w:rPr>
                <w:b w:val="false"/>
                <w:bCs w:val="false"/>
                <w:sz w:val="19"/>
                <w:szCs w:val="19"/>
              </w:rPr>
              <w:t xml:space="preserve">Med</w:t>
            </w:r>
          </w:p>
        </w:tc>
        <w:tc>
          <w:tcPr>
            <w:tcW w:type="dxa" w:w="3744"/>
            <w:tcMar>
              <w:top w:type="dxa" w:w="80"/>
              <w:left w:type="dxa" w:w="100"/>
              <w:bottom w:type="dxa" w:w="80"/>
              <w:right w:type="dxa" w:w="100"/>
            </w:tcMar>
          </w:tcPr>
          <w:p>
            <w:r>
              <w:rPr>
                <w:b w:val="false"/>
                <w:bCs w:val="false"/>
                <w:sz w:val="19"/>
                <w:szCs w:val="19"/>
              </w:rPr>
              <w:t xml:space="preserve">AI classification + confidence threshold + SME review queue for low-confidence cases</w:t>
            </w:r>
          </w:p>
        </w:tc>
      </w:tr>
      <w:tr>
        <w:tc>
          <w:tcPr>
            <w:tcW w:type="dxa" w:w="3276"/>
            <w:shd w:fill="F2F2F2" w:val="clear"/>
            <w:tcMar>
              <w:top w:type="dxa" w:w="80"/>
              <w:left w:type="dxa" w:w="100"/>
              <w:bottom w:type="dxa" w:w="80"/>
              <w:right w:type="dxa" w:w="100"/>
            </w:tcMar>
          </w:tcPr>
          <w:p>
            <w:r>
              <w:rPr>
                <w:b w:val="false"/>
                <w:bCs w:val="false"/>
                <w:sz w:val="19"/>
                <w:szCs w:val="19"/>
              </w:rPr>
              <w:t xml:space="preserve">Key collision with the 1,000 live native issues</w:t>
            </w:r>
          </w:p>
        </w:tc>
        <w:tc>
          <w:tcPr>
            <w:tcW w:type="dxa" w:w="1170"/>
            <w:shd w:fill="F2F2F2" w:val="clear"/>
            <w:tcMar>
              <w:top w:type="dxa" w:w="80"/>
              <w:left w:type="dxa" w:w="100"/>
              <w:bottom w:type="dxa" w:w="80"/>
              <w:right w:type="dxa" w:w="100"/>
            </w:tcMar>
          </w:tcPr>
          <w:p>
            <w:r>
              <w:rPr>
                <w:b w:val="false"/>
                <w:bCs w:val="false"/>
                <w:sz w:val="19"/>
                <w:szCs w:val="19"/>
              </w:rPr>
              <w:t xml:space="preserve">Low</w:t>
            </w:r>
          </w:p>
        </w:tc>
        <w:tc>
          <w:tcPr>
            <w:tcW w:type="dxa" w:w="1170"/>
            <w:shd w:fill="F2F2F2" w:val="clear"/>
            <w:tcMar>
              <w:top w:type="dxa" w:w="80"/>
              <w:left w:type="dxa" w:w="100"/>
              <w:bottom w:type="dxa" w:w="80"/>
              <w:right w:type="dxa" w:w="100"/>
            </w:tcMar>
          </w:tcPr>
          <w:p>
            <w:r>
              <w:rPr>
                <w:b w:val="false"/>
                <w:bCs w:val="false"/>
                <w:sz w:val="19"/>
                <w:szCs w:val="19"/>
              </w:rPr>
              <w:t xml:space="preserve">High</w:t>
            </w:r>
          </w:p>
        </w:tc>
        <w:tc>
          <w:tcPr>
            <w:tcW w:type="dxa" w:w="3744"/>
            <w:shd w:fill="F2F2F2" w:val="clear"/>
            <w:tcMar>
              <w:top w:type="dxa" w:w="80"/>
              <w:left w:type="dxa" w:w="100"/>
              <w:bottom w:type="dxa" w:w="80"/>
              <w:right w:type="dxa" w:w="100"/>
            </w:tcMar>
          </w:tcPr>
          <w:p>
            <w:r>
              <w:rPr>
                <w:b w:val="false"/>
                <w:bCs w:val="false"/>
                <w:sz w:val="19"/>
                <w:szCs w:val="19"/>
              </w:rPr>
              <w:t xml:space="preserve">Never predict target keys; always auto-assign; tag migrated issues distinctly</w:t>
            </w:r>
          </w:p>
        </w:tc>
      </w:tr>
      <w:tr>
        <w:tc>
          <w:tcPr>
            <w:tcW w:type="dxa" w:w="3276"/>
            <w:tcMar>
              <w:top w:type="dxa" w:w="80"/>
              <w:left w:type="dxa" w:w="100"/>
              <w:bottom w:type="dxa" w:w="80"/>
              <w:right w:type="dxa" w:w="100"/>
            </w:tcMar>
          </w:tcPr>
          <w:p>
            <w:r>
              <w:rPr>
                <w:b w:val="false"/>
                <w:bCs w:val="false"/>
                <w:sz w:val="19"/>
                <w:szCs w:val="19"/>
              </w:rPr>
              <w:t xml:space="preserve">Data drift during migration window (users editing ISSP mid-migration)</w:t>
            </w:r>
          </w:p>
        </w:tc>
        <w:tc>
          <w:tcPr>
            <w:tcW w:type="dxa" w:w="1170"/>
            <w:tcMar>
              <w:top w:type="dxa" w:w="80"/>
              <w:left w:type="dxa" w:w="100"/>
              <w:bottom w:type="dxa" w:w="80"/>
              <w:right w:type="dxa" w:w="100"/>
            </w:tcMar>
          </w:tcPr>
          <w:p>
            <w:r>
              <w:rPr>
                <w:b w:val="false"/>
                <w:bCs w:val="false"/>
                <w:sz w:val="19"/>
                <w:szCs w:val="19"/>
              </w:rPr>
              <w:t xml:space="preserve">Med</w:t>
            </w:r>
          </w:p>
        </w:tc>
        <w:tc>
          <w:tcPr>
            <w:tcW w:type="dxa" w:w="1170"/>
            <w:tcMar>
              <w:top w:type="dxa" w:w="80"/>
              <w:left w:type="dxa" w:w="100"/>
              <w:bottom w:type="dxa" w:w="80"/>
              <w:right w:type="dxa" w:w="100"/>
            </w:tcMar>
          </w:tcPr>
          <w:p>
            <w:r>
              <w:rPr>
                <w:b w:val="false"/>
                <w:bCs w:val="false"/>
                <w:sz w:val="19"/>
                <w:szCs w:val="19"/>
              </w:rPr>
              <w:t xml:space="preserve">Med</w:t>
            </w:r>
          </w:p>
        </w:tc>
        <w:tc>
          <w:tcPr>
            <w:tcW w:type="dxa" w:w="3744"/>
            <w:tcMar>
              <w:top w:type="dxa" w:w="80"/>
              <w:left w:type="dxa" w:w="100"/>
              <w:bottom w:type="dxa" w:w="80"/>
              <w:right w:type="dxa" w:w="100"/>
            </w:tcMar>
          </w:tcPr>
          <w:p>
            <w:r>
              <w:rPr>
                <w:b w:val="false"/>
                <w:bCs w:val="false"/>
                <w:sz w:val="19"/>
                <w:szCs w:val="19"/>
              </w:rPr>
              <w:t xml:space="preserve">Short read-only freeze for final delta batch only; batch historical data first (immutable)</w:t>
            </w:r>
          </w:p>
        </w:tc>
      </w:tr>
      <w:tr>
        <w:tc>
          <w:tcPr>
            <w:tcW w:type="dxa" w:w="3276"/>
            <w:shd w:fill="F2F2F2" w:val="clear"/>
            <w:tcMar>
              <w:top w:type="dxa" w:w="80"/>
              <w:left w:type="dxa" w:w="100"/>
              <w:bottom w:type="dxa" w:w="80"/>
              <w:right w:type="dxa" w:w="100"/>
            </w:tcMar>
          </w:tcPr>
          <w:p>
            <w:r>
              <w:rPr>
                <w:b w:val="false"/>
                <w:bCs w:val="false"/>
                <w:sz w:val="19"/>
                <w:szCs w:val="19"/>
              </w:rPr>
              <w:t xml:space="preserve">Hidden custom field IDs mis-mapped, causing silent data loss</w:t>
            </w:r>
          </w:p>
        </w:tc>
        <w:tc>
          <w:tcPr>
            <w:tcW w:type="dxa" w:w="1170"/>
            <w:shd w:fill="F2F2F2" w:val="clear"/>
            <w:tcMar>
              <w:top w:type="dxa" w:w="80"/>
              <w:left w:type="dxa" w:w="100"/>
              <w:bottom w:type="dxa" w:w="80"/>
              <w:right w:type="dxa" w:w="100"/>
            </w:tcMar>
          </w:tcPr>
          <w:p>
            <w:r>
              <w:rPr>
                <w:b w:val="false"/>
                <w:bCs w:val="false"/>
                <w:sz w:val="19"/>
                <w:szCs w:val="19"/>
              </w:rPr>
              <w:t xml:space="preserve">Med</w:t>
            </w:r>
          </w:p>
        </w:tc>
        <w:tc>
          <w:tcPr>
            <w:tcW w:type="dxa" w:w="1170"/>
            <w:shd w:fill="F2F2F2" w:val="clear"/>
            <w:tcMar>
              <w:top w:type="dxa" w:w="80"/>
              <w:left w:type="dxa" w:w="100"/>
              <w:bottom w:type="dxa" w:w="80"/>
              <w:right w:type="dxa" w:w="100"/>
            </w:tcMar>
          </w:tcPr>
          <w:p>
            <w:r>
              <w:rPr>
                <w:b w:val="false"/>
                <w:bCs w:val="false"/>
                <w:sz w:val="19"/>
                <w:szCs w:val="19"/>
              </w:rPr>
              <w:t xml:space="preserve">High</w:t>
            </w:r>
          </w:p>
        </w:tc>
        <w:tc>
          <w:tcPr>
            <w:tcW w:type="dxa" w:w="3744"/>
            <w:shd w:fill="F2F2F2" w:val="clear"/>
            <w:tcMar>
              <w:top w:type="dxa" w:w="80"/>
              <w:left w:type="dxa" w:w="100"/>
              <w:bottom w:type="dxa" w:w="80"/>
              <w:right w:type="dxa" w:w="100"/>
            </w:tcMar>
          </w:tcPr>
          <w:p>
            <w:r>
              <w:rPr>
                <w:b w:val="false"/>
                <w:bCs w:val="false"/>
                <w:sz w:val="19"/>
                <w:szCs w:val="19"/>
              </w:rPr>
              <w:t xml:space="preserve">Full schema export &amp; mapping sign-off before engineering; automated field-diff validation post-load</w:t>
            </w:r>
          </w:p>
        </w:tc>
      </w:tr>
      <w:tr>
        <w:tc>
          <w:tcPr>
            <w:tcW w:type="dxa" w:w="3276"/>
            <w:tcMar>
              <w:top w:type="dxa" w:w="80"/>
              <w:left w:type="dxa" w:w="100"/>
              <w:bottom w:type="dxa" w:w="80"/>
              <w:right w:type="dxa" w:w="100"/>
            </w:tcMar>
          </w:tcPr>
          <w:p>
            <w:r>
              <w:rPr>
                <w:b w:val="false"/>
                <w:bCs w:val="false"/>
                <w:sz w:val="19"/>
                <w:szCs w:val="19"/>
              </w:rPr>
              <w:t xml:space="preserve">Attachment/comment loss due to API limits</w:t>
            </w:r>
          </w:p>
        </w:tc>
        <w:tc>
          <w:tcPr>
            <w:tcW w:type="dxa" w:w="1170"/>
            <w:tcMar>
              <w:top w:type="dxa" w:w="80"/>
              <w:left w:type="dxa" w:w="100"/>
              <w:bottom w:type="dxa" w:w="80"/>
              <w:right w:type="dxa" w:w="100"/>
            </w:tcMar>
          </w:tcPr>
          <w:p>
            <w:r>
              <w:rPr>
                <w:b w:val="false"/>
                <w:bCs w:val="false"/>
                <w:sz w:val="19"/>
                <w:szCs w:val="19"/>
              </w:rPr>
              <w:t xml:space="preserve">Low</w:t>
            </w:r>
          </w:p>
        </w:tc>
        <w:tc>
          <w:tcPr>
            <w:tcW w:type="dxa" w:w="1170"/>
            <w:tcMar>
              <w:top w:type="dxa" w:w="80"/>
              <w:left w:type="dxa" w:w="100"/>
              <w:bottom w:type="dxa" w:w="80"/>
              <w:right w:type="dxa" w:w="100"/>
            </w:tcMar>
          </w:tcPr>
          <w:p>
            <w:r>
              <w:rPr>
                <w:b w:val="false"/>
                <w:bCs w:val="false"/>
                <w:sz w:val="19"/>
                <w:szCs w:val="19"/>
              </w:rPr>
              <w:t xml:space="preserve">Med</w:t>
            </w:r>
          </w:p>
        </w:tc>
        <w:tc>
          <w:tcPr>
            <w:tcW w:type="dxa" w:w="3744"/>
            <w:tcMar>
              <w:top w:type="dxa" w:w="80"/>
              <w:left w:type="dxa" w:w="100"/>
              <w:bottom w:type="dxa" w:w="80"/>
              <w:right w:type="dxa" w:w="100"/>
            </w:tcMar>
          </w:tcPr>
          <w:p>
            <w:r>
              <w:rPr>
                <w:b w:val="false"/>
                <w:bCs w:val="false"/>
                <w:sz w:val="19"/>
                <w:szCs w:val="19"/>
              </w:rPr>
              <w:t xml:space="preserve">Batch size tuning, retry logic, post-load attachment count reconciliation</w:t>
            </w:r>
          </w:p>
        </w:tc>
      </w:tr>
      <w:tr>
        <w:tc>
          <w:tcPr>
            <w:tcW w:type="dxa" w:w="3276"/>
            <w:shd w:fill="F2F2F2" w:val="clear"/>
            <w:tcMar>
              <w:top w:type="dxa" w:w="80"/>
              <w:left w:type="dxa" w:w="100"/>
              <w:bottom w:type="dxa" w:w="80"/>
              <w:right w:type="dxa" w:w="100"/>
            </w:tcMar>
          </w:tcPr>
          <w:p>
            <w:r>
              <w:rPr>
                <w:b w:val="false"/>
                <w:bCs w:val="false"/>
                <w:sz w:val="19"/>
                <w:szCs w:val="19"/>
              </w:rPr>
              <w:t xml:space="preserve">Target system performance impact on live users during load</w:t>
            </w:r>
          </w:p>
        </w:tc>
        <w:tc>
          <w:tcPr>
            <w:tcW w:type="dxa" w:w="1170"/>
            <w:shd w:fill="F2F2F2" w:val="clear"/>
            <w:tcMar>
              <w:top w:type="dxa" w:w="80"/>
              <w:left w:type="dxa" w:w="100"/>
              <w:bottom w:type="dxa" w:w="80"/>
              <w:right w:type="dxa" w:w="100"/>
            </w:tcMar>
          </w:tcPr>
          <w:p>
            <w:r>
              <w:rPr>
                <w:b w:val="false"/>
                <w:bCs w:val="false"/>
                <w:sz w:val="19"/>
                <w:szCs w:val="19"/>
              </w:rPr>
              <w:t xml:space="preserve">Low</w:t>
            </w:r>
          </w:p>
        </w:tc>
        <w:tc>
          <w:tcPr>
            <w:tcW w:type="dxa" w:w="1170"/>
            <w:shd w:fill="F2F2F2" w:val="clear"/>
            <w:tcMar>
              <w:top w:type="dxa" w:w="80"/>
              <w:left w:type="dxa" w:w="100"/>
              <w:bottom w:type="dxa" w:w="80"/>
              <w:right w:type="dxa" w:w="100"/>
            </w:tcMar>
          </w:tcPr>
          <w:p>
            <w:r>
              <w:rPr>
                <w:b w:val="false"/>
                <w:bCs w:val="false"/>
                <w:sz w:val="19"/>
                <w:szCs w:val="19"/>
              </w:rPr>
              <w:t xml:space="preserve">Med</w:t>
            </w:r>
          </w:p>
        </w:tc>
        <w:tc>
          <w:tcPr>
            <w:tcW w:type="dxa" w:w="3744"/>
            <w:shd w:fill="F2F2F2" w:val="clear"/>
            <w:tcMar>
              <w:top w:type="dxa" w:w="80"/>
              <w:left w:type="dxa" w:w="100"/>
              <w:bottom w:type="dxa" w:w="80"/>
              <w:right w:type="dxa" w:w="100"/>
            </w:tcMar>
          </w:tcPr>
          <w:p>
            <w:r>
              <w:rPr>
                <w:b w:val="false"/>
                <w:bCs w:val="false"/>
                <w:sz w:val="19"/>
                <w:szCs w:val="19"/>
              </w:rPr>
              <w:t xml:space="preserve">Load during low-traffic windows; rate-limit-aware batching; monitor target cluster health</w:t>
            </w:r>
          </w:p>
        </w:tc>
      </w:tr>
      <w:tr>
        <w:tc>
          <w:tcPr>
            <w:tcW w:type="dxa" w:w="3276"/>
            <w:tcMar>
              <w:top w:type="dxa" w:w="80"/>
              <w:left w:type="dxa" w:w="100"/>
              <w:bottom w:type="dxa" w:w="80"/>
              <w:right w:type="dxa" w:w="100"/>
            </w:tcMar>
          </w:tcPr>
          <w:p>
            <w:r>
              <w:rPr>
                <w:b w:val="false"/>
                <w:bCs w:val="false"/>
                <w:sz w:val="19"/>
                <w:szCs w:val="19"/>
              </w:rPr>
              <w:t xml:space="preserve">Scope creep (dashboards/automations assumed in-scope)</w:t>
            </w:r>
          </w:p>
        </w:tc>
        <w:tc>
          <w:tcPr>
            <w:tcW w:type="dxa" w:w="1170"/>
            <w:tcMar>
              <w:top w:type="dxa" w:w="80"/>
              <w:left w:type="dxa" w:w="100"/>
              <w:bottom w:type="dxa" w:w="80"/>
              <w:right w:type="dxa" w:w="100"/>
            </w:tcMar>
          </w:tcPr>
          <w:p>
            <w:r>
              <w:rPr>
                <w:b w:val="false"/>
                <w:bCs w:val="false"/>
                <w:sz w:val="19"/>
                <w:szCs w:val="19"/>
              </w:rPr>
              <w:t xml:space="preserve">Med</w:t>
            </w:r>
          </w:p>
        </w:tc>
        <w:tc>
          <w:tcPr>
            <w:tcW w:type="dxa" w:w="1170"/>
            <w:tcMar>
              <w:top w:type="dxa" w:w="80"/>
              <w:left w:type="dxa" w:w="100"/>
              <w:bottom w:type="dxa" w:w="80"/>
              <w:right w:type="dxa" w:w="100"/>
            </w:tcMar>
          </w:tcPr>
          <w:p>
            <w:r>
              <w:rPr>
                <w:b w:val="false"/>
                <w:bCs w:val="false"/>
                <w:sz w:val="19"/>
                <w:szCs w:val="19"/>
              </w:rPr>
              <w:t xml:space="preserve">Low</w:t>
            </w:r>
          </w:p>
        </w:tc>
        <w:tc>
          <w:tcPr>
            <w:tcW w:type="dxa" w:w="3744"/>
            <w:tcMar>
              <w:top w:type="dxa" w:w="80"/>
              <w:left w:type="dxa" w:w="100"/>
              <w:bottom w:type="dxa" w:w="80"/>
              <w:right w:type="dxa" w:w="100"/>
            </w:tcMar>
          </w:tcPr>
          <w:p>
            <w:r>
              <w:rPr>
                <w:b w:val="false"/>
                <w:bCs w:val="false"/>
                <w:sz w:val="19"/>
                <w:szCs w:val="19"/>
              </w:rPr>
              <w:t xml:space="preserve">Explicit out-of-scope statement in this runbook, signed off at kickoff</w:t>
            </w:r>
          </w:p>
        </w:tc>
      </w:tr>
      <w:tr>
        <w:tc>
          <w:tcPr>
            <w:tcW w:type="dxa" w:w="3276"/>
            <w:shd w:fill="F2F2F2" w:val="clear"/>
            <w:tcMar>
              <w:top w:type="dxa" w:w="80"/>
              <w:left w:type="dxa" w:w="100"/>
              <w:bottom w:type="dxa" w:w="80"/>
              <w:right w:type="dxa" w:w="100"/>
            </w:tcMar>
          </w:tcPr>
          <w:p>
            <w:r>
              <w:rPr>
                <w:b w:val="false"/>
                <w:bCs w:val="false"/>
                <w:sz w:val="19"/>
                <w:szCs w:val="19"/>
              </w:rPr>
              <w:t xml:space="preserve">Departed users left in Assignee/Reporter cause failed issue creation (Reporter cannot be null)</w:t>
            </w:r>
          </w:p>
        </w:tc>
        <w:tc>
          <w:tcPr>
            <w:tcW w:type="dxa" w:w="1170"/>
            <w:shd w:fill="F2F2F2" w:val="clear"/>
            <w:tcMar>
              <w:top w:type="dxa" w:w="80"/>
              <w:left w:type="dxa" w:w="100"/>
              <w:bottom w:type="dxa" w:w="80"/>
              <w:right w:type="dxa" w:w="100"/>
            </w:tcMar>
          </w:tcPr>
          <w:p>
            <w:r>
              <w:rPr>
                <w:b w:val="false"/>
                <w:bCs w:val="false"/>
                <w:sz w:val="19"/>
                <w:szCs w:val="19"/>
              </w:rPr>
              <w:t xml:space="preserve">Med</w:t>
            </w:r>
          </w:p>
        </w:tc>
        <w:tc>
          <w:tcPr>
            <w:tcW w:type="dxa" w:w="1170"/>
            <w:shd w:fill="F2F2F2" w:val="clear"/>
            <w:tcMar>
              <w:top w:type="dxa" w:w="80"/>
              <w:left w:type="dxa" w:w="100"/>
              <w:bottom w:type="dxa" w:w="80"/>
              <w:right w:type="dxa" w:w="100"/>
            </w:tcMar>
          </w:tcPr>
          <w:p>
            <w:r>
              <w:rPr>
                <w:b w:val="false"/>
                <w:bCs w:val="false"/>
                <w:sz w:val="19"/>
                <w:szCs w:val="19"/>
              </w:rPr>
              <w:t xml:space="preserve">High</w:t>
            </w:r>
          </w:p>
        </w:tc>
        <w:tc>
          <w:tcPr>
            <w:tcW w:type="dxa" w:w="3744"/>
            <w:shd w:fill="F2F2F2" w:val="clear"/>
            <w:tcMar>
              <w:top w:type="dxa" w:w="80"/>
              <w:left w:type="dxa" w:w="100"/>
              <w:bottom w:type="dxa" w:w="80"/>
              <w:right w:type="dxa" w:w="100"/>
            </w:tcMar>
          </w:tcPr>
          <w:p>
            <w:r>
              <w:rPr>
                <w:b w:val="false"/>
                <w:bCs w:val="false"/>
                <w:sz w:val="19"/>
                <w:szCs w:val="19"/>
              </w:rPr>
              <w:t xml:space="preserve">User directory reconciliation in Phase 0; Assignee -&gt; Unassigned (with permission pre-check); Reporter -&gt; fallback account + original name preserved in custom field</w:t>
            </w:r>
          </w:p>
        </w:tc>
      </w:tr>
    </w:tbl>
    <w:p>
      <w:pPr>
        <w:pStyle w:val="Heading1"/>
        <w:spacing w:after="200" w:before="400"/>
      </w:pPr>
      <w:r>
        <w:t xml:space="preserve">11. Validation &amp; Reconciliation Plan</w:t>
      </w:r>
    </w:p>
    <w:p>
      <w:pPr>
        <w:pStyle w:val="ListParagraph"/>
        <w:numPr>
          <w:ilvl w:val="0"/>
          <w:numId w:val="1"/>
        </w:numPr>
        <w:spacing w:after="80"/>
      </w:pPr>
      <w:r>
        <w:t xml:space="preserve">Count reconciliation: source issue count per status/component vs. migrated count in target, per batch.</w:t>
      </w:r>
    </w:p>
    <w:p>
      <w:pPr>
        <w:pStyle w:val="ListParagraph"/>
        <w:numPr>
          <w:ilvl w:val="0"/>
          <w:numId w:val="1"/>
        </w:numPr>
        <w:spacing w:after="80"/>
      </w:pPr>
      <w:r>
        <w:t xml:space="preserve">Field-level sampling diff: automated comparison of a statistically significant sample per batch (e.g., 5–10%) across all mapped fields.</w:t>
      </w:r>
    </w:p>
    <w:p>
      <w:pPr>
        <w:pStyle w:val="ListParagraph"/>
        <w:numPr>
          <w:ilvl w:val="0"/>
          <w:numId w:val="1"/>
        </w:numPr>
        <w:spacing w:after="80"/>
      </w:pPr>
      <w:r>
        <w:t xml:space="preserve">Attachment &amp; link integrity check: verify attachment counts/checksums and that issue links resolve to the correct migrated target keys.</w:t>
      </w:r>
    </w:p>
    <w:p>
      <w:pPr>
        <w:pStyle w:val="ListParagraph"/>
        <w:numPr>
          <w:ilvl w:val="0"/>
          <w:numId w:val="1"/>
        </w:numPr>
        <w:spacing w:after="80"/>
      </w:pPr>
      <w:r>
        <w:t xml:space="preserve">SME spot-check sign-off: business SMEs review a sample of migrated issues per batch, focused on status and priority correctness.</w:t>
      </w:r>
    </w:p>
    <w:p>
      <w:pPr>
        <w:pStyle w:val="ListParagraph"/>
        <w:numPr>
          <w:ilvl w:val="0"/>
          <w:numId w:val="1"/>
        </w:numPr>
        <w:spacing w:after="80"/>
      </w:pPr>
      <w:r>
        <w:t xml:space="preserve">AI-assisted anomaly flagging: outlier issues (missing mandatory fields, unusual field combinations) are flagged automatically for manual review.</w:t>
      </w:r>
    </w:p>
    <w:p>
      <w:pPr>
        <w:pStyle w:val="ListParagraph"/>
        <w:numPr>
          <w:ilvl w:val="0"/>
          <w:numId w:val="1"/>
        </w:numPr>
        <w:spacing w:after="80"/>
      </w:pPr>
      <w:r>
        <w:t xml:space="preserve">Final closeout reconciliation: full count and integrity check across all ~11,000 issues before ISSP is set to permanent read-only archive.</w:t>
      </w:r>
    </w:p>
    <w:p>
      <w:pPr>
        <w:pStyle w:val="Heading1"/>
        <w:spacing w:after="200" w:before="400"/>
      </w:pPr>
      <w:r>
        <w:t xml:space="preserve">12. Rollback &amp; Contingency Plan</w:t>
      </w:r>
    </w:p>
    <w:p>
      <w:pPr>
        <w:pStyle w:val="ListParagraph"/>
        <w:numPr>
          <w:ilvl w:val="0"/>
          <w:numId w:val="1"/>
        </w:numPr>
        <w:spacing w:after="80"/>
      </w:pPr>
      <w:r>
        <w:t xml:space="preserve">Source (ISSP) is never deleted or modified — it remains available as the system of record until final sign-off, providing a natural rollback point.</w:t>
      </w:r>
    </w:p>
    <w:p>
      <w:pPr>
        <w:pStyle w:val="ListParagraph"/>
        <w:numPr>
          <w:ilvl w:val="0"/>
          <w:numId w:val="1"/>
        </w:numPr>
        <w:spacing w:after="80"/>
      </w:pPr>
      <w:r>
        <w:t xml:space="preserve">Every migrated issue is traceable via the migrated_from tag and the permanent key-mapping registry, so a bad batch can be identified precisely.</w:t>
      </w:r>
    </w:p>
    <w:p>
      <w:pPr>
        <w:pStyle w:val="ListParagraph"/>
        <w:numPr>
          <w:ilvl w:val="0"/>
          <w:numId w:val="1"/>
        </w:numPr>
        <w:spacing w:after="80"/>
      </w:pPr>
      <w:r>
        <w:t xml:space="preserve">Because loads are idempotent, a failed or incorrect batch can be deleted from the target (migrated issues only, identified by tag) and re-run after fixing the mapping — without affecting native TtCAAS1443 issues.</w:t>
      </w:r>
    </w:p>
    <w:p>
      <w:pPr>
        <w:pStyle w:val="ListParagraph"/>
        <w:numPr>
          <w:ilvl w:val="0"/>
          <w:numId w:val="1"/>
        </w:numPr>
        <w:spacing w:after="80"/>
      </w:pPr>
      <w:r>
        <w:t xml:space="preserve">Go/no-go checkpoints at the end of Phase 3 (pilot) and Phase 5 (cutover) give explicit points to halt and remediate before scaling further.</w:t>
      </w:r>
    </w:p>
    <w:p>
      <w:pPr>
        <w:pStyle w:val="Heading1"/>
        <w:spacing w:after="200" w:before="400"/>
      </w:pPr>
      <w:r>
        <w:t xml:space="preserve">13. Communication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404"/>
        <w:gridCol w:w="2340"/>
      </w:tblGrid>
      <w:tr>
        <w:trPr>
          <w:tblHeader/>
        </w:trPr>
        <w:tc>
          <w:tcPr>
            <w:tcW w:type="dxa" w:w="2808"/>
            <w:shd w:fill="1F4E79" w:val="clear"/>
            <w:tcMar>
              <w:top w:type="dxa" w:w="80"/>
              <w:left w:type="dxa" w:w="100"/>
              <w:bottom w:type="dxa" w:w="80"/>
              <w:right w:type="dxa" w:w="100"/>
            </w:tcMar>
          </w:tcPr>
          <w:p>
            <w:r>
              <w:rPr>
                <w:b/>
                <w:bCs/>
                <w:color w:val="FFFFFF"/>
                <w:sz w:val="20"/>
                <w:szCs w:val="20"/>
              </w:rPr>
              <w:t xml:space="preserve">Communication</w:t>
            </w:r>
          </w:p>
        </w:tc>
        <w:tc>
          <w:tcPr>
            <w:tcW w:type="dxa" w:w="2808"/>
            <w:shd w:fill="1F4E79" w:val="clear"/>
            <w:tcMar>
              <w:top w:type="dxa" w:w="80"/>
              <w:left w:type="dxa" w:w="100"/>
              <w:bottom w:type="dxa" w:w="80"/>
              <w:right w:type="dxa" w:w="100"/>
            </w:tcMar>
          </w:tcPr>
          <w:p>
            <w:r>
              <w:rPr>
                <w:b/>
                <w:bCs/>
                <w:color w:val="FFFFFF"/>
                <w:sz w:val="20"/>
                <w:szCs w:val="20"/>
              </w:rPr>
              <w:t xml:space="preserve">Audience</w:t>
            </w:r>
          </w:p>
        </w:tc>
        <w:tc>
          <w:tcPr>
            <w:tcW w:type="dxa" w:w="1404"/>
            <w:shd w:fill="1F4E79" w:val="clear"/>
            <w:tcMar>
              <w:top w:type="dxa" w:w="80"/>
              <w:left w:type="dxa" w:w="100"/>
              <w:bottom w:type="dxa" w:w="80"/>
              <w:right w:type="dxa" w:w="100"/>
            </w:tcMar>
          </w:tcPr>
          <w:p>
            <w:r>
              <w:rPr>
                <w:b/>
                <w:bCs/>
                <w:color w:val="FFFFFF"/>
                <w:sz w:val="20"/>
                <w:szCs w:val="20"/>
              </w:rPr>
              <w:t xml:space="preserve">Owner</w:t>
            </w:r>
          </w:p>
        </w:tc>
        <w:tc>
          <w:tcPr>
            <w:tcW w:type="dxa" w:w="2340"/>
            <w:shd w:fill="1F4E79" w:val="clear"/>
            <w:tcMar>
              <w:top w:type="dxa" w:w="80"/>
              <w:left w:type="dxa" w:w="100"/>
              <w:bottom w:type="dxa" w:w="80"/>
              <w:right w:type="dxa" w:w="100"/>
            </w:tcMar>
          </w:tcPr>
          <w:p>
            <w:r>
              <w:rPr>
                <w:b/>
                <w:bCs/>
                <w:color w:val="FFFFFF"/>
                <w:sz w:val="20"/>
                <w:szCs w:val="20"/>
              </w:rPr>
              <w:t xml:space="preserve">Timing</w:t>
            </w:r>
          </w:p>
        </w:tc>
      </w:tr>
      <w:tr>
        <w:tc>
          <w:tcPr>
            <w:tcW w:type="dxa" w:w="2808"/>
            <w:tcMar>
              <w:top w:type="dxa" w:w="80"/>
              <w:left w:type="dxa" w:w="100"/>
              <w:bottom w:type="dxa" w:w="80"/>
              <w:right w:type="dxa" w:w="100"/>
            </w:tcMar>
          </w:tcPr>
          <w:p>
            <w:r>
              <w:rPr>
                <w:b w:val="false"/>
                <w:bCs w:val="false"/>
                <w:sz w:val="19"/>
                <w:szCs w:val="19"/>
              </w:rPr>
              <w:t xml:space="preserve">Kickoff &amp; scope confirmation</w:t>
            </w:r>
          </w:p>
        </w:tc>
        <w:tc>
          <w:tcPr>
            <w:tcW w:type="dxa" w:w="2808"/>
            <w:tcMar>
              <w:top w:type="dxa" w:w="80"/>
              <w:left w:type="dxa" w:w="100"/>
              <w:bottom w:type="dxa" w:w="80"/>
              <w:right w:type="dxa" w:w="100"/>
            </w:tcMar>
          </w:tcPr>
          <w:p>
            <w:r>
              <w:rPr>
                <w:b w:val="false"/>
                <w:bCs w:val="false"/>
                <w:sz w:val="19"/>
                <w:szCs w:val="19"/>
              </w:rPr>
              <w:t xml:space="preserve">Both team leads, Sponsor, Platform Admins</w:t>
            </w:r>
          </w:p>
        </w:tc>
        <w:tc>
          <w:tcPr>
            <w:tcW w:type="dxa" w:w="1404"/>
            <w:tcMar>
              <w:top w:type="dxa" w:w="80"/>
              <w:left w:type="dxa" w:w="100"/>
              <w:bottom w:type="dxa" w:w="80"/>
              <w:right w:type="dxa" w:w="100"/>
            </w:tcMar>
          </w:tcPr>
          <w:p>
            <w:r>
              <w:rPr>
                <w:b w:val="false"/>
                <w:bCs w:val="false"/>
                <w:sz w:val="19"/>
                <w:szCs w:val="19"/>
              </w:rPr>
              <w:t xml:space="preserve">You</w:t>
            </w:r>
          </w:p>
        </w:tc>
        <w:tc>
          <w:tcPr>
            <w:tcW w:type="dxa" w:w="2340"/>
            <w:tcMar>
              <w:top w:type="dxa" w:w="80"/>
              <w:left w:type="dxa" w:w="100"/>
              <w:bottom w:type="dxa" w:w="80"/>
              <w:right w:type="dxa" w:w="100"/>
            </w:tcMar>
          </w:tcPr>
          <w:p>
            <w:r>
              <w:rPr>
                <w:b w:val="false"/>
                <w:bCs w:val="false"/>
                <w:sz w:val="19"/>
                <w:szCs w:val="19"/>
              </w:rPr>
              <w:t xml:space="preserve">Start of Phase 0</w:t>
            </w:r>
          </w:p>
        </w:tc>
      </w:tr>
      <w:tr>
        <w:tc>
          <w:tcPr>
            <w:tcW w:type="dxa" w:w="2808"/>
            <w:shd w:fill="F2F2F2" w:val="clear"/>
            <w:tcMar>
              <w:top w:type="dxa" w:w="80"/>
              <w:left w:type="dxa" w:w="100"/>
              <w:bottom w:type="dxa" w:w="80"/>
              <w:right w:type="dxa" w:w="100"/>
            </w:tcMar>
          </w:tcPr>
          <w:p>
            <w:r>
              <w:rPr>
                <w:b w:val="false"/>
                <w:bCs w:val="false"/>
                <w:sz w:val="19"/>
                <w:szCs w:val="19"/>
              </w:rPr>
              <w:t xml:space="preserve">Mapping sign-off request</w:t>
            </w:r>
          </w:p>
        </w:tc>
        <w:tc>
          <w:tcPr>
            <w:tcW w:type="dxa" w:w="2808"/>
            <w:shd w:fill="F2F2F2" w:val="clear"/>
            <w:tcMar>
              <w:top w:type="dxa" w:w="80"/>
              <w:left w:type="dxa" w:w="100"/>
              <w:bottom w:type="dxa" w:w="80"/>
              <w:right w:type="dxa" w:w="100"/>
            </w:tcMar>
          </w:tcPr>
          <w:p>
            <w:r>
              <w:rPr>
                <w:b w:val="false"/>
                <w:bCs w:val="false"/>
                <w:sz w:val="19"/>
                <w:szCs w:val="19"/>
              </w:rPr>
              <w:t xml:space="preserve">SMEs, both teams</w:t>
            </w:r>
          </w:p>
        </w:tc>
        <w:tc>
          <w:tcPr>
            <w:tcW w:type="dxa" w:w="1404"/>
            <w:shd w:fill="F2F2F2" w:val="clear"/>
            <w:tcMar>
              <w:top w:type="dxa" w:w="80"/>
              <w:left w:type="dxa" w:w="100"/>
              <w:bottom w:type="dxa" w:w="80"/>
              <w:right w:type="dxa" w:w="100"/>
            </w:tcMar>
          </w:tcPr>
          <w:p>
            <w:r>
              <w:rPr>
                <w:b w:val="false"/>
                <w:bCs w:val="false"/>
                <w:sz w:val="19"/>
                <w:szCs w:val="19"/>
              </w:rPr>
              <w:t xml:space="preserve">You</w:t>
            </w:r>
          </w:p>
        </w:tc>
        <w:tc>
          <w:tcPr>
            <w:tcW w:type="dxa" w:w="2340"/>
            <w:shd w:fill="F2F2F2" w:val="clear"/>
            <w:tcMar>
              <w:top w:type="dxa" w:w="80"/>
              <w:left w:type="dxa" w:w="100"/>
              <w:bottom w:type="dxa" w:w="80"/>
              <w:right w:type="dxa" w:w="100"/>
            </w:tcMar>
          </w:tcPr>
          <w:p>
            <w:r>
              <w:rPr>
                <w:b w:val="false"/>
                <w:bCs w:val="false"/>
                <w:sz w:val="19"/>
                <w:szCs w:val="19"/>
              </w:rPr>
              <w:t xml:space="preserve">End of Phase 1</w:t>
            </w:r>
          </w:p>
        </w:tc>
      </w:tr>
      <w:tr>
        <w:tc>
          <w:tcPr>
            <w:tcW w:type="dxa" w:w="2808"/>
            <w:tcMar>
              <w:top w:type="dxa" w:w="80"/>
              <w:left w:type="dxa" w:w="100"/>
              <w:bottom w:type="dxa" w:w="80"/>
              <w:right w:type="dxa" w:w="100"/>
            </w:tcMar>
          </w:tcPr>
          <w:p>
            <w:r>
              <w:rPr>
                <w:b w:val="false"/>
                <w:bCs w:val="false"/>
                <w:sz w:val="19"/>
                <w:szCs w:val="19"/>
              </w:rPr>
              <w:t xml:space="preserve">Pilot batch results</w:t>
            </w:r>
          </w:p>
        </w:tc>
        <w:tc>
          <w:tcPr>
            <w:tcW w:type="dxa" w:w="2808"/>
            <w:tcMar>
              <w:top w:type="dxa" w:w="80"/>
              <w:left w:type="dxa" w:w="100"/>
              <w:bottom w:type="dxa" w:w="80"/>
              <w:right w:type="dxa" w:w="100"/>
            </w:tcMar>
          </w:tcPr>
          <w:p>
            <w:r>
              <w:rPr>
                <w:b w:val="false"/>
                <w:bCs w:val="false"/>
                <w:sz w:val="19"/>
                <w:szCs w:val="19"/>
              </w:rPr>
              <w:t xml:space="preserve">Both team leads, Sponsor</w:t>
            </w:r>
          </w:p>
        </w:tc>
        <w:tc>
          <w:tcPr>
            <w:tcW w:type="dxa" w:w="1404"/>
            <w:tcMar>
              <w:top w:type="dxa" w:w="80"/>
              <w:left w:type="dxa" w:w="100"/>
              <w:bottom w:type="dxa" w:w="80"/>
              <w:right w:type="dxa" w:w="100"/>
            </w:tcMar>
          </w:tcPr>
          <w:p>
            <w:r>
              <w:rPr>
                <w:b w:val="false"/>
                <w:bCs w:val="false"/>
                <w:sz w:val="19"/>
                <w:szCs w:val="19"/>
              </w:rPr>
              <w:t xml:space="preserve">You + QA</w:t>
            </w:r>
          </w:p>
        </w:tc>
        <w:tc>
          <w:tcPr>
            <w:tcW w:type="dxa" w:w="2340"/>
            <w:tcMar>
              <w:top w:type="dxa" w:w="80"/>
              <w:left w:type="dxa" w:w="100"/>
              <w:bottom w:type="dxa" w:w="80"/>
              <w:right w:type="dxa" w:w="100"/>
            </w:tcMar>
          </w:tcPr>
          <w:p>
            <w:r>
              <w:rPr>
                <w:b w:val="false"/>
                <w:bCs w:val="false"/>
                <w:sz w:val="19"/>
                <w:szCs w:val="19"/>
              </w:rPr>
              <w:t xml:space="preserve">End of Phase 3</w:t>
            </w:r>
          </w:p>
        </w:tc>
      </w:tr>
      <w:tr>
        <w:tc>
          <w:tcPr>
            <w:tcW w:type="dxa" w:w="2808"/>
            <w:shd w:fill="F2F2F2" w:val="clear"/>
            <w:tcMar>
              <w:top w:type="dxa" w:w="80"/>
              <w:left w:type="dxa" w:w="100"/>
              <w:bottom w:type="dxa" w:w="80"/>
              <w:right w:type="dxa" w:w="100"/>
            </w:tcMar>
          </w:tcPr>
          <w:p>
            <w:r>
              <w:rPr>
                <w:b w:val="false"/>
                <w:bCs w:val="false"/>
                <w:sz w:val="19"/>
                <w:szCs w:val="19"/>
              </w:rPr>
              <w:t xml:space="preserve">Freeze window announcement (ISSP read-only)</w:t>
            </w:r>
          </w:p>
        </w:tc>
        <w:tc>
          <w:tcPr>
            <w:tcW w:type="dxa" w:w="2808"/>
            <w:shd w:fill="F2F2F2" w:val="clear"/>
            <w:tcMar>
              <w:top w:type="dxa" w:w="80"/>
              <w:left w:type="dxa" w:w="100"/>
              <w:bottom w:type="dxa" w:w="80"/>
              <w:right w:type="dxa" w:w="100"/>
            </w:tcMar>
          </w:tcPr>
          <w:p>
            <w:r>
              <w:rPr>
                <w:b w:val="false"/>
                <w:bCs w:val="false"/>
                <w:sz w:val="19"/>
                <w:szCs w:val="19"/>
              </w:rPr>
              <w:t xml:space="preserve">All ISSP users</w:t>
            </w:r>
          </w:p>
        </w:tc>
        <w:tc>
          <w:tcPr>
            <w:tcW w:type="dxa" w:w="1404"/>
            <w:shd w:fill="F2F2F2" w:val="clear"/>
            <w:tcMar>
              <w:top w:type="dxa" w:w="80"/>
              <w:left w:type="dxa" w:w="100"/>
              <w:bottom w:type="dxa" w:w="80"/>
              <w:right w:type="dxa" w:w="100"/>
            </w:tcMar>
          </w:tcPr>
          <w:p>
            <w:r>
              <w:rPr>
                <w:b w:val="false"/>
                <w:bCs w:val="false"/>
                <w:sz w:val="19"/>
                <w:szCs w:val="19"/>
              </w:rPr>
              <w:t xml:space="preserve">You + Source Platform Admin</w:t>
            </w:r>
          </w:p>
        </w:tc>
        <w:tc>
          <w:tcPr>
            <w:tcW w:type="dxa" w:w="2340"/>
            <w:shd w:fill="F2F2F2" w:val="clear"/>
            <w:tcMar>
              <w:top w:type="dxa" w:w="80"/>
              <w:left w:type="dxa" w:w="100"/>
              <w:bottom w:type="dxa" w:w="80"/>
              <w:right w:type="dxa" w:w="100"/>
            </w:tcMar>
          </w:tcPr>
          <w:p>
            <w:r>
              <w:rPr>
                <w:b w:val="false"/>
                <w:bCs w:val="false"/>
                <w:sz w:val="19"/>
                <w:szCs w:val="19"/>
              </w:rPr>
              <w:t xml:space="preserve">1 week before Phase 5, then day-of reminder</w:t>
            </w:r>
          </w:p>
        </w:tc>
      </w:tr>
      <w:tr>
        <w:tc>
          <w:tcPr>
            <w:tcW w:type="dxa" w:w="2808"/>
            <w:tcMar>
              <w:top w:type="dxa" w:w="80"/>
              <w:left w:type="dxa" w:w="100"/>
              <w:bottom w:type="dxa" w:w="80"/>
              <w:right w:type="dxa" w:w="100"/>
            </w:tcMar>
          </w:tcPr>
          <w:p>
            <w:r>
              <w:rPr>
                <w:b w:val="false"/>
                <w:bCs w:val="false"/>
                <w:sz w:val="19"/>
                <w:szCs w:val="19"/>
              </w:rPr>
              <w:t xml:space="preserve">Cutover complete / go-live confirmation</w:t>
            </w:r>
          </w:p>
        </w:tc>
        <w:tc>
          <w:tcPr>
            <w:tcW w:type="dxa" w:w="2808"/>
            <w:tcMar>
              <w:top w:type="dxa" w:w="80"/>
              <w:left w:type="dxa" w:w="100"/>
              <w:bottom w:type="dxa" w:w="80"/>
              <w:right w:type="dxa" w:w="100"/>
            </w:tcMar>
          </w:tcPr>
          <w:p>
            <w:r>
              <w:rPr>
                <w:b w:val="false"/>
                <w:bCs w:val="false"/>
                <w:sz w:val="19"/>
                <w:szCs w:val="19"/>
              </w:rPr>
              <w:t xml:space="preserve">All TtCAAS1443 users, Sponsor</w:t>
            </w:r>
          </w:p>
        </w:tc>
        <w:tc>
          <w:tcPr>
            <w:tcW w:type="dxa" w:w="1404"/>
            <w:tcMar>
              <w:top w:type="dxa" w:w="80"/>
              <w:left w:type="dxa" w:w="100"/>
              <w:bottom w:type="dxa" w:w="80"/>
              <w:right w:type="dxa" w:w="100"/>
            </w:tcMar>
          </w:tcPr>
          <w:p>
            <w:r>
              <w:rPr>
                <w:b w:val="false"/>
                <w:bCs w:val="false"/>
                <w:sz w:val="19"/>
                <w:szCs w:val="19"/>
              </w:rPr>
              <w:t xml:space="preserve">You</w:t>
            </w:r>
          </w:p>
        </w:tc>
        <w:tc>
          <w:tcPr>
            <w:tcW w:type="dxa" w:w="2340"/>
            <w:tcMar>
              <w:top w:type="dxa" w:w="80"/>
              <w:left w:type="dxa" w:w="100"/>
              <w:bottom w:type="dxa" w:w="80"/>
              <w:right w:type="dxa" w:w="100"/>
            </w:tcMar>
          </w:tcPr>
          <w:p>
            <w:r>
              <w:rPr>
                <w:b w:val="false"/>
                <w:bCs w:val="false"/>
                <w:sz w:val="19"/>
                <w:szCs w:val="19"/>
              </w:rPr>
              <w:t xml:space="preserve">End of Phase 5</w:t>
            </w:r>
          </w:p>
        </w:tc>
      </w:tr>
      <w:tr>
        <w:tc>
          <w:tcPr>
            <w:tcW w:type="dxa" w:w="2808"/>
            <w:shd w:fill="F2F2F2" w:val="clear"/>
            <w:tcMar>
              <w:top w:type="dxa" w:w="80"/>
              <w:left w:type="dxa" w:w="100"/>
              <w:bottom w:type="dxa" w:w="80"/>
              <w:right w:type="dxa" w:w="100"/>
            </w:tcMar>
          </w:tcPr>
          <w:p>
            <w:r>
              <w:rPr>
                <w:b w:val="false"/>
                <w:bCs w:val="false"/>
                <w:sz w:val="19"/>
                <w:szCs w:val="19"/>
              </w:rPr>
              <w:t xml:space="preserve">Final closeout &amp; retrospective</w:t>
            </w:r>
          </w:p>
        </w:tc>
        <w:tc>
          <w:tcPr>
            <w:tcW w:type="dxa" w:w="2808"/>
            <w:shd w:fill="F2F2F2" w:val="clear"/>
            <w:tcMar>
              <w:top w:type="dxa" w:w="80"/>
              <w:left w:type="dxa" w:w="100"/>
              <w:bottom w:type="dxa" w:w="80"/>
              <w:right w:type="dxa" w:w="100"/>
            </w:tcMar>
          </w:tcPr>
          <w:p>
            <w:r>
              <w:rPr>
                <w:b w:val="false"/>
                <w:bCs w:val="false"/>
                <w:sz w:val="19"/>
                <w:szCs w:val="19"/>
              </w:rPr>
              <w:t xml:space="preserve">All stakeholders</w:t>
            </w:r>
          </w:p>
        </w:tc>
        <w:tc>
          <w:tcPr>
            <w:tcW w:type="dxa" w:w="1404"/>
            <w:shd w:fill="F2F2F2" w:val="clear"/>
            <w:tcMar>
              <w:top w:type="dxa" w:w="80"/>
              <w:left w:type="dxa" w:w="100"/>
              <w:bottom w:type="dxa" w:w="80"/>
              <w:right w:type="dxa" w:w="100"/>
            </w:tcMar>
          </w:tcPr>
          <w:p>
            <w:r>
              <w:rPr>
                <w:b w:val="false"/>
                <w:bCs w:val="false"/>
                <w:sz w:val="19"/>
                <w:szCs w:val="19"/>
              </w:rPr>
              <w:t xml:space="preserve">You</w:t>
            </w:r>
          </w:p>
        </w:tc>
        <w:tc>
          <w:tcPr>
            <w:tcW w:type="dxa" w:w="2340"/>
            <w:shd w:fill="F2F2F2" w:val="clear"/>
            <w:tcMar>
              <w:top w:type="dxa" w:w="80"/>
              <w:left w:type="dxa" w:w="100"/>
              <w:bottom w:type="dxa" w:w="80"/>
              <w:right w:type="dxa" w:w="100"/>
            </w:tcMar>
          </w:tcPr>
          <w:p>
            <w:r>
              <w:rPr>
                <w:b w:val="false"/>
                <w:bCs w:val="false"/>
                <w:sz w:val="19"/>
                <w:szCs w:val="19"/>
              </w:rPr>
              <w:t xml:space="preserve">End of Phase 6</w:t>
            </w:r>
          </w:p>
        </w:tc>
      </w:tr>
    </w:tbl>
    <w:p>
      <w:pPr>
        <w:pStyle w:val="Heading1"/>
        <w:spacing w:after="200" w:before="400"/>
      </w:pPr>
      <w:r>
        <w:t xml:space="preserve">14.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1"/>
        <w:gridCol w:w="7389"/>
      </w:tblGrid>
      <w:tr>
        <w:trPr>
          <w:tblHeader/>
        </w:trPr>
        <w:tc>
          <w:tcPr>
            <w:tcW w:type="dxa" w:w="1971"/>
            <w:shd w:fill="1F4E79" w:val="clear"/>
            <w:tcMar>
              <w:top w:type="dxa" w:w="80"/>
              <w:left w:type="dxa" w:w="100"/>
              <w:bottom w:type="dxa" w:w="80"/>
              <w:right w:type="dxa" w:w="100"/>
            </w:tcMar>
          </w:tcPr>
          <w:p>
            <w:r>
              <w:rPr>
                <w:b/>
                <w:bCs/>
                <w:color w:val="FFFFFF"/>
                <w:sz w:val="20"/>
                <w:szCs w:val="20"/>
              </w:rPr>
              <w:t xml:space="preserve">Timeframe</w:t>
            </w:r>
          </w:p>
        </w:tc>
        <w:tc>
          <w:tcPr>
            <w:tcW w:type="dxa" w:w="7389"/>
            <w:shd w:fill="1F4E79" w:val="clear"/>
            <w:tcMar>
              <w:top w:type="dxa" w:w="80"/>
              <w:left w:type="dxa" w:w="100"/>
              <w:bottom w:type="dxa" w:w="80"/>
              <w:right w:type="dxa" w:w="100"/>
            </w:tcMar>
          </w:tcPr>
          <w:p>
            <w:r>
              <w:rPr>
                <w:b/>
                <w:bCs/>
                <w:color w:val="FFFFFF"/>
                <w:sz w:val="20"/>
                <w:szCs w:val="20"/>
              </w:rPr>
              <w:t xml:space="preserve">Milestone</w:t>
            </w:r>
          </w:p>
        </w:tc>
      </w:tr>
      <w:tr>
        <w:tc>
          <w:tcPr>
            <w:tcW w:type="dxa" w:w="1971"/>
            <w:tcMar>
              <w:top w:type="dxa" w:w="80"/>
              <w:left w:type="dxa" w:w="100"/>
              <w:bottom w:type="dxa" w:w="80"/>
              <w:right w:type="dxa" w:w="100"/>
            </w:tcMar>
          </w:tcPr>
          <w:p>
            <w:r>
              <w:rPr>
                <w:b w:val="false"/>
                <w:bCs w:val="false"/>
                <w:sz w:val="19"/>
                <w:szCs w:val="19"/>
              </w:rPr>
              <w:t xml:space="preserve">Week 1</w:t>
            </w:r>
          </w:p>
        </w:tc>
        <w:tc>
          <w:tcPr>
            <w:tcW w:type="dxa" w:w="7389"/>
            <w:tcMar>
              <w:top w:type="dxa" w:w="80"/>
              <w:left w:type="dxa" w:w="100"/>
              <w:bottom w:type="dxa" w:w="80"/>
              <w:right w:type="dxa" w:w="100"/>
            </w:tcMar>
          </w:tcPr>
          <w:p>
            <w:r>
              <w:rPr>
                <w:b w:val="false"/>
                <w:bCs w:val="false"/>
                <w:sz w:val="19"/>
                <w:szCs w:val="19"/>
              </w:rPr>
              <w:t xml:space="preserve">Phase 0 — Discovery &amp; Access</w:t>
            </w:r>
          </w:p>
        </w:tc>
      </w:tr>
      <w:tr>
        <w:tc>
          <w:tcPr>
            <w:tcW w:type="dxa" w:w="1971"/>
            <w:shd w:fill="F2F2F2" w:val="clear"/>
            <w:tcMar>
              <w:top w:type="dxa" w:w="80"/>
              <w:left w:type="dxa" w:w="100"/>
              <w:bottom w:type="dxa" w:w="80"/>
              <w:right w:type="dxa" w:w="100"/>
            </w:tcMar>
          </w:tcPr>
          <w:p>
            <w:r>
              <w:rPr>
                <w:b w:val="false"/>
                <w:bCs w:val="false"/>
                <w:sz w:val="19"/>
                <w:szCs w:val="19"/>
              </w:rPr>
              <w:t xml:space="preserve">Weeks 2–3</w:t>
            </w:r>
          </w:p>
        </w:tc>
        <w:tc>
          <w:tcPr>
            <w:tcW w:type="dxa" w:w="7389"/>
            <w:shd w:fill="F2F2F2" w:val="clear"/>
            <w:tcMar>
              <w:top w:type="dxa" w:w="80"/>
              <w:left w:type="dxa" w:w="100"/>
              <w:bottom w:type="dxa" w:w="80"/>
              <w:right w:type="dxa" w:w="100"/>
            </w:tcMar>
          </w:tcPr>
          <w:p>
            <w:r>
              <w:rPr>
                <w:b w:val="false"/>
                <w:bCs w:val="false"/>
                <w:sz w:val="19"/>
                <w:szCs w:val="19"/>
              </w:rPr>
              <w:t xml:space="preserve">Phase 1 — Mapping Definition (SME sign-off)</w:t>
            </w:r>
          </w:p>
        </w:tc>
      </w:tr>
      <w:tr>
        <w:tc>
          <w:tcPr>
            <w:tcW w:type="dxa" w:w="1971"/>
            <w:tcMar>
              <w:top w:type="dxa" w:w="80"/>
              <w:left w:type="dxa" w:w="100"/>
              <w:bottom w:type="dxa" w:w="80"/>
              <w:right w:type="dxa" w:w="100"/>
            </w:tcMar>
          </w:tcPr>
          <w:p>
            <w:r>
              <w:rPr>
                <w:b w:val="false"/>
                <w:bCs w:val="false"/>
                <w:sz w:val="19"/>
                <w:szCs w:val="19"/>
              </w:rPr>
              <w:t xml:space="preserve">Weeks 2–4</w:t>
            </w:r>
          </w:p>
        </w:tc>
        <w:tc>
          <w:tcPr>
            <w:tcW w:type="dxa" w:w="7389"/>
            <w:tcMar>
              <w:top w:type="dxa" w:w="80"/>
              <w:left w:type="dxa" w:w="100"/>
              <w:bottom w:type="dxa" w:w="80"/>
              <w:right w:type="dxa" w:w="100"/>
            </w:tcMar>
          </w:tcPr>
          <w:p>
            <w:r>
              <w:rPr>
                <w:b w:val="false"/>
                <w:bCs w:val="false"/>
                <w:sz w:val="19"/>
                <w:szCs w:val="19"/>
              </w:rPr>
              <w:t xml:space="preserve">Phase 2 — Engine Build &amp; AI Tuning (parallel)</w:t>
            </w:r>
          </w:p>
        </w:tc>
      </w:tr>
      <w:tr>
        <w:tc>
          <w:tcPr>
            <w:tcW w:type="dxa" w:w="1971"/>
            <w:shd w:fill="F2F2F2" w:val="clear"/>
            <w:tcMar>
              <w:top w:type="dxa" w:w="80"/>
              <w:left w:type="dxa" w:w="100"/>
              <w:bottom w:type="dxa" w:w="80"/>
              <w:right w:type="dxa" w:w="100"/>
            </w:tcMar>
          </w:tcPr>
          <w:p>
            <w:r>
              <w:rPr>
                <w:b w:val="false"/>
                <w:bCs w:val="false"/>
                <w:sz w:val="19"/>
                <w:szCs w:val="19"/>
              </w:rPr>
              <w:t xml:space="preserve">Week 4</w:t>
            </w:r>
          </w:p>
        </w:tc>
        <w:tc>
          <w:tcPr>
            <w:tcW w:type="dxa" w:w="7389"/>
            <w:shd w:fill="F2F2F2" w:val="clear"/>
            <w:tcMar>
              <w:top w:type="dxa" w:w="80"/>
              <w:left w:type="dxa" w:w="100"/>
              <w:bottom w:type="dxa" w:w="80"/>
              <w:right w:type="dxa" w:w="100"/>
            </w:tcMar>
          </w:tcPr>
          <w:p>
            <w:r>
              <w:rPr>
                <w:b w:val="false"/>
                <w:bCs w:val="false"/>
                <w:sz w:val="19"/>
                <w:szCs w:val="19"/>
              </w:rPr>
              <w:t xml:space="preserve">Phase 3 — Pilot Batch + Go/No-Go</w:t>
            </w:r>
          </w:p>
        </w:tc>
      </w:tr>
      <w:tr>
        <w:tc>
          <w:tcPr>
            <w:tcW w:type="dxa" w:w="1971"/>
            <w:tcMar>
              <w:top w:type="dxa" w:w="80"/>
              <w:left w:type="dxa" w:w="100"/>
              <w:bottom w:type="dxa" w:w="80"/>
              <w:right w:type="dxa" w:w="100"/>
            </w:tcMar>
          </w:tcPr>
          <w:p>
            <w:r>
              <w:rPr>
                <w:b w:val="false"/>
                <w:bCs w:val="false"/>
                <w:sz w:val="19"/>
                <w:szCs w:val="19"/>
              </w:rPr>
              <w:t xml:space="preserve">Weeks 5–6</w:t>
            </w:r>
          </w:p>
        </w:tc>
        <w:tc>
          <w:tcPr>
            <w:tcW w:type="dxa" w:w="7389"/>
            <w:tcMar>
              <w:top w:type="dxa" w:w="80"/>
              <w:left w:type="dxa" w:w="100"/>
              <w:bottom w:type="dxa" w:w="80"/>
              <w:right w:type="dxa" w:w="100"/>
            </w:tcMar>
          </w:tcPr>
          <w:p>
            <w:r>
              <w:rPr>
                <w:b w:val="false"/>
                <w:bCs w:val="false"/>
                <w:sz w:val="19"/>
                <w:szCs w:val="19"/>
              </w:rPr>
              <w:t xml:space="preserve">Phase 4 — Bulk Historical Migration</w:t>
            </w:r>
          </w:p>
        </w:tc>
      </w:tr>
      <w:tr>
        <w:tc>
          <w:tcPr>
            <w:tcW w:type="dxa" w:w="1971"/>
            <w:shd w:fill="F2F2F2" w:val="clear"/>
            <w:tcMar>
              <w:top w:type="dxa" w:w="80"/>
              <w:left w:type="dxa" w:w="100"/>
              <w:bottom w:type="dxa" w:w="80"/>
              <w:right w:type="dxa" w:w="100"/>
            </w:tcMar>
          </w:tcPr>
          <w:p>
            <w:r>
              <w:rPr>
                <w:b w:val="false"/>
                <w:bCs w:val="false"/>
                <w:sz w:val="19"/>
                <w:szCs w:val="19"/>
              </w:rPr>
              <w:t xml:space="preserve">Week 7</w:t>
            </w:r>
          </w:p>
        </w:tc>
        <w:tc>
          <w:tcPr>
            <w:tcW w:type="dxa" w:w="7389"/>
            <w:shd w:fill="F2F2F2" w:val="clear"/>
            <w:tcMar>
              <w:top w:type="dxa" w:w="80"/>
              <w:left w:type="dxa" w:w="100"/>
              <w:bottom w:type="dxa" w:w="80"/>
              <w:right w:type="dxa" w:w="100"/>
            </w:tcMar>
          </w:tcPr>
          <w:p>
            <w:r>
              <w:rPr>
                <w:b w:val="false"/>
                <w:bCs w:val="false"/>
                <w:sz w:val="19"/>
                <w:szCs w:val="19"/>
              </w:rPr>
              <w:t xml:space="preserve">Phase 5 — Active Issue Cutover (freeze window)</w:t>
            </w:r>
          </w:p>
        </w:tc>
      </w:tr>
      <w:tr>
        <w:tc>
          <w:tcPr>
            <w:tcW w:type="dxa" w:w="1971"/>
            <w:tcMar>
              <w:top w:type="dxa" w:w="80"/>
              <w:left w:type="dxa" w:w="100"/>
              <w:bottom w:type="dxa" w:w="80"/>
              <w:right w:type="dxa" w:w="100"/>
            </w:tcMar>
          </w:tcPr>
          <w:p>
            <w:r>
              <w:rPr>
                <w:b w:val="false"/>
                <w:bCs w:val="false"/>
                <w:sz w:val="19"/>
                <w:szCs w:val="19"/>
              </w:rPr>
              <w:t xml:space="preserve">Week 8</w:t>
            </w:r>
          </w:p>
        </w:tc>
        <w:tc>
          <w:tcPr>
            <w:tcW w:type="dxa" w:w="7389"/>
            <w:tcMar>
              <w:top w:type="dxa" w:w="80"/>
              <w:left w:type="dxa" w:w="100"/>
              <w:bottom w:type="dxa" w:w="80"/>
              <w:right w:type="dxa" w:w="100"/>
            </w:tcMar>
          </w:tcPr>
          <w:p>
            <w:r>
              <w:rPr>
                <w:b w:val="false"/>
                <w:bCs w:val="false"/>
                <w:sz w:val="19"/>
                <w:szCs w:val="19"/>
              </w:rPr>
              <w:t xml:space="preserve">Phase 6 — Final Validation &amp; Closeout</w:t>
            </w:r>
          </w:p>
        </w:tc>
      </w:tr>
    </w:tbl>
    <w:p>
      <w:pPr>
        <w:pStyle w:val="Heading1"/>
        <w:spacing w:after="200" w:before="400"/>
      </w:pPr>
      <w:r>
        <w:t xml:space="preserve">15. Appendix — Owner Checklist &amp; Tooling</w:t>
      </w:r>
    </w:p>
    <w:p>
      <w:pPr>
        <w:pStyle w:val="Heading2"/>
        <w:spacing w:after="150" w:before="300"/>
      </w:pPr>
      <w:r>
        <w:t xml:space="preserve">Tooling Checklist</w:t>
      </w:r>
    </w:p>
    <w:p>
      <w:pPr>
        <w:pStyle w:val="ListParagraph"/>
        <w:numPr>
          <w:ilvl w:val="0"/>
          <w:numId w:val="1"/>
        </w:numPr>
        <w:spacing w:after="80"/>
      </w:pPr>
      <w:r>
        <w:t xml:space="preserve">REST API service accounts on both clusters (read-only on source, write on target).</w:t>
      </w:r>
    </w:p>
    <w:p>
      <w:pPr>
        <w:pStyle w:val="ListParagraph"/>
        <w:numPr>
          <w:ilvl w:val="0"/>
          <w:numId w:val="1"/>
        </w:numPr>
        <w:spacing w:after="80"/>
      </w:pPr>
      <w:r>
        <w:t xml:space="preserve">Migration engine: Python/Node scripts driven by mapping tables (not a generic Jira Cloud Migration Assistant, which assumes matching schemas).</w:t>
      </w:r>
    </w:p>
    <w:p>
      <w:pPr>
        <w:pStyle w:val="ListParagraph"/>
        <w:numPr>
          <w:ilvl w:val="0"/>
          <w:numId w:val="1"/>
        </w:numPr>
        <w:spacing w:after="80"/>
      </w:pPr>
      <w:r>
        <w:t xml:space="preserve">External mapping/audit registry (database or spreadsheet) tracking source key → target key + batch + timestamp.</w:t>
      </w:r>
    </w:p>
    <w:p>
      <w:pPr>
        <w:pStyle w:val="ListParagraph"/>
        <w:numPr>
          <w:ilvl w:val="0"/>
          <w:numId w:val="1"/>
        </w:numPr>
        <w:spacing w:after="80"/>
      </w:pPr>
      <w:r>
        <w:t xml:space="preserve">LLM API access for the AI Assist Layer (priority/status/duplicate classification).</w:t>
      </w:r>
    </w:p>
    <w:p>
      <w:pPr>
        <w:pStyle w:val="ListParagraph"/>
        <w:numPr>
          <w:ilvl w:val="0"/>
          <w:numId w:val="1"/>
        </w:numPr>
        <w:spacing w:after="80"/>
      </w:pPr>
      <w:r>
        <w:t xml:space="preserve">Review queue mechanism for low-confidence AI suggestions (lightweight — spreadsheet or a dedicated review project).</w:t>
      </w:r>
    </w:p>
    <w:p>
      <w:pPr>
        <w:pStyle w:val="Heading2"/>
        <w:spacing w:after="150" w:before="300"/>
      </w:pPr>
      <w:r>
        <w:t xml:space="preserve">Owner's First-Two-Weeks Checklist</w:t>
      </w:r>
    </w:p>
    <w:p>
      <w:pPr>
        <w:pStyle w:val="ListParagraph"/>
        <w:numPr>
          <w:ilvl w:val="0"/>
          <w:numId w:val="1"/>
        </w:numPr>
        <w:spacing w:after="80"/>
      </w:pPr>
      <w:r>
        <w:t xml:space="preserve">Confirm sponsor and secure admin/API access commitments from both Platform Admin teams.</w:t>
      </w:r>
    </w:p>
    <w:p>
      <w:pPr>
        <w:pStyle w:val="ListParagraph"/>
        <w:numPr>
          <w:ilvl w:val="0"/>
          <w:numId w:val="1"/>
        </w:numPr>
        <w:spacing w:after="80"/>
      </w:pPr>
      <w:r>
        <w:t xml:space="preserve">Stand up the Migration Control Tower pod and set a recurring cadence (daily during batches, weekly otherwise).</w:t>
      </w:r>
    </w:p>
    <w:p>
      <w:pPr>
        <w:pStyle w:val="ListParagraph"/>
        <w:numPr>
          <w:ilvl w:val="0"/>
          <w:numId w:val="1"/>
        </w:numPr>
        <w:spacing w:after="80"/>
      </w:pPr>
      <w:r>
        <w:t xml:space="preserve">Kick off schema/workflow/priority discovery and begin the mapping registry.</w:t>
      </w:r>
    </w:p>
    <w:p>
      <w:pPr>
        <w:pStyle w:val="ListParagraph"/>
        <w:numPr>
          <w:ilvl w:val="0"/>
          <w:numId w:val="1"/>
        </w:numPr>
        <w:spacing w:after="80"/>
      </w:pPr>
      <w:r>
        <w:t xml:space="preserve">Communicate scope, timeline, and the upcoming freeze window expectation to both teams early — this is the most common source of resistance if sprung late.</w:t>
      </w:r>
    </w:p>
    <w:p>
      <w:pPr>
        <w:pStyle w:val="ListParagraph"/>
        <w:numPr>
          <w:ilvl w:val="0"/>
          <w:numId w:val="1"/>
        </w:numPr>
        <w:spacing w:after="80"/>
      </w:pPr>
      <w:r>
        <w:t xml:space="preserve">Agree the AI confidence threshold and review-queue process with SMEs before any classification runs at scale.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7306e80ff03338ac1f2643f64e12b2a0f28c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2026-09-06T07:37:16.071Z</dcterms:created>
  <dcterms:modified xsi:type="dcterms:W3CDTF">2026-09-06T07:37:16.083Z</dcterms:modified>
</cp:coreProperties>
</file>

<file path=docProps/custom.xml><?xml version="1.0" encoding="utf-8"?>
<Properties xmlns="http://schemas.openxmlformats.org/officeDocument/2006/custom-properties" xmlns:vt="http://schemas.openxmlformats.org/officeDocument/2006/docPropsVTypes"/>
</file>