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0"/>
      </w:pPr>
    </w:p>
    <w:p>
      <w:pPr>
        <w:spacing w:after="120" w:before="0"/>
        <w:jc w:val="center"/>
      </w:pPr>
      <w:r>
        <w:rPr>
          <w:rFonts w:ascii="Arial" w:cs="Arial" w:eastAsia="Arial" w:hAnsi="Arial"/>
          <w:b/>
          <w:bCs/>
          <w:color w:val="1B3A6B"/>
          <w:sz w:val="52"/>
          <w:szCs w:val="52"/>
        </w:rPr>
        <w:t xml:space="preserve">PRODUCT REQUIREMENTS DOCUMENT</w:t>
      </w:r>
    </w:p>
    <w:p>
      <w:pPr>
        <w:spacing w:after="200" w:before="0"/>
        <w:jc w:val="center"/>
      </w:pPr>
      <w:r>
        <w:rPr>
          <w:rFonts w:ascii="Arial" w:cs="Arial" w:eastAsia="Arial" w:hAnsi="Arial"/>
          <w:b/>
          <w:bCs/>
          <w:color w:val="2E5FA3"/>
          <w:sz w:val="38"/>
          <w:szCs w:val="38"/>
        </w:rPr>
        <w:t xml:space="preserve">AI Report Generation &amp; Notification Agent</w:t>
      </w:r>
    </w:p>
    <w:p>
      <w:pPr>
        <w:pBdr>
          <w:bottom w:val="single" w:color="1B3A6B" w:sz="8" w:space="6"/>
        </w:pBdr>
        <w:spacing w:after="80" w:before="0"/>
        <w:jc w:val="center"/>
      </w:pPr>
    </w:p>
    <w:p>
      <w:pPr>
        <w:spacing w:after="80" w:before="240"/>
        <w:jc w:val="center"/>
      </w:pPr>
      <w:r>
        <w:rPr>
          <w:rFonts w:ascii="Arial" w:cs="Arial" w:eastAsia="Arial" w:hAnsi="Arial"/>
          <w:color w:val="555555"/>
          <w:sz w:val="22"/>
          <w:szCs w:val="22"/>
        </w:rPr>
        <w:t xml:space="preserve">Built on Spring AI  |  Spring Boot 3.x  |  Spring AI Starter 1.0.0-M6</w:t>
      </w:r>
    </w:p>
    <w:p>
      <w:pPr>
        <w:spacing w:after="80" w:before="80"/>
        <w:jc w:val="center"/>
      </w:pPr>
      <w:r>
        <w:rPr>
          <w:rFonts w:ascii="Arial" w:cs="Arial" w:eastAsia="Arial" w:hAnsi="Arial"/>
          <w:color w:val="555555"/>
          <w:sz w:val="22"/>
          <w:szCs w:val="22"/>
        </w:rPr>
        <w:t xml:space="preserve">Internal Demo — Banking IT Division</w:t>
      </w:r>
    </w:p>
    <w:p>
      <w:pPr>
        <w:spacing w:after="80" w:before="80"/>
        <w:jc w:val="center"/>
      </w:pPr>
      <w:r>
        <w:rPr>
          <w:rFonts w:ascii="Arial" w:cs="Arial" w:eastAsia="Arial" w:hAnsi="Arial"/>
          <w:color w:val="555555"/>
          <w:sz w:val="22"/>
          <w:szCs w:val="22"/>
        </w:rPr>
        <w:t xml:space="preserve">Version 1.0  |  Date: June 2026</w:t>
      </w: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1. Executive Summary</w:t>
      </w:r>
    </w:p>
    <w:p>
      <w:pPr>
        <w:spacing w:after="120" w:before="120"/>
      </w:pPr>
      <w:r>
        <w:rPr>
          <w:rFonts w:ascii="Arial" w:cs="Arial" w:eastAsia="Arial" w:hAnsi="Arial"/>
          <w:b w:val="false"/>
          <w:bCs w:val="false"/>
          <w:color w:val="1A1A1A"/>
          <w:sz w:val="20"/>
          <w:szCs w:val="20"/>
        </w:rPr>
        <w:t xml:space="preserve">This document defines the requirements for an internal demo AI Agent built using Spring AI (version 1.0.0-M6 milestone) and Spring Boot 3.x. The agent is designed to showcase the capabilities of LLM-backed agentic workflows within a banking IT context, specifically targeting two core use cases:</w:t>
      </w:r>
    </w:p>
    <w:p>
      <w:pPr>
        <w:pStyle w:val="ListParagraph"/>
        <w:numPr>
          <w:ilvl w:val="0"/>
          <w:numId w:val="2"/>
        </w:numPr>
        <w:spacing w:after="60" w:before="60"/>
      </w:pPr>
      <w:r>
        <w:rPr>
          <w:rFonts w:ascii="Arial" w:cs="Arial" w:eastAsia="Arial" w:hAnsi="Arial"/>
          <w:color w:val="1A1A1A"/>
          <w:sz w:val="20"/>
          <w:szCs w:val="20"/>
        </w:rPr>
        <w:t xml:space="preserve">Automated report generation by querying an in-memory H2 database using natural-language instructions.</w:t>
      </w:r>
    </w:p>
    <w:p>
      <w:pPr>
        <w:pStyle w:val="ListParagraph"/>
        <w:numPr>
          <w:ilvl w:val="0"/>
          <w:numId w:val="2"/>
        </w:numPr>
        <w:spacing w:after="60" w:before="60"/>
      </w:pPr>
      <w:r>
        <w:rPr>
          <w:rFonts w:ascii="Arial" w:cs="Arial" w:eastAsia="Arial" w:hAnsi="Arial"/>
          <w:color w:val="1A1A1A"/>
          <w:sz w:val="20"/>
          <w:szCs w:val="20"/>
        </w:rPr>
        <w:t xml:space="preserve">Notification dispatch — validating a recipient email address and simulating email delivery restricted to internal @bank.com addresses.</w:t>
      </w:r>
    </w:p>
    <w:p>
      <w:pPr>
        <w:spacing w:after="120" w:before="120"/>
      </w:pPr>
      <w:r>
        <w:rPr>
          <w:rFonts w:ascii="Arial" w:cs="Arial" w:eastAsia="Arial" w:hAnsi="Arial"/>
          <w:b w:val="false"/>
          <w:bCs w:val="false"/>
          <w:color w:val="1A1A1A"/>
          <w:sz w:val="20"/>
          <w:szCs w:val="20"/>
        </w:rPr>
        <w:t xml:space="preserve">All LLM interactions route through the organisation's internally hosted model endpoint (accessible via HTTP and API key), ensuring zero dependency on external cloud services. The demo is intended for an organisation-wide staff presentation.</w:t>
      </w:r>
    </w:p>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2. Project Context &amp; Background</w:t>
      </w:r>
    </w:p>
    <w:p>
      <w:pPr>
        <w:pStyle w:val="Heading2"/>
        <w:spacing w:after="120" w:before="280"/>
      </w:pPr>
      <w:r>
        <w:rPr>
          <w:rFonts w:ascii="Arial" w:cs="Arial" w:eastAsia="Arial" w:hAnsi="Arial"/>
          <w:b/>
          <w:bCs/>
          <w:color w:val="2E5FA3"/>
          <w:sz w:val="26"/>
          <w:szCs w:val="26"/>
        </w:rPr>
        <w:t xml:space="preserve">2.1 Organisation Profile</w:t>
      </w:r>
    </w:p>
    <w:p>
      <w:pPr>
        <w:spacing w:after="120" w:before="120"/>
      </w:pPr>
      <w:r>
        <w:rPr>
          <w:rFonts w:ascii="Arial" w:cs="Arial" w:eastAsia="Arial" w:hAnsi="Arial"/>
          <w:b w:val="false"/>
          <w:bCs w:val="false"/>
          <w:color w:val="1A1A1A"/>
          <w:sz w:val="20"/>
          <w:szCs w:val="20"/>
        </w:rPr>
        <w:t xml:space="preserve">The organisation provides IT services to a bank operating within a tightly controlled network perimeter. The following infrastructure constraints apply:</w:t>
      </w:r>
    </w:p>
    <w:p>
      <w:pPr>
        <w:pStyle w:val="ListParagraph"/>
        <w:numPr>
          <w:ilvl w:val="0"/>
          <w:numId w:val="2"/>
        </w:numPr>
        <w:spacing w:after="60" w:before="60"/>
      </w:pPr>
      <w:r>
        <w:rPr>
          <w:rFonts w:ascii="Arial" w:cs="Arial" w:eastAsia="Arial" w:hAnsi="Arial"/>
          <w:color w:val="1A1A1A"/>
          <w:sz w:val="20"/>
          <w:szCs w:val="20"/>
        </w:rPr>
        <w:t xml:space="preserve">All external internet access is blocked by a corporate firewall.</w:t>
      </w:r>
    </w:p>
    <w:p>
      <w:pPr>
        <w:pStyle w:val="ListParagraph"/>
        <w:numPr>
          <w:ilvl w:val="0"/>
          <w:numId w:val="2"/>
        </w:numPr>
        <w:spacing w:after="60" w:before="60"/>
      </w:pPr>
      <w:r>
        <w:rPr>
          <w:rFonts w:ascii="Arial" w:cs="Arial" w:eastAsia="Arial" w:hAnsi="Arial"/>
          <w:color w:val="1A1A1A"/>
          <w:sz w:val="20"/>
          <w:szCs w:val="20"/>
        </w:rPr>
        <w:t xml:space="preserve">Maven/Gradle dependencies must be resolved from an internally hosted Artifactory repository.</w:t>
      </w:r>
    </w:p>
    <w:p>
      <w:pPr>
        <w:pStyle w:val="ListParagraph"/>
        <w:numPr>
          <w:ilvl w:val="0"/>
          <w:numId w:val="2"/>
        </w:numPr>
        <w:spacing w:after="60" w:before="60"/>
      </w:pPr>
      <w:r>
        <w:rPr>
          <w:rFonts w:ascii="Arial" w:cs="Arial" w:eastAsia="Arial" w:hAnsi="Arial"/>
          <w:color w:val="1A1A1A"/>
          <w:sz w:val="20"/>
          <w:szCs w:val="20"/>
        </w:rPr>
        <w:t xml:space="preserve">LLM inference is provided by an internally hosted model server accessible over HTTP with an API key — no OpenAI or external cloud API calls are permitted.</w:t>
      </w:r>
    </w:p>
    <w:p>
      <w:pPr>
        <w:pStyle w:val="Heading2"/>
        <w:spacing w:after="120" w:before="280"/>
      </w:pPr>
      <w:r>
        <w:rPr>
          <w:rFonts w:ascii="Arial" w:cs="Arial" w:eastAsia="Arial" w:hAnsi="Arial"/>
          <w:b/>
          <w:bCs/>
          <w:color w:val="2E5FA3"/>
          <w:sz w:val="26"/>
          <w:szCs w:val="26"/>
        </w:rPr>
        <w:t xml:space="preserve">2.2 Motivation</w:t>
      </w:r>
    </w:p>
    <w:p>
      <w:pPr>
        <w:spacing w:after="120" w:before="120"/>
      </w:pPr>
      <w:r>
        <w:rPr>
          <w:rFonts w:ascii="Arial" w:cs="Arial" w:eastAsia="Arial" w:hAnsi="Arial"/>
          <w:b w:val="false"/>
          <w:bCs w:val="false"/>
          <w:color w:val="1A1A1A"/>
          <w:sz w:val="20"/>
          <w:szCs w:val="20"/>
        </w:rPr>
        <w:t xml:space="preserve">The engineering leadership wants to demonstrate how modern AI Agent patterns (tool-calling, multi-step reasoning, function orchestration) can be realised using open-source Spring AI tooling, without leaving the organisational security boundary. This PRD documents exactly what will be built for that demo.</w:t>
      </w:r>
    </w:p>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3. Objectives</w:t>
      </w:r>
    </w:p>
    <w:p>
      <w:pPr>
        <w:pStyle w:val="ListParagraph"/>
        <w:numPr>
          <w:ilvl w:val="0"/>
          <w:numId w:val="3"/>
        </w:numPr>
        <w:spacing w:after="60" w:before="60"/>
      </w:pPr>
      <w:r>
        <w:rPr>
          <w:rFonts w:ascii="Arial" w:cs="Arial" w:eastAsia="Arial" w:hAnsi="Arial"/>
          <w:color w:val="1A1A1A"/>
          <w:sz w:val="20"/>
          <w:szCs w:val="20"/>
        </w:rPr>
        <w:t xml:space="preserve">Demonstrate a working AI Agent that accepts natural-language user prompts.</w:t>
      </w:r>
    </w:p>
    <w:p>
      <w:pPr>
        <w:pStyle w:val="ListParagraph"/>
        <w:numPr>
          <w:ilvl w:val="0"/>
          <w:numId w:val="3"/>
        </w:numPr>
        <w:spacing w:after="60" w:before="60"/>
      </w:pPr>
      <w:r>
        <w:rPr>
          <w:rFonts w:ascii="Arial" w:cs="Arial" w:eastAsia="Arial" w:hAnsi="Arial"/>
          <w:color w:val="1A1A1A"/>
          <w:sz w:val="20"/>
          <w:szCs w:val="20"/>
        </w:rPr>
        <w:t xml:space="preserve">Show dynamic tool selection: the agent autonomously decides whether to query the database, send a notification, or both.</w:t>
      </w:r>
    </w:p>
    <w:p>
      <w:pPr>
        <w:pStyle w:val="ListParagraph"/>
        <w:numPr>
          <w:ilvl w:val="0"/>
          <w:numId w:val="3"/>
        </w:numPr>
        <w:spacing w:after="60" w:before="60"/>
      </w:pPr>
      <w:r>
        <w:rPr>
          <w:rFonts w:ascii="Arial" w:cs="Arial" w:eastAsia="Arial" w:hAnsi="Arial"/>
          <w:color w:val="1A1A1A"/>
          <w:sz w:val="20"/>
          <w:szCs w:val="20"/>
        </w:rPr>
        <w:t xml:space="preserve">Illustrate Spring AI's tool-calling / function-calling abstraction over an internally hosted LLM.</w:t>
      </w:r>
    </w:p>
    <w:p>
      <w:pPr>
        <w:pStyle w:val="ListParagraph"/>
        <w:numPr>
          <w:ilvl w:val="0"/>
          <w:numId w:val="3"/>
        </w:numPr>
        <w:spacing w:after="60" w:before="60"/>
      </w:pPr>
      <w:r>
        <w:rPr>
          <w:rFonts w:ascii="Arial" w:cs="Arial" w:eastAsia="Arial" w:hAnsi="Arial"/>
          <w:color w:val="1A1A1A"/>
          <w:sz w:val="20"/>
          <w:szCs w:val="20"/>
        </w:rPr>
        <w:t xml:space="preserve">Enforce domain security: email notifications must only target @bank.com addresses.</w:t>
      </w:r>
    </w:p>
    <w:p>
      <w:pPr>
        <w:pStyle w:val="ListParagraph"/>
        <w:numPr>
          <w:ilvl w:val="0"/>
          <w:numId w:val="3"/>
        </w:numPr>
        <w:spacing w:after="60" w:before="60"/>
      </w:pPr>
      <w:r>
        <w:rPr>
          <w:rFonts w:ascii="Arial" w:cs="Arial" w:eastAsia="Arial" w:hAnsi="Arial"/>
          <w:color w:val="1A1A1A"/>
          <w:sz w:val="20"/>
          <w:szCs w:val="20"/>
        </w:rPr>
        <w:t xml:space="preserve">Keep all runtime dependencies resolvable from the internal Artifactory, with no external network calls.</w:t>
      </w:r>
    </w:p>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4. Scope</w:t>
      </w:r>
    </w:p>
    <w:p>
      <w:pPr>
        <w:pStyle w:val="Heading2"/>
        <w:spacing w:after="120" w:before="280"/>
      </w:pPr>
      <w:r>
        <w:rPr>
          <w:rFonts w:ascii="Arial" w:cs="Arial" w:eastAsia="Arial" w:hAnsi="Arial"/>
          <w:b/>
          <w:bCs/>
          <w:color w:val="2E5FA3"/>
          <w:sz w:val="26"/>
          <w:szCs w:val="26"/>
        </w:rPr>
        <w:t xml:space="preserve">4.1 In Scope</w:t>
      </w:r>
    </w:p>
    <w:p>
      <w:pPr>
        <w:pStyle w:val="ListParagraph"/>
        <w:numPr>
          <w:ilvl w:val="0"/>
          <w:numId w:val="2"/>
        </w:numPr>
        <w:spacing w:after="60" w:before="60"/>
      </w:pPr>
      <w:r>
        <w:rPr>
          <w:rFonts w:ascii="Arial" w:cs="Arial" w:eastAsia="Arial" w:hAnsi="Arial"/>
          <w:color w:val="1A1A1A"/>
          <w:sz w:val="20"/>
          <w:szCs w:val="20"/>
        </w:rPr>
        <w:t xml:space="preserve">Spring Boot 3.x application with Spring AI starter 1.0.0-M6.</w:t>
      </w:r>
    </w:p>
    <w:p>
      <w:pPr>
        <w:pStyle w:val="ListParagraph"/>
        <w:numPr>
          <w:ilvl w:val="0"/>
          <w:numId w:val="2"/>
        </w:numPr>
        <w:spacing w:after="60" w:before="60"/>
      </w:pPr>
      <w:r>
        <w:rPr>
          <w:rFonts w:ascii="Arial" w:cs="Arial" w:eastAsia="Arial" w:hAnsi="Arial"/>
          <w:color w:val="1A1A1A"/>
          <w:sz w:val="20"/>
          <w:szCs w:val="20"/>
        </w:rPr>
        <w:t xml:space="preserve">H2 in-memory database pre-seeded with sample banking report data.</w:t>
      </w:r>
    </w:p>
    <w:p>
      <w:pPr>
        <w:pStyle w:val="ListParagraph"/>
        <w:numPr>
          <w:ilvl w:val="0"/>
          <w:numId w:val="2"/>
        </w:numPr>
        <w:spacing w:after="60" w:before="60"/>
      </w:pPr>
      <w:r>
        <w:rPr>
          <w:rFonts w:ascii="Arial" w:cs="Arial" w:eastAsia="Arial" w:hAnsi="Arial"/>
          <w:color w:val="1A1A1A"/>
          <w:sz w:val="20"/>
          <w:szCs w:val="20"/>
        </w:rPr>
        <w:t xml:space="preserve">AI Agent with at least two registered tools: ReportTool and MailTool.</w:t>
      </w:r>
    </w:p>
    <w:p>
      <w:pPr>
        <w:pStyle w:val="ListParagraph"/>
        <w:numPr>
          <w:ilvl w:val="0"/>
          <w:numId w:val="2"/>
        </w:numPr>
        <w:spacing w:after="60" w:before="60"/>
      </w:pPr>
      <w:r>
        <w:rPr>
          <w:rFonts w:ascii="Arial" w:cs="Arial" w:eastAsia="Arial" w:hAnsi="Arial"/>
          <w:color w:val="1A1A1A"/>
          <w:sz w:val="20"/>
          <w:szCs w:val="20"/>
        </w:rPr>
        <w:t xml:space="preserve">REST API endpoint to accept user prompts.</w:t>
      </w:r>
    </w:p>
    <w:p>
      <w:pPr>
        <w:pStyle w:val="ListParagraph"/>
        <w:numPr>
          <w:ilvl w:val="0"/>
          <w:numId w:val="2"/>
        </w:numPr>
        <w:spacing w:after="60" w:before="60"/>
      </w:pPr>
      <w:r>
        <w:rPr>
          <w:rFonts w:ascii="Arial" w:cs="Arial" w:eastAsia="Arial" w:hAnsi="Arial"/>
          <w:color w:val="1A1A1A"/>
          <w:sz w:val="20"/>
          <w:szCs w:val="20"/>
        </w:rPr>
        <w:t xml:space="preserve">LLM integration via custom base-URL and API-key configuration (internal host).</w:t>
      </w:r>
    </w:p>
    <w:p>
      <w:pPr>
        <w:pStyle w:val="ListParagraph"/>
        <w:numPr>
          <w:ilvl w:val="0"/>
          <w:numId w:val="2"/>
        </w:numPr>
        <w:spacing w:after="60" w:before="60"/>
      </w:pPr>
      <w:r>
        <w:rPr>
          <w:rFonts w:ascii="Arial" w:cs="Arial" w:eastAsia="Arial" w:hAnsi="Arial"/>
          <w:color w:val="1A1A1A"/>
          <w:sz w:val="20"/>
          <w:szCs w:val="20"/>
        </w:rPr>
        <w:t xml:space="preserve">Email validation logic enforcing the @bank.com domain constraint.</w:t>
      </w:r>
    </w:p>
    <w:p>
      <w:pPr>
        <w:pStyle w:val="ListParagraph"/>
        <w:numPr>
          <w:ilvl w:val="0"/>
          <w:numId w:val="2"/>
        </w:numPr>
        <w:spacing w:after="60" w:before="60"/>
      </w:pPr>
      <w:r>
        <w:rPr>
          <w:rFonts w:ascii="Arial" w:cs="Arial" w:eastAsia="Arial" w:hAnsi="Arial"/>
          <w:color w:val="1A1A1A"/>
          <w:sz w:val="20"/>
          <w:szCs w:val="20"/>
        </w:rPr>
        <w:t xml:space="preserve">Mock mail dispatch (no SMTP — log-based simulation with structured response).</w:t>
      </w:r>
    </w:p>
    <w:p>
      <w:pPr>
        <w:pStyle w:val="ListParagraph"/>
        <w:numPr>
          <w:ilvl w:val="0"/>
          <w:numId w:val="2"/>
        </w:numPr>
        <w:spacing w:after="60" w:before="60"/>
      </w:pPr>
      <w:r>
        <w:rPr>
          <w:rFonts w:ascii="Arial" w:cs="Arial" w:eastAsia="Arial" w:hAnsi="Arial"/>
          <w:color w:val="1A1A1A"/>
          <w:sz w:val="20"/>
          <w:szCs w:val="20"/>
        </w:rPr>
        <w:t xml:space="preserve">Console / REST response showing report data and mail dispatch status.</w:t>
      </w:r>
    </w:p>
    <w:p>
      <w:pPr>
        <w:pStyle w:val="Heading2"/>
        <w:spacing w:after="120" w:before="280"/>
      </w:pPr>
      <w:r>
        <w:rPr>
          <w:rFonts w:ascii="Arial" w:cs="Arial" w:eastAsia="Arial" w:hAnsi="Arial"/>
          <w:b/>
          <w:bCs/>
          <w:color w:val="2E5FA3"/>
          <w:sz w:val="26"/>
          <w:szCs w:val="26"/>
        </w:rPr>
        <w:t xml:space="preserve">4.2 Out of Scope</w:t>
      </w:r>
    </w:p>
    <w:p>
      <w:pPr>
        <w:pStyle w:val="ListParagraph"/>
        <w:numPr>
          <w:ilvl w:val="0"/>
          <w:numId w:val="2"/>
        </w:numPr>
        <w:spacing w:after="60" w:before="60"/>
      </w:pPr>
      <w:r>
        <w:rPr>
          <w:rFonts w:ascii="Arial" w:cs="Arial" w:eastAsia="Arial" w:hAnsi="Arial"/>
          <w:color w:val="1A1A1A"/>
          <w:sz w:val="20"/>
          <w:szCs w:val="20"/>
        </w:rPr>
        <w:t xml:space="preserve">Real SMTP / email server integration.</w:t>
      </w:r>
    </w:p>
    <w:p>
      <w:pPr>
        <w:pStyle w:val="ListParagraph"/>
        <w:numPr>
          <w:ilvl w:val="0"/>
          <w:numId w:val="2"/>
        </w:numPr>
        <w:spacing w:after="60" w:before="60"/>
      </w:pPr>
      <w:r>
        <w:rPr>
          <w:rFonts w:ascii="Arial" w:cs="Arial" w:eastAsia="Arial" w:hAnsi="Arial"/>
          <w:color w:val="1A1A1A"/>
          <w:sz w:val="20"/>
          <w:szCs w:val="20"/>
        </w:rPr>
        <w:t xml:space="preserve">Production-grade security (OAuth2, JWT, mTLS) — this is a demo.</w:t>
      </w:r>
    </w:p>
    <w:p>
      <w:pPr>
        <w:pStyle w:val="ListParagraph"/>
        <w:numPr>
          <w:ilvl w:val="0"/>
          <w:numId w:val="2"/>
        </w:numPr>
        <w:spacing w:after="60" w:before="60"/>
      </w:pPr>
      <w:r>
        <w:rPr>
          <w:rFonts w:ascii="Arial" w:cs="Arial" w:eastAsia="Arial" w:hAnsi="Arial"/>
          <w:color w:val="1A1A1A"/>
          <w:sz w:val="20"/>
          <w:szCs w:val="20"/>
        </w:rPr>
        <w:t xml:space="preserve">Persistent database (PostgreSQL, Oracle, etc.).</w:t>
      </w:r>
    </w:p>
    <w:p>
      <w:pPr>
        <w:pStyle w:val="ListParagraph"/>
        <w:numPr>
          <w:ilvl w:val="0"/>
          <w:numId w:val="2"/>
        </w:numPr>
        <w:spacing w:after="60" w:before="60"/>
      </w:pPr>
      <w:r>
        <w:rPr>
          <w:rFonts w:ascii="Arial" w:cs="Arial" w:eastAsia="Arial" w:hAnsi="Arial"/>
          <w:color w:val="1A1A1A"/>
          <w:sz w:val="20"/>
          <w:szCs w:val="20"/>
        </w:rPr>
        <w:t xml:space="preserve">UI / frontend — interaction via REST client (curl, Postman) or basic HTML form.</w:t>
      </w:r>
    </w:p>
    <w:p>
      <w:pPr>
        <w:pStyle w:val="ListParagraph"/>
        <w:numPr>
          <w:ilvl w:val="0"/>
          <w:numId w:val="2"/>
        </w:numPr>
        <w:spacing w:after="60" w:before="60"/>
      </w:pPr>
      <w:r>
        <w:rPr>
          <w:rFonts w:ascii="Arial" w:cs="Arial" w:eastAsia="Arial" w:hAnsi="Arial"/>
          <w:color w:val="1A1A1A"/>
          <w:sz w:val="20"/>
          <w:szCs w:val="20"/>
        </w:rPr>
        <w:t xml:space="preserve">Multi-tenant or multi-user session management.</w:t>
      </w:r>
    </w:p>
    <w:p>
      <w:pPr>
        <w:pStyle w:val="ListParagraph"/>
        <w:numPr>
          <w:ilvl w:val="0"/>
          <w:numId w:val="2"/>
        </w:numPr>
        <w:spacing w:after="60" w:before="60"/>
      </w:pPr>
      <w:r>
        <w:rPr>
          <w:rFonts w:ascii="Arial" w:cs="Arial" w:eastAsia="Arial" w:hAnsi="Arial"/>
          <w:color w:val="1A1A1A"/>
          <w:sz w:val="20"/>
          <w:szCs w:val="20"/>
        </w:rPr>
        <w:t xml:space="preserve">Fine-tuning or retraining the LLM.</w:t>
      </w:r>
    </w:p>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Name / Group</w:t>
            </w:r>
          </w:p>
        </w:tc>
        <w:tc>
          <w:tcPr>
            <w:tcW w:type="dxa" w:w="37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Interest</w:t>
            </w:r>
          </w:p>
        </w:tc>
      </w:tr>
      <w:tr>
        <w:tc>
          <w:tcPr>
            <w:tcW w:type="dxa" w:w="2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Demo Lead / Developer</w:t>
            </w:r>
          </w:p>
        </w:tc>
        <w:tc>
          <w:tcPr>
            <w:tcW w:type="dxa" w:w="2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Senior Java Developer</w:t>
            </w:r>
          </w:p>
        </w:tc>
        <w:tc>
          <w:tcPr>
            <w:tcW w:type="dxa" w:w="37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Build &amp; present the demo</w:t>
            </w:r>
          </w:p>
        </w:tc>
      </w:tr>
      <w:tr>
        <w:tc>
          <w:tcPr>
            <w:tcW w:type="dxa" w:w="2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Audience</w:t>
            </w:r>
          </w:p>
        </w:tc>
        <w:tc>
          <w:tcPr>
            <w:tcW w:type="dxa" w:w="2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Organisation Staff</w:t>
            </w:r>
          </w:p>
        </w:tc>
        <w:tc>
          <w:tcPr>
            <w:tcW w:type="dxa" w:w="37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Understand AI Agent capabilities</w:t>
            </w:r>
          </w:p>
        </w:tc>
      </w:tr>
      <w:tr>
        <w:tc>
          <w:tcPr>
            <w:tcW w:type="dxa" w:w="2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IT Security</w:t>
            </w:r>
          </w:p>
        </w:tc>
        <w:tc>
          <w:tcPr>
            <w:tcW w:type="dxa" w:w="2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Security Team</w:t>
            </w:r>
          </w:p>
        </w:tc>
        <w:tc>
          <w:tcPr>
            <w:tcW w:type="dxa" w:w="37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Confirm no data leaves perimeter</w:t>
            </w:r>
          </w:p>
        </w:tc>
      </w:tr>
      <w:tr>
        <w:tc>
          <w:tcPr>
            <w:tcW w:type="dxa" w:w="2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Engineering Leadership</w:t>
            </w:r>
          </w:p>
        </w:tc>
        <w:tc>
          <w:tcPr>
            <w:tcW w:type="dxa" w:w="2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Tech Leads / Architects</w:t>
            </w:r>
          </w:p>
        </w:tc>
        <w:tc>
          <w:tcPr>
            <w:tcW w:type="dxa" w:w="37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Evaluate Spring AI adoption feasibility</w:t>
            </w:r>
          </w:p>
        </w:tc>
      </w:tr>
    </w:tbl>
    <w:p>
      <w:pPr>
        <w:pBdr>
          <w:bottom w:val="single" w:color="C0C8D8" w:sz="4" w:space="1"/>
        </w:pBdr>
        <w:spacing w:after="80" w:before="80"/>
      </w:pP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6. Technical Architecture</w:t>
      </w:r>
    </w:p>
    <w:p>
      <w:pPr>
        <w:pStyle w:val="Heading2"/>
        <w:spacing w:after="120" w:before="280"/>
      </w:pPr>
      <w:r>
        <w:rPr>
          <w:rFonts w:ascii="Arial" w:cs="Arial" w:eastAsia="Arial" w:hAnsi="Arial"/>
          <w:b/>
          <w:bCs/>
          <w:color w:val="2E5FA3"/>
          <w:sz w:val="26"/>
          <w:szCs w:val="26"/>
        </w:rP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12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Choice / Version</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Language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Java 21 (LTS)</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Framework</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3.x</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AI Starter</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spring-ai-openai-spring-boot-starter  v1.0.0-M6</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LLM Endpoint</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Internally hosted model server (HTTP + API Key)</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Database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H2 (in-memory, embedded)</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Build Tool</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Maven 3.9+ (deps resolved from internal Artifactory)</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Artifact Repository</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Internal JFrog Artifactory</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Mail Dispatch</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Mock / simulated — no SMTP dependency</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6.2 High-Level Architecture</w:t>
      </w:r>
    </w:p>
    <w:p>
      <w:pPr>
        <w:pBdr>
          <w:left w:val="single" w:color="2E5FA3" w:sz="12" w:space="8"/>
        </w:pBdr>
        <w:shd w:fill="E8EEF7" w:val="clear"/>
        <w:spacing w:after="100" w:before="100"/>
        <w:ind w:left="400"/>
      </w:pPr>
      <w:r>
        <w:rPr>
          <w:rFonts w:ascii="Arial" w:cs="Arial" w:eastAsia="Arial" w:hAnsi="Arial"/>
          <w:i/>
          <w:iCs/>
          <w:color w:val="444444"/>
          <w:sz w:val="18"/>
          <w:szCs w:val="18"/>
        </w:rPr>
        <w:t xml:space="preserve">User Prompt  →  REST Controller  →  Agent Service  →  ChatClient (Spring AI)  →  Internal LLM</w:t>
      </w:r>
    </w:p>
    <w:p>
      <w:pPr>
        <w:pBdr>
          <w:left w:val="single" w:color="2E5FA3" w:sz="12" w:space="8"/>
        </w:pBdr>
        <w:shd w:fill="E8EEF7" w:val="clear"/>
        <w:spacing w:after="100" w:before="100"/>
        <w:ind w:left="400"/>
      </w:pPr>
      <w:r>
        <w:rPr>
          <w:rFonts w:ascii="Arial" w:cs="Arial" w:eastAsia="Arial" w:hAnsi="Arial"/>
          <w:i/>
          <w:iCs/>
          <w:color w:val="444444"/>
          <w:sz w:val="18"/>
          <w:szCs w:val="18"/>
        </w:rPr>
        <w:t xml:space="preserve">                                                               ↕  Tool calls</w:t>
      </w:r>
    </w:p>
    <w:p>
      <w:pPr>
        <w:pBdr>
          <w:left w:val="single" w:color="2E5FA3" w:sz="12" w:space="8"/>
        </w:pBdr>
        <w:shd w:fill="E8EEF7" w:val="clear"/>
        <w:spacing w:after="100" w:before="100"/>
        <w:ind w:left="400"/>
      </w:pPr>
      <w:r>
        <w:rPr>
          <w:rFonts w:ascii="Arial" w:cs="Arial" w:eastAsia="Arial" w:hAnsi="Arial"/>
          <w:i/>
          <w:iCs/>
          <w:color w:val="444444"/>
          <w:sz w:val="18"/>
          <w:szCs w:val="18"/>
        </w:rPr>
        <w:t xml:space="preserve">                                                    ReportTool     |     MailTool</w:t>
      </w:r>
    </w:p>
    <w:p>
      <w:pPr>
        <w:pBdr>
          <w:left w:val="single" w:color="2E5FA3" w:sz="12" w:space="8"/>
        </w:pBdr>
        <w:shd w:fill="E8EEF7" w:val="clear"/>
        <w:spacing w:after="100" w:before="100"/>
        <w:ind w:left="400"/>
      </w:pPr>
      <w:r>
        <w:rPr>
          <w:rFonts w:ascii="Arial" w:cs="Arial" w:eastAsia="Arial" w:hAnsi="Arial"/>
          <w:i/>
          <w:iCs/>
          <w:color w:val="444444"/>
          <w:sz w:val="18"/>
          <w:szCs w:val="18"/>
        </w:rPr>
        <w:t xml:space="preserve">                                                    (H2 Query)     |   (Validation + Mock Send)</w:t>
      </w:r>
    </w:p>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6.3 Component Description</w:t>
      </w:r>
    </w:p>
    <w:p>
      <w:pPr>
        <w:pStyle w:val="Heading3"/>
        <w:spacing w:after="80" w:before="200"/>
      </w:pPr>
      <w:r>
        <w:rPr>
          <w:rFonts w:ascii="Arial" w:cs="Arial" w:eastAsia="Arial" w:hAnsi="Arial"/>
          <w:b/>
          <w:bCs/>
          <w:color w:val="2E5FA3"/>
          <w:sz w:val="22"/>
          <w:szCs w:val="22"/>
        </w:rPr>
        <w:t xml:space="preserve">6.3.1 REST Controller</w:t>
      </w:r>
    </w:p>
    <w:p>
      <w:pPr>
        <w:spacing w:after="120" w:before="120"/>
      </w:pPr>
      <w:r>
        <w:rPr>
          <w:rFonts w:ascii="Arial" w:cs="Arial" w:eastAsia="Arial" w:hAnsi="Arial"/>
          <w:b w:val="false"/>
          <w:bCs w:val="false"/>
          <w:color w:val="1A1A1A"/>
          <w:sz w:val="20"/>
          <w:szCs w:val="20"/>
        </w:rPr>
        <w:t xml:space="preserve">Exposes a single POST endpoint (e.g., /api/agent/query) that accepts a JSON body with a prompt string. Delegates immediately to the Agent Service.</w:t>
      </w:r>
    </w:p>
    <w:p>
      <w:pPr>
        <w:pStyle w:val="Heading3"/>
        <w:spacing w:after="80" w:before="200"/>
      </w:pPr>
      <w:r>
        <w:rPr>
          <w:rFonts w:ascii="Arial" w:cs="Arial" w:eastAsia="Arial" w:hAnsi="Arial"/>
          <w:b/>
          <w:bCs/>
          <w:color w:val="2E5FA3"/>
          <w:sz w:val="22"/>
          <w:szCs w:val="22"/>
        </w:rPr>
        <w:t xml:space="preserve">6.3.2 Agent Service</w:t>
      </w:r>
    </w:p>
    <w:p>
      <w:pPr>
        <w:spacing w:after="120" w:before="120"/>
      </w:pPr>
      <w:r>
        <w:rPr>
          <w:rFonts w:ascii="Arial" w:cs="Arial" w:eastAsia="Arial" w:hAnsi="Arial"/>
          <w:b w:val="false"/>
          <w:bCs w:val="false"/>
          <w:color w:val="1A1A1A"/>
          <w:sz w:val="20"/>
          <w:szCs w:val="20"/>
        </w:rPr>
        <w:t xml:space="preserve">Constructs the ChatClient with the system prompt and registered tools. Invokes the LLM and handles the iterative tool-call loop until the model returns a final text response.</w:t>
      </w:r>
    </w:p>
    <w:p>
      <w:pPr>
        <w:pStyle w:val="Heading3"/>
        <w:spacing w:after="80" w:before="200"/>
      </w:pPr>
      <w:r>
        <w:rPr>
          <w:rFonts w:ascii="Arial" w:cs="Arial" w:eastAsia="Arial" w:hAnsi="Arial"/>
          <w:b/>
          <w:bCs/>
          <w:color w:val="2E5FA3"/>
          <w:sz w:val="22"/>
          <w:szCs w:val="22"/>
        </w:rPr>
        <w:t xml:space="preserve">6.3.3 Spring AI ChatClient / Tool Calling</w:t>
      </w:r>
    </w:p>
    <w:p>
      <w:pPr>
        <w:spacing w:after="120" w:before="120"/>
      </w:pPr>
      <w:r>
        <w:rPr>
          <w:rFonts w:ascii="Arial" w:cs="Arial" w:eastAsia="Arial" w:hAnsi="Arial"/>
          <w:b w:val="false"/>
          <w:bCs w:val="false"/>
          <w:color w:val="1A1A1A"/>
          <w:sz w:val="20"/>
          <w:szCs w:val="20"/>
        </w:rPr>
        <w:t xml:space="preserve">Spring AI 1.0.0-M6 provides the @Tool annotation (or FunctionCallback) abstraction. The agent automatically routes tool invocations without explicit orchestration code in the application layer.</w:t>
      </w:r>
    </w:p>
    <w:p>
      <w:pPr>
        <w:pStyle w:val="Heading3"/>
        <w:spacing w:after="80" w:before="200"/>
      </w:pPr>
      <w:r>
        <w:rPr>
          <w:rFonts w:ascii="Arial" w:cs="Arial" w:eastAsia="Arial" w:hAnsi="Arial"/>
          <w:b/>
          <w:bCs/>
          <w:color w:val="2E5FA3"/>
          <w:sz w:val="22"/>
          <w:szCs w:val="22"/>
        </w:rPr>
        <w:t xml:space="preserve">6.3.4 Internal LLM Configuration</w:t>
      </w:r>
    </w:p>
    <w:p>
      <w:pPr>
        <w:spacing w:after="120" w:before="120"/>
      </w:pPr>
      <w:r>
        <w:rPr>
          <w:rFonts w:ascii="Arial" w:cs="Arial" w:eastAsia="Arial" w:hAnsi="Arial"/>
          <w:b w:val="false"/>
          <w:bCs w:val="false"/>
          <w:color w:val="1A1A1A"/>
          <w:sz w:val="20"/>
          <w:szCs w:val="20"/>
        </w:rPr>
        <w:t xml:space="preserve">The spring.ai.openai.base-url and spring.ai.openai.api-key properties are overridden in application.properties to point to the organisation's internally hosted inference server. The OpenAI-compatible HTTP API surface is reused without connecting to openai.com.</w:t>
      </w:r>
    </w:p>
    <w:p>
      <w:pPr>
        <w:pStyle w:val="Heading3"/>
        <w:spacing w:after="80" w:before="200"/>
      </w:pPr>
      <w:r>
        <w:rPr>
          <w:rFonts w:ascii="Arial" w:cs="Arial" w:eastAsia="Arial" w:hAnsi="Arial"/>
          <w:b/>
          <w:bCs/>
          <w:color w:val="2E5FA3"/>
          <w:sz w:val="22"/>
          <w:szCs w:val="22"/>
        </w:rPr>
        <w:t xml:space="preserve">6.3.5 H2 Database</w:t>
      </w:r>
    </w:p>
    <w:p>
      <w:pPr>
        <w:spacing w:after="120" w:before="120"/>
      </w:pPr>
      <w:r>
        <w:rPr>
          <w:rFonts w:ascii="Arial" w:cs="Arial" w:eastAsia="Arial" w:hAnsi="Arial"/>
          <w:b w:val="false"/>
          <w:bCs w:val="false"/>
          <w:color w:val="1A1A1A"/>
          <w:sz w:val="20"/>
          <w:szCs w:val="20"/>
        </w:rPr>
        <w:t xml:space="preserve">An embedded H2 instance is pre-loaded via schema.sql and data.sql at startup. The ReportTool executes JDBC queries to retrieve data. No external DB credentials are required.</w:t>
      </w:r>
    </w:p>
    <w:p>
      <w:pPr>
        <w:pStyle w:val="Heading3"/>
        <w:spacing w:after="80" w:before="200"/>
      </w:pPr>
      <w:r>
        <w:rPr>
          <w:rFonts w:ascii="Arial" w:cs="Arial" w:eastAsia="Arial" w:hAnsi="Arial"/>
          <w:b/>
          <w:bCs/>
          <w:color w:val="2E5FA3"/>
          <w:sz w:val="22"/>
          <w:szCs w:val="22"/>
        </w:rPr>
        <w:t xml:space="preserve">6.3.6 ReportTool</w:t>
      </w:r>
    </w:p>
    <w:p>
      <w:pPr>
        <w:spacing w:after="120" w:before="120"/>
      </w:pPr>
      <w:r>
        <w:rPr>
          <w:rFonts w:ascii="Arial" w:cs="Arial" w:eastAsia="Arial" w:hAnsi="Arial"/>
          <w:b w:val="false"/>
          <w:bCs w:val="false"/>
          <w:color w:val="1A1A1A"/>
          <w:sz w:val="20"/>
          <w:szCs w:val="20"/>
        </w:rPr>
        <w:t xml:space="preserve">A Spring-managed bean annotated with @Tool. Accepts report parameters (report type, date range, department, etc.) and returns structured report data as a String/JSON. The LLM decides when and how to call this tool based on the user prompt.</w:t>
      </w:r>
    </w:p>
    <w:p>
      <w:pPr>
        <w:pStyle w:val="Heading3"/>
        <w:spacing w:after="80" w:before="200"/>
      </w:pPr>
      <w:r>
        <w:rPr>
          <w:rFonts w:ascii="Arial" w:cs="Arial" w:eastAsia="Arial" w:hAnsi="Arial"/>
          <w:b/>
          <w:bCs/>
          <w:color w:val="2E5FA3"/>
          <w:sz w:val="22"/>
          <w:szCs w:val="22"/>
        </w:rPr>
        <w:t xml:space="preserve">6.3.7 MailTool</w:t>
      </w:r>
    </w:p>
    <w:p>
      <w:pPr>
        <w:spacing w:after="120" w:before="120"/>
      </w:pPr>
      <w:r>
        <w:rPr>
          <w:rFonts w:ascii="Arial" w:cs="Arial" w:eastAsia="Arial" w:hAnsi="Arial"/>
          <w:b w:val="false"/>
          <w:bCs w:val="false"/>
          <w:color w:val="1A1A1A"/>
          <w:sz w:val="20"/>
          <w:szCs w:val="20"/>
        </w:rPr>
        <w:t xml:space="preserve">A Spring-managed bean annotated with @Tool. Accepts a recipient email address and a message body. Performs domain validation, logs the simulated dispatch event, and returns a structured result. No real email is ever sent.</w:t>
      </w:r>
    </w:p>
    <w:p>
      <w:pPr>
        <w:pBdr>
          <w:bottom w:val="single" w:color="C0C8D8" w:sz="4" w:space="1"/>
        </w:pBdr>
        <w:spacing w:after="80" w:before="80"/>
      </w:pP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7. Functional Requirements</w:t>
      </w:r>
    </w:p>
    <w:p>
      <w:pPr>
        <w:pStyle w:val="Heading2"/>
        <w:spacing w:after="120" w:before="280"/>
      </w:pPr>
      <w:r>
        <w:rPr>
          <w:rFonts w:ascii="Arial" w:cs="Arial" w:eastAsia="Arial" w:hAnsi="Arial"/>
          <w:b/>
          <w:bCs/>
          <w:color w:val="2E5FA3"/>
          <w:sz w:val="26"/>
          <w:szCs w:val="26"/>
        </w:rPr>
        <w:t xml:space="preserve">7.1 Agent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60"/>
        <w:gridCol w:w="4200"/>
        <w:gridCol w:w="1800"/>
      </w:tblGrid>
      <w:tr>
        <w:tc>
          <w:tcPr>
            <w:tcW w:type="dxa" w:w="1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4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FR-01</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Natural Language Input</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system shall accept a free-text prompt from the user via a REST API.</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FR-02</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Autonomous Tool Selection</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AI Agent shall autonomously decide which tool(s) to invoke based on the prompt content, with no hard-coded routing logic.</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FR-03</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Multi-Tool Orchestration</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agent shall support invoking multiple tools in a single conversation turn (e.g., generate a report then email it).</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FR-04</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Natural Language Response</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final agent response shall be a coherent natural-language summary of all actions taken and their outcomes.</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7.2 Report Generation (ReportTool)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60"/>
        <w:gridCol w:w="4200"/>
        <w:gridCol w:w="1800"/>
      </w:tblGrid>
      <w:tr>
        <w:tc>
          <w:tcPr>
            <w:tcW w:type="dxa" w:w="1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4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FR-10</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Report Types</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system shall support at least three report types: Transaction Summary, Account Balance, and Loan Status.</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FR-11</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 Range Filter</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Reports shall accept an optional date range (start date, end date) to filter results.</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FR-12</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Department Filter</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Reports shall support an optional department/branch filter.</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Should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FR-13</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Data Source</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report data shall be sourced exclusively from the embedded H2 database. No external data source calls.</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FR-14</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Result Format</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tool shall return report data as a structured string (JSON-like) that the LLM can summarise into natural language.</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FR-15</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Empty Result Handling</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If no records match the query parameters, the tool shall return an informative empty-result message rather than an exception.</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7.3 Mail Notification (MailTool)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60"/>
        <w:gridCol w:w="4200"/>
        <w:gridCol w:w="1800"/>
      </w:tblGrid>
      <w:tr>
        <w:tc>
          <w:tcPr>
            <w:tcW w:type="dxa" w:w="1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4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FR-20</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Email Input</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MailTool shall accept a recipient email address and a message body as parameters.</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FR-21</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Format Validation</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tool shall validate that the email address conforms to standard email format (RFC 5322 simple pattern).</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FR-22</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Domain Restriction</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tool shall reject any email address whose domain is not @bank.com. Rejection must return a clear error message, not an exception.</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FR-23</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Mock Dispatch</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Upon successful validation, the tool shall log the dispatch event and return a success message: "Mail successfully sent to &lt;email&gt;." No SMTP, JavaMail, or third-party mail library is required.</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FR-24</w:t>
            </w:r>
          </w:p>
        </w:tc>
        <w:tc>
          <w:tcPr>
            <w:tcW w:type="dxa" w:w="2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Audit Log</w:t>
            </w:r>
          </w:p>
        </w:tc>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Each simulated dispatch (success or failure) shall be logged at INFO level with timestamp, recipient, and outcome.</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Should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FR-25</w:t>
            </w:r>
          </w:p>
        </w:tc>
        <w:tc>
          <w:tcPr>
            <w:tcW w:type="dxa" w:w="2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Invalid Domain Response</w:t>
            </w:r>
          </w:p>
        </w:tc>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For non-@bank.com addresses, the tool shall return: "Mail delivery failed: recipient address must be an internal @bank.com address." The LLM shall relay this message to the user.</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7.4 Email Validation Rules (Detail)</w:t>
      </w:r>
    </w:p>
    <w:p>
      <w:pPr>
        <w:pBdr>
          <w:left w:val="single" w:color="2E5FA3" w:sz="12" w:space="8"/>
        </w:pBdr>
        <w:shd w:fill="E8EEF7" w:val="clear"/>
        <w:spacing w:after="100" w:before="100"/>
        <w:ind w:left="400"/>
      </w:pPr>
      <w:r>
        <w:rPr>
          <w:rFonts w:ascii="Arial" w:cs="Arial" w:eastAsia="Arial" w:hAnsi="Arial"/>
          <w:i/>
          <w:iCs/>
          <w:color w:val="444444"/>
          <w:sz w:val="18"/>
          <w:szCs w:val="18"/>
        </w:rPr>
        <w:t xml:space="preserve">These rules govern the MailTool validation logic exclusively. They are enforced in Java code, not by the LLM.</w:t>
      </w:r>
    </w:p>
    <w:p>
      <w:pPr>
        <w:spacing w:after="120" w:before="120"/>
      </w:pPr>
      <w:r>
        <w:rPr>
          <w:rFonts w:ascii="Arial" w:cs="Arial" w:eastAsia="Arial" w:hAnsi="Arial"/>
          <w:b w:val="false"/>
          <w:b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560"/>
        <w:gridCol w:w="2400"/>
      </w:tblGrid>
      <w:tr>
        <w:tc>
          <w:tcPr>
            <w:tcW w:type="dxa" w:w="1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Rule ID</w:t>
            </w:r>
          </w:p>
        </w:tc>
        <w:tc>
          <w:tcPr>
            <w:tcW w:type="dxa" w:w="3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Rule</w:t>
            </w:r>
          </w:p>
        </w:tc>
        <w:tc>
          <w:tcPr>
            <w:tcW w:type="dxa" w:w="25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 (Pass)</w:t>
            </w:r>
          </w:p>
        </w:tc>
        <w:tc>
          <w:tcPr>
            <w:tcW w:type="dxa" w:w="24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 (Fail)</w:t>
            </w:r>
          </w:p>
        </w:tc>
      </w:tr>
      <w:tr>
        <w:tc>
          <w:tcPr>
            <w:tcW w:type="dxa" w:w="1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EV-01</w:t>
            </w:r>
          </w:p>
        </w:tc>
        <w:tc>
          <w:tcPr>
            <w:tcW w:type="dxa" w:w="3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contain exactly one @ symbol</w:t>
            </w:r>
          </w:p>
        </w:tc>
        <w:tc>
          <w:tcPr>
            <w:tcW w:type="dxa" w:w="25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john@bank.com</w:t>
            </w:r>
          </w:p>
        </w:tc>
        <w:tc>
          <w:tcPr>
            <w:tcW w:type="dxa" w:w="2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johnbank.com</w:t>
            </w:r>
          </w:p>
        </w:tc>
      </w:tr>
      <w:tr>
        <w:tc>
          <w:tcPr>
            <w:tcW w:type="dxa" w:w="1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EV-02</w:t>
            </w:r>
          </w:p>
        </w:tc>
        <w:tc>
          <w:tcPr>
            <w:tcW w:type="dxa" w:w="3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Local part (before @) must not be empty</w:t>
            </w:r>
          </w:p>
        </w:tc>
        <w:tc>
          <w:tcPr>
            <w:tcW w:type="dxa" w:w="25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john@bank.com</w:t>
            </w:r>
          </w:p>
        </w:tc>
        <w:tc>
          <w:tcPr>
            <w:tcW w:type="dxa" w:w="2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@bank.com</w:t>
            </w:r>
          </w:p>
        </w:tc>
      </w:tr>
      <w:tr>
        <w:tc>
          <w:tcPr>
            <w:tcW w:type="dxa" w:w="1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EV-03</w:t>
            </w:r>
          </w:p>
        </w:tc>
        <w:tc>
          <w:tcPr>
            <w:tcW w:type="dxa" w:w="3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Domain must be exactly bank.com (case-insensitive)</w:t>
            </w:r>
          </w:p>
        </w:tc>
        <w:tc>
          <w:tcPr>
            <w:tcW w:type="dxa" w:w="25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John.Doe@bank.com</w:t>
            </w:r>
          </w:p>
        </w:tc>
        <w:tc>
          <w:tcPr>
            <w:tcW w:type="dxa" w:w="2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john@external.com</w:t>
            </w:r>
          </w:p>
        </w:tc>
      </w:tr>
      <w:tr>
        <w:tc>
          <w:tcPr>
            <w:tcW w:type="dxa" w:w="1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EV-04</w:t>
            </w:r>
          </w:p>
        </w:tc>
        <w:tc>
          <w:tcPr>
            <w:tcW w:type="dxa" w:w="3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spaces allowed anywhere in the address</w:t>
            </w:r>
          </w:p>
        </w:tc>
        <w:tc>
          <w:tcPr>
            <w:tcW w:type="dxa" w:w="25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john.doe@bank.com</w:t>
            </w:r>
          </w:p>
        </w:tc>
        <w:tc>
          <w:tcPr>
            <w:tcW w:type="dxa" w:w="2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 doe@bank.com</w:t>
            </w:r>
          </w:p>
        </w:tc>
      </w:tr>
      <w:tr>
        <w:tc>
          <w:tcPr>
            <w:tcW w:type="dxa" w:w="1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EV-05</w:t>
            </w:r>
          </w:p>
        </w:tc>
        <w:tc>
          <w:tcPr>
            <w:tcW w:type="dxa" w:w="3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Local part may contain letters, digits, dots, hyphens, underscores</w:t>
            </w:r>
          </w:p>
        </w:tc>
        <w:tc>
          <w:tcPr>
            <w:tcW w:type="dxa" w:w="25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jane_doe-1@bank.com</w:t>
            </w:r>
          </w:p>
        </w:tc>
        <w:tc>
          <w:tcPr>
            <w:tcW w:type="dxa" w:w="2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jane#doe@bank.com</w:t>
            </w:r>
          </w:p>
        </w:tc>
      </w:tr>
      <w:tr>
        <w:tc>
          <w:tcPr>
            <w:tcW w:type="dxa" w:w="1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EV-06</w:t>
            </w:r>
          </w:p>
        </w:tc>
        <w:tc>
          <w:tcPr>
            <w:tcW w:type="dxa" w:w="3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Sub-domains of bank.com are NOT permitted (strict match)</w:t>
            </w:r>
          </w:p>
        </w:tc>
        <w:tc>
          <w:tcPr>
            <w:tcW w:type="dxa" w:w="25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john@bank.com</w:t>
            </w:r>
          </w:p>
        </w:tc>
        <w:tc>
          <w:tcPr>
            <w:tcW w:type="dxa" w:w="2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john@hr.bank.com</w:t>
            </w:r>
          </w:p>
        </w:tc>
      </w:tr>
    </w:tbl>
    <w:p>
      <w:pPr>
        <w:pBdr>
          <w:bottom w:val="single" w:color="C0C8D8" w:sz="4" w:space="1"/>
        </w:pBdr>
        <w:spacing w:after="80" w:before="80"/>
      </w:pP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6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NFR-01</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Network Isolation</w:t>
            </w:r>
          </w:p>
        </w:tc>
        <w:tc>
          <w:tcPr>
            <w:tcW w:type="dxa" w:w="6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 outbound network call shall be made to any external internet address. All HTTP traffic must remain within the corporate network.</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NFR-02</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Dependency Source</w:t>
            </w:r>
          </w:p>
        </w:tc>
        <w:tc>
          <w:tcPr>
            <w:tcW w:type="dxa" w:w="6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Maven dependencies (including Spring AI milestone jars) must be resolvable from the internal Artifactory. The pom.xml repository section must point to the internal mirror only.</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NFR-03</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Performance</w:t>
            </w:r>
          </w:p>
        </w:tc>
        <w:tc>
          <w:tcPr>
            <w:tcW w:type="dxa" w:w="6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Agent response time for a single-tool invocation should be under 10 seconds excluding LLM latency. The demo should not time out during a live presentation.</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NFR-04</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Reliability</w:t>
            </w:r>
          </w:p>
        </w:tc>
        <w:tc>
          <w:tcPr>
            <w:tcW w:type="dxa" w:w="6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application must start cleanly with a single 'mvn spring-boot:run' command and require no manual setup steps beyond editing application.properties.</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NFR-05</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Observability</w:t>
            </w:r>
          </w:p>
        </w:tc>
        <w:tc>
          <w:tcPr>
            <w:tcW w:type="dxa" w:w="6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Actuator must be enabled with /actuator/health exposed. Tool invocations must appear in application logs (DEBUG level for tool input/output).</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NFR-06</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Maintainability</w:t>
            </w:r>
          </w:p>
        </w:tc>
        <w:tc>
          <w:tcPr>
            <w:tcW w:type="dxa" w:w="6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Code must follow standard Spring Boot conventions. Each tool must be a self-contained Spring component with clear Javadoc on the @Tool method.</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NFR-07</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Portability</w:t>
            </w:r>
          </w:p>
        </w:tc>
        <w:tc>
          <w:tcPr>
            <w:tcW w:type="dxa" w:w="6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application must run on any machine with JDK 21, Maven 3.9+, and access to the internal Artifactory and LLM endpoint.</w:t>
            </w:r>
          </w:p>
        </w:tc>
      </w:tr>
    </w:tbl>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9. Data Model (H2 Sample Schema)</w:t>
      </w:r>
    </w:p>
    <w:p>
      <w:pPr>
        <w:spacing w:after="120" w:before="120"/>
      </w:pPr>
      <w:r>
        <w:rPr>
          <w:rFonts w:ascii="Arial" w:cs="Arial" w:eastAsia="Arial" w:hAnsi="Arial"/>
          <w:b w:val="false"/>
          <w:bCs w:val="false"/>
          <w:color w:val="1A1A1A"/>
          <w:sz w:val="20"/>
          <w:szCs w:val="20"/>
        </w:rPr>
        <w:t xml:space="preserve">The following tables provide realistic but entirely fictional banking data for the demo. All values are synthetic.</w:t>
      </w:r>
    </w:p>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9.1 TRANSACTIONS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TRANSACTION_ID</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BIGINT (PK)</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Auto-increment primary key</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ACCOUNT_NUMBER</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VARCHAR(20)</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Bank account number</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TRANSACTION_DATE</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 of transaction</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AMOUNT</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DECIMAL(15,2)</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 amount (positive = credit, negative = debit)</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TRANSACTION_TYPE</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VARCHAR(20)</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CREDIT | DEBIT | TRANSFER</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DEPARTMENT</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VARCHAR(50)</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Branch / department name</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DESCRIPTION</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VARCHAR(255)</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Free-text transaction description</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9.2 ACCOUNTS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ACCOUNT_NUMBER</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VARCHAR(20) (PK)</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Unique account identifier</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CUSTOMER_NAME</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VARCHAR(100)</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Account holder name</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ACCOUNT_TYPE</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VARCHAR(20)</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SAVINGS | CURRENT | FIXED_DEPOSIT</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BALANCE</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DECIMAL(15,2)</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Current account balance</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DEPARTMENT</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VARCHAR(50)</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Assigned branch / department</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OPENED_DATE</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DATE</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Account opening date</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9.3 LOANS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2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18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Nullable</w:t>
            </w:r>
          </w:p>
        </w:tc>
        <w:tc>
          <w:tcPr>
            <w:tcW w:type="dxa" w:w="3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LOAN_ID</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BIGINT (PK)</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Auto-increment loan identifier</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ACCOUNT_NUMBER</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VARCHAR(20) (FK)</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References ACCOUNTS table</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LOAN_TYPE</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VARCHAR(30)</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HOME | AUTO | PERSONAL | EDUCATION</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PRINCIPAL_AMOUNT</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DECIMAL(15,2)</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Original loan amount</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OUTSTANDING_AMOUNT</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DECIMAL(15,2)</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Remaining balance</w:t>
            </w:r>
          </w:p>
        </w:tc>
      </w:tr>
      <w:tr>
        <w:tc>
          <w:tcPr>
            <w:tcW w:type="dxa" w:w="2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STATUS</w:t>
            </w:r>
          </w:p>
        </w:tc>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VARCHAR(20)</w:t>
            </w:r>
          </w:p>
        </w:tc>
        <w:tc>
          <w:tcPr>
            <w:tcW w:type="dxa" w:w="18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NO</w:t>
            </w:r>
          </w:p>
        </w:tc>
        <w:tc>
          <w:tcPr>
            <w:tcW w:type="dxa" w:w="3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ACTIVE | CLOSED | DEFAULTED</w:t>
            </w:r>
          </w:p>
        </w:tc>
      </w:tr>
      <w:tr>
        <w:tc>
          <w:tcPr>
            <w:tcW w:type="dxa" w:w="2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DEPARTMENT</w:t>
            </w:r>
          </w:p>
        </w:tc>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VARCHAR(50)</w:t>
            </w:r>
          </w:p>
        </w:tc>
        <w:tc>
          <w:tcPr>
            <w:tcW w:type="dxa" w:w="18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YES</w:t>
            </w:r>
          </w:p>
        </w:tc>
        <w:tc>
          <w:tcPr>
            <w:tcW w:type="dxa" w:w="3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Originating branch</w:t>
            </w:r>
          </w:p>
        </w:tc>
      </w:tr>
    </w:tbl>
    <w:p>
      <w:pPr>
        <w:pBdr>
          <w:bottom w:val="single" w:color="C0C8D8" w:sz="4" w:space="1"/>
        </w:pBdr>
        <w:spacing w:after="80" w:before="80"/>
      </w:pP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10. Agent Tool Specifications</w:t>
      </w:r>
    </w:p>
    <w:p>
      <w:pPr>
        <w:pStyle w:val="Heading2"/>
        <w:spacing w:after="120" w:before="280"/>
      </w:pPr>
      <w:r>
        <w:rPr>
          <w:rFonts w:ascii="Arial" w:cs="Arial" w:eastAsia="Arial" w:hAnsi="Arial"/>
          <w:b/>
          <w:bCs/>
          <w:color w:val="2E5FA3"/>
          <w:sz w:val="26"/>
          <w:szCs w:val="26"/>
        </w:rPr>
        <w:t xml:space="preserve">10.1 ReportTool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12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Tool Name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generateReport</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Spring Annotation</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@Tool (spring-ai 1.0.0-M6)</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Description (LLM-visible)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"Generates a banking report from the internal database. Supported types: TRANSACTION_SUMMARY, ACCOUNT_BALANCE, LOAN_STATUS. Optional filters: startDate, endDate (yyyy-MM-dd), department."</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Input Parameters</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reportType: String (required), startDate: String (optional), endDate: String (optional), department: String (optional)</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Return Type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String — JSON-formatted report data</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Error Handling</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Returns descriptive error string on invalid reportType. Never throws checked exception.</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10.2 MailTool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612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Tool Name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sendMail</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Spring Annotation</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@Tool (spring-ai 1.0.0-M6)</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Description (LLM-visible)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"Sends an internal bank email notification. Recipient must be an @bank.com address. Provide recipientEmail and messageBody."</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Input Parameters</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recipientEmail: String (required), messageBody: String (required)</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Return Type</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String — success or validation-failure message</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Validation</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Applies rules EV-01 through EV-06. Fails fast on first violated rule with a human-readable message.</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Side Effect</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Logs mock dispatch event. No real email sent. No JavaMail or SMTP dependency.</w:t>
            </w:r>
          </w:p>
        </w:tc>
      </w:tr>
    </w:tbl>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11. Configuration Reference</w:t>
      </w:r>
    </w:p>
    <w:p>
      <w:pPr>
        <w:pStyle w:val="Heading2"/>
        <w:spacing w:after="120" w:before="280"/>
      </w:pPr>
      <w:r>
        <w:rPr>
          <w:rFonts w:ascii="Arial" w:cs="Arial" w:eastAsia="Arial" w:hAnsi="Arial"/>
          <w:b/>
          <w:bCs/>
          <w:color w:val="2E5FA3"/>
          <w:sz w:val="26"/>
          <w:szCs w:val="26"/>
        </w:rPr>
        <w:t xml:space="preserve">11.1 application.properties (Key Properties)</w:t>
      </w:r>
    </w:p>
    <w:p>
      <w:pPr>
        <w:pBdr>
          <w:left w:val="single" w:color="2E5FA3" w:sz="12" w:space="8"/>
        </w:pBdr>
        <w:shd w:fill="E8EEF7" w:val="clear"/>
        <w:spacing w:after="100" w:before="100"/>
        <w:ind w:left="400"/>
      </w:pPr>
      <w:r>
        <w:rPr>
          <w:rFonts w:ascii="Arial" w:cs="Arial" w:eastAsia="Arial" w:hAnsi="Arial"/>
          <w:i/>
          <w:iCs/>
          <w:color w:val="444444"/>
          <w:sz w:val="18"/>
          <w:szCs w:val="18"/>
        </w:rPr>
        <w:t xml:space="preserve">Replace &lt;internal-llm-host&gt;, &lt;port&gt;, &lt;model-name&gt;, and &lt;your-api-key&gt; with values from the infrastructure team.</w:t>
      </w:r>
    </w:p>
    <w:p>
      <w:pPr>
        <w:spacing w:after="120" w:before="120"/>
      </w:pPr>
      <w:r>
        <w:rPr>
          <w:rFonts w:ascii="Arial" w:cs="Arial" w:eastAsia="Arial" w:hAnsi="Arial"/>
          <w:b w:val="false"/>
          <w:b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3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c>
          <w:tcPr>
            <w:tcW w:type="dxa" w:w="25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spring.ai.openai.base-url</w:t>
            </w:r>
          </w:p>
        </w:tc>
        <w:tc>
          <w:tcPr>
            <w:tcW w:type="dxa" w:w="3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http://&lt;internal-llm-host&gt;:&lt;port&gt;</w:t>
            </w:r>
          </w:p>
        </w:tc>
        <w:tc>
          <w:tcPr>
            <w:tcW w:type="dxa" w:w="25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Internal LLM endpoint</w:t>
            </w:r>
          </w:p>
        </w:tc>
      </w:tr>
      <w:tr>
        <w:tc>
          <w:tcPr>
            <w:tcW w:type="dxa" w:w="3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spring.ai.openai.api-key</w:t>
            </w:r>
          </w:p>
        </w:tc>
        <w:tc>
          <w:tcPr>
            <w:tcW w:type="dxa" w:w="3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&lt;your-api-key&gt;</w:t>
            </w:r>
          </w:p>
        </w:tc>
        <w:tc>
          <w:tcPr>
            <w:tcW w:type="dxa" w:w="25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API authentication key</w:t>
            </w:r>
          </w:p>
        </w:tc>
      </w:tr>
      <w:tr>
        <w:tc>
          <w:tcPr>
            <w:tcW w:type="dxa" w:w="3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spring.ai.openai.chat.options.model</w:t>
            </w:r>
          </w:p>
        </w:tc>
        <w:tc>
          <w:tcPr>
            <w:tcW w:type="dxa" w:w="3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&lt;model-name&gt;</w:t>
            </w:r>
          </w:p>
        </w:tc>
        <w:tc>
          <w:tcPr>
            <w:tcW w:type="dxa" w:w="25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Model identifier on internal server</w:t>
            </w:r>
          </w:p>
        </w:tc>
      </w:tr>
      <w:tr>
        <w:tc>
          <w:tcPr>
            <w:tcW w:type="dxa" w:w="3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spring.datasource.url</w:t>
            </w:r>
          </w:p>
        </w:tc>
        <w:tc>
          <w:tcPr>
            <w:tcW w:type="dxa" w:w="3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jdbc:h2:mem:agentdb;DB_CLOSE_DELAY=-1</w:t>
            </w:r>
          </w:p>
        </w:tc>
        <w:tc>
          <w:tcPr>
            <w:tcW w:type="dxa" w:w="25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H2 in-memory DB</w:t>
            </w:r>
          </w:p>
        </w:tc>
      </w:tr>
      <w:tr>
        <w:tc>
          <w:tcPr>
            <w:tcW w:type="dxa" w:w="3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spring.h2.console.enabled</w:t>
            </w:r>
          </w:p>
        </w:tc>
        <w:tc>
          <w:tcPr>
            <w:tcW w:type="dxa" w:w="3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true</w:t>
            </w:r>
          </w:p>
        </w:tc>
        <w:tc>
          <w:tcPr>
            <w:tcW w:type="dxa" w:w="25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Enable H2 web console for demo</w:t>
            </w:r>
          </w:p>
        </w:tc>
      </w:tr>
      <w:tr>
        <w:tc>
          <w:tcPr>
            <w:tcW w:type="dxa" w:w="3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spring.sql.init.mode</w:t>
            </w:r>
          </w:p>
        </w:tc>
        <w:tc>
          <w:tcPr>
            <w:tcW w:type="dxa" w:w="3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always</w:t>
            </w:r>
          </w:p>
        </w:tc>
        <w:tc>
          <w:tcPr>
            <w:tcW w:type="dxa" w:w="25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Auto-run schema + data SQL</w:t>
            </w:r>
          </w:p>
        </w:tc>
      </w:tr>
      <w:tr>
        <w:tc>
          <w:tcPr>
            <w:tcW w:type="dxa" w:w="3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logging.level.com.bank.agent</w:t>
            </w:r>
          </w:p>
        </w:tc>
        <w:tc>
          <w:tcPr>
            <w:tcW w:type="dxa" w:w="3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DEBUG</w:t>
            </w:r>
          </w:p>
        </w:tc>
        <w:tc>
          <w:tcPr>
            <w:tcW w:type="dxa" w:w="25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Verbose agent/tool logging</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11.2 Maven pom.xml — Repository Configuration</w:t>
      </w:r>
    </w:p>
    <w:p>
      <w:pPr>
        <w:pBdr>
          <w:left w:val="single" w:color="2E5FA3" w:sz="12" w:space="8"/>
        </w:pBdr>
        <w:shd w:fill="E8EEF7" w:val="clear"/>
        <w:spacing w:after="100" w:before="100"/>
        <w:ind w:left="400"/>
      </w:pPr>
      <w:r>
        <w:rPr>
          <w:rFonts w:ascii="Arial" w:cs="Arial" w:eastAsia="Arial" w:hAnsi="Arial"/>
          <w:i/>
          <w:iCs/>
          <w:color w:val="444444"/>
          <w:sz w:val="18"/>
          <w:szCs w:val="18"/>
        </w:rPr>
        <w:t xml:space="preserve">Remove the default central repository and add only the internal Artifactory mirror to prevent any external Maven Central lookups.</w:t>
      </w:r>
    </w:p>
    <w:p>
      <w:pPr>
        <w:spacing w:after="120" w:before="120"/>
      </w:pPr>
      <w:r>
        <w:rPr>
          <w:rFonts w:ascii="Arial" w:cs="Arial" w:eastAsia="Arial" w:hAnsi="Arial"/>
          <w:b w:val="false"/>
          <w:b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c>
          <w:tcPr>
            <w:tcW w:type="dxa" w:w="612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Artifact Coordinates</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AI OpenAI Starter</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org.springframework.ai : spring-ai-openai-spring-boot-starter : 1.0.0-M6</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Starter Web</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org.springframework.boot : spring-boot-starter-web : 3.x</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Starter Data JDBC</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org.springframework.boot : spring-boot-starter-data-jdbc : 3.x</w:t>
            </w:r>
          </w:p>
        </w:tc>
      </w:tr>
      <w:tr>
        <w:tc>
          <w:tcPr>
            <w:tcW w:type="dxa" w:w="324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H2 Database</w:t>
            </w:r>
          </w:p>
        </w:tc>
        <w:tc>
          <w:tcPr>
            <w:tcW w:type="dxa" w:w="612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com.h2database : h2 : 2.x (runtime scope)</w:t>
            </w:r>
          </w:p>
        </w:tc>
      </w:tr>
      <w:tr>
        <w:tc>
          <w:tcPr>
            <w:tcW w:type="dxa" w:w="324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Actuator</w:t>
            </w:r>
          </w:p>
        </w:tc>
        <w:tc>
          <w:tcPr>
            <w:tcW w:type="dxa" w:w="612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org.springframework.boot : spring-boot-starter-actuator : 3.x</w:t>
            </w:r>
          </w:p>
        </w:tc>
      </w:tr>
    </w:tbl>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12. Sample Agent Interactions</w:t>
      </w:r>
    </w:p>
    <w:p>
      <w:pPr>
        <w:pStyle w:val="Heading2"/>
        <w:spacing w:after="120" w:before="280"/>
      </w:pPr>
      <w:r>
        <w:rPr>
          <w:rFonts w:ascii="Arial" w:cs="Arial" w:eastAsia="Arial" w:hAnsi="Arial"/>
          <w:b/>
          <w:bCs/>
          <w:color w:val="2E5FA3"/>
          <w:sz w:val="26"/>
          <w:szCs w:val="26"/>
        </w:rPr>
        <w:t xml:space="preserve">12.1 Report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Turn</w:t>
            </w:r>
          </w:p>
        </w:tc>
        <w:tc>
          <w:tcPr>
            <w:tcW w:type="dxa" w:w="7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User Prompt</w:t>
            </w:r>
          </w:p>
        </w:tc>
        <w:tc>
          <w:tcPr>
            <w:tcW w:type="dxa" w:w="7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"Generate a transaction summary report for the Retail Banking department for January 2026."</w:t>
            </w:r>
          </w:p>
        </w:tc>
      </w:tr>
      <w:tr>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Agent Action</w:t>
            </w:r>
          </w:p>
        </w:tc>
        <w:tc>
          <w:tcPr>
            <w:tcW w:type="dxa" w:w="7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[Calls ReportTool: reportType=TRANSACTION_SUMMARY, startDate=2026-01-01, endDate=2026-01-31, department=Retail Banking]</w:t>
            </w:r>
          </w:p>
        </w:tc>
      </w:tr>
      <w:tr>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Agent Response</w:t>
            </w:r>
          </w:p>
        </w:tc>
        <w:tc>
          <w:tcPr>
            <w:tcW w:type="dxa" w:w="7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"Here is the Transaction Summary for Retail Banking in January 2026: Total transactions: 142, Total credits: INR 8,450,000, Total debits: INR 6,230,000, Net flow: INR +2,220,000."</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12.2 Report + Mail (Valid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Turn</w:t>
            </w:r>
          </w:p>
        </w:tc>
        <w:tc>
          <w:tcPr>
            <w:tcW w:type="dxa" w:w="7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User Prompt</w:t>
            </w:r>
          </w:p>
        </w:tc>
        <w:tc>
          <w:tcPr>
            <w:tcW w:type="dxa" w:w="7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"Generate the loan status report and email it to manager@bank.com."</w:t>
            </w:r>
          </w:p>
        </w:tc>
      </w:tr>
      <w:tr>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Agent Action 1</w:t>
            </w:r>
          </w:p>
        </w:tc>
        <w:tc>
          <w:tcPr>
            <w:tcW w:type="dxa" w:w="7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[Calls ReportTool: reportType=LOAN_STATUS]</w:t>
            </w:r>
          </w:p>
        </w:tc>
      </w:tr>
      <w:tr>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Agent Action 2</w:t>
            </w:r>
          </w:p>
        </w:tc>
        <w:tc>
          <w:tcPr>
            <w:tcW w:type="dxa" w:w="7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[Calls MailTool: recipientEmail=manager@bank.com, messageBody=&lt;report summary&gt;]</w:t>
            </w:r>
          </w:p>
        </w:tc>
      </w:tr>
      <w:tr>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Agent Response</w:t>
            </w:r>
          </w:p>
        </w:tc>
        <w:tc>
          <w:tcPr>
            <w:tcW w:type="dxa" w:w="7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Loan Status report has been generated. Active loans: 85, Closed loans: 312, Defaulted loans: 7. The report has been successfully sent to manager@bank.com."</w:t>
            </w:r>
          </w:p>
        </w:tc>
      </w:tr>
    </w:tbl>
    <w:p>
      <w:pPr>
        <w:spacing w:after="120" w:before="120"/>
      </w:pPr>
      <w:r>
        <w:rPr>
          <w:rFonts w:ascii="Arial" w:cs="Arial" w:eastAsia="Arial" w:hAnsi="Arial"/>
          <w:b w:val="false"/>
          <w:bCs w:val="false"/>
          <w:color w:val="1A1A1A"/>
          <w:sz w:val="20"/>
          <w:szCs w:val="20"/>
        </w:rPr>
        <w:t xml:space="preserve"/>
      </w:r>
    </w:p>
    <w:p>
      <w:pPr>
        <w:pStyle w:val="Heading2"/>
        <w:spacing w:after="120" w:before="280"/>
      </w:pPr>
      <w:r>
        <w:rPr>
          <w:rFonts w:ascii="Arial" w:cs="Arial" w:eastAsia="Arial" w:hAnsi="Arial"/>
          <w:b/>
          <w:bCs/>
          <w:color w:val="2E5FA3"/>
          <w:sz w:val="26"/>
          <w:szCs w:val="26"/>
        </w:rPr>
        <w:t xml:space="preserve">12.3 Mail with Invalid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Turn</w:t>
            </w:r>
          </w:p>
        </w:tc>
        <w:tc>
          <w:tcPr>
            <w:tcW w:type="dxa" w:w="7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r>
      <w:tr>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User Prompt</w:t>
            </w:r>
          </w:p>
        </w:tc>
        <w:tc>
          <w:tcPr>
            <w:tcW w:type="dxa" w:w="7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"Send the account balance report to john@gmail.com."</w:t>
            </w:r>
          </w:p>
        </w:tc>
      </w:tr>
      <w:tr>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Agent Action 1</w:t>
            </w:r>
          </w:p>
        </w:tc>
        <w:tc>
          <w:tcPr>
            <w:tcW w:type="dxa" w:w="7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[Calls ReportTool: reportType=ACCOUNT_BALANCE]</w:t>
            </w:r>
          </w:p>
        </w:tc>
      </w:tr>
      <w:tr>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Agent Action 2</w:t>
            </w:r>
          </w:p>
        </w:tc>
        <w:tc>
          <w:tcPr>
            <w:tcW w:type="dxa" w:w="7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[Calls MailTool: recipientEmail=john@gmail.com, ...]</w:t>
            </w:r>
          </w:p>
        </w:tc>
      </w:tr>
      <w:tr>
        <w:tc>
          <w:tcPr>
            <w:tcW w:type="dxa" w:w="2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bCs/>
                <w:color w:val="1A1A1A"/>
                <w:sz w:val="20"/>
                <w:szCs w:val="20"/>
              </w:rPr>
              <w:t xml:space="preserve">Tool Response</w:t>
            </w:r>
          </w:p>
        </w:tc>
        <w:tc>
          <w:tcPr>
            <w:tcW w:type="dxa" w:w="7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"Mail delivery failed: recipient address must be an internal @bank.com address."</w:t>
            </w:r>
          </w:p>
        </w:tc>
      </w:tr>
      <w:tr>
        <w:tc>
          <w:tcPr>
            <w:tcW w:type="dxa" w:w="2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bCs/>
                <w:color w:val="1A1A1A"/>
                <w:sz w:val="20"/>
                <w:szCs w:val="20"/>
              </w:rPr>
              <w:t xml:space="preserve">Agent Response</w:t>
            </w:r>
          </w:p>
        </w:tc>
        <w:tc>
          <w:tcPr>
            <w:tcW w:type="dxa" w:w="7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"The Account Balance report was generated. However, I was unable to send it to john@gmail.com because only internal @bank.com addresses are permitted. Please provide a valid bank email address."</w:t>
            </w:r>
          </w:p>
        </w:tc>
      </w:tr>
    </w:tbl>
    <w:p>
      <w:pPr>
        <w:pBdr>
          <w:bottom w:val="single" w:color="C0C8D8" w:sz="4" w:space="1"/>
        </w:pBdr>
        <w:spacing w:after="80" w:before="80"/>
      </w:pPr>
    </w:p>
    <w:p>
      <w:r>
        <w:br w:type="page"/>
      </w:r>
    </w:p>
    <w:p>
      <w:pPr>
        <w:pStyle w:val="Heading1"/>
        <w:pBdr>
          <w:bottom w:val="single" w:color="1B3A6B" w:sz="8" w:space="4"/>
        </w:pBdr>
        <w:spacing w:after="160" w:before="360"/>
      </w:pPr>
      <w:r>
        <w:rPr>
          <w:rFonts w:ascii="Arial" w:cs="Arial" w:eastAsia="Arial" w:hAnsi="Arial"/>
          <w:b/>
          <w:bCs/>
          <w:color w:val="1B3A6B"/>
          <w:sz w:val="36"/>
          <w:szCs w:val="36"/>
        </w:rPr>
        <w:t xml:space="preserve">13. Recommended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51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src/main/java/com/bank/agent/</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Root application package</w:t>
            </w:r>
          </w:p>
        </w:tc>
      </w:tr>
      <w:tr>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  AgentApplication.java</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Boot entry point (@SpringBootApplication)</w:t>
            </w:r>
          </w:p>
        </w:tc>
      </w:tr>
      <w:tr>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controller/AgentController.java</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REST endpoint: POST /api/agent/query</w:t>
            </w:r>
          </w:p>
        </w:tc>
      </w:tr>
      <w:tr>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  service/AgentService.java</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ChatClient wiring, tool registration, prompt execution</w:t>
            </w:r>
          </w:p>
        </w:tc>
      </w:tr>
      <w:tr>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tool/ReportTool.java</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@Tool annotated bean for report generation</w:t>
            </w:r>
          </w:p>
        </w:tc>
      </w:tr>
      <w:tr>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  tool/MailTool.java</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@Tool annotated bean for mail validation + mock send</w:t>
            </w:r>
          </w:p>
        </w:tc>
      </w:tr>
      <w:tr>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repository/ReportRepository.java</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JdbcTemplate / NamedParameterJdbcTemplate queries</w:t>
            </w:r>
          </w:p>
        </w:tc>
      </w:tr>
      <w:tr>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  model/AgentRequest.java</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REST request DTO {prompt: String}</w:t>
            </w:r>
          </w:p>
        </w:tc>
      </w:tr>
      <w:tr>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  model/AgentResponse.java</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REST response DTO {answer: String}</w:t>
            </w:r>
          </w:p>
        </w:tc>
      </w:tr>
      <w:tr>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src/main/resources/schema.sql</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H2 DDL: CREATE TABLE statements</w:t>
            </w:r>
          </w:p>
        </w:tc>
      </w:tr>
      <w:tr>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src/main/resources/data.sql</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H2 DML: INSERT sample data</w:t>
            </w:r>
          </w:p>
        </w:tc>
      </w:tr>
      <w:tr>
        <w:tc>
          <w:tcPr>
            <w:tcW w:type="dxa" w:w="42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src/main/resources/application.properties</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configuration (LLM URL, key, H2, logging)</w:t>
            </w:r>
          </w:p>
        </w:tc>
      </w:tr>
      <w:tr>
        <w:tc>
          <w:tcPr>
            <w:tcW w:type="dxa" w:w="42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pom.xml</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Maven build file pointing to internal Artifactory</w:t>
            </w:r>
          </w:p>
        </w:tc>
      </w:tr>
    </w:tbl>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14. Constraints &amp; Assumptions</w:t>
      </w:r>
    </w:p>
    <w:p>
      <w:pPr>
        <w:pStyle w:val="Heading2"/>
        <w:spacing w:after="120" w:before="280"/>
      </w:pPr>
      <w:r>
        <w:rPr>
          <w:rFonts w:ascii="Arial" w:cs="Arial" w:eastAsia="Arial" w:hAnsi="Arial"/>
          <w:b/>
          <w:bCs/>
          <w:color w:val="2E5FA3"/>
          <w:sz w:val="26"/>
          <w:szCs w:val="26"/>
        </w:rPr>
        <w:t xml:space="preserve">14.1 Constraints</w:t>
      </w:r>
    </w:p>
    <w:p>
      <w:pPr>
        <w:pStyle w:val="ListParagraph"/>
        <w:numPr>
          <w:ilvl w:val="0"/>
          <w:numId w:val="2"/>
        </w:numPr>
        <w:spacing w:after="60" w:before="60"/>
      </w:pPr>
      <w:r>
        <w:rPr>
          <w:rFonts w:ascii="Arial" w:cs="Arial" w:eastAsia="Arial" w:hAnsi="Arial"/>
          <w:color w:val="1A1A1A"/>
          <w:sz w:val="20"/>
          <w:szCs w:val="20"/>
        </w:rPr>
        <w:t xml:space="preserve">Spring AI version is fixed at 1.0.0-M6 — no upgrade during this demo cycle.</w:t>
      </w:r>
    </w:p>
    <w:p>
      <w:pPr>
        <w:pStyle w:val="ListParagraph"/>
        <w:numPr>
          <w:ilvl w:val="0"/>
          <w:numId w:val="2"/>
        </w:numPr>
        <w:spacing w:after="60" w:before="60"/>
      </w:pPr>
      <w:r>
        <w:rPr>
          <w:rFonts w:ascii="Arial" w:cs="Arial" w:eastAsia="Arial" w:hAnsi="Arial"/>
          <w:color w:val="1A1A1A"/>
          <w:sz w:val="20"/>
          <w:szCs w:val="20"/>
        </w:rPr>
        <w:t xml:space="preserve">The internal LLM must expose an OpenAI-compatible chat completions API (/v1/chat/completions) to work with the spring-ai-openai-spring-boot-starter.</w:t>
      </w:r>
    </w:p>
    <w:p>
      <w:pPr>
        <w:pStyle w:val="ListParagraph"/>
        <w:numPr>
          <w:ilvl w:val="0"/>
          <w:numId w:val="2"/>
        </w:numPr>
        <w:spacing w:after="60" w:before="60"/>
      </w:pPr>
      <w:r>
        <w:rPr>
          <w:rFonts w:ascii="Arial" w:cs="Arial" w:eastAsia="Arial" w:hAnsi="Arial"/>
          <w:color w:val="1A1A1A"/>
          <w:sz w:val="20"/>
          <w:szCs w:val="20"/>
        </w:rPr>
        <w:t xml:space="preserve">The internal Artifactory must already mirror the Spring Milestones repository so the M6 jar is available.</w:t>
      </w:r>
    </w:p>
    <w:p>
      <w:pPr>
        <w:pStyle w:val="ListParagraph"/>
        <w:numPr>
          <w:ilvl w:val="0"/>
          <w:numId w:val="2"/>
        </w:numPr>
        <w:spacing w:after="60" w:before="60"/>
      </w:pPr>
      <w:r>
        <w:rPr>
          <w:rFonts w:ascii="Arial" w:cs="Arial" w:eastAsia="Arial" w:hAnsi="Arial"/>
          <w:color w:val="1A1A1A"/>
          <w:sz w:val="20"/>
          <w:szCs w:val="20"/>
        </w:rPr>
        <w:t xml:space="preserve">Email domain is hardcoded to bank.com. Any change requires a code modification and redeployment.</w:t>
      </w:r>
    </w:p>
    <w:p>
      <w:pPr>
        <w:pStyle w:val="ListParagraph"/>
        <w:numPr>
          <w:ilvl w:val="0"/>
          <w:numId w:val="2"/>
        </w:numPr>
        <w:spacing w:after="60" w:before="60"/>
      </w:pPr>
      <w:r>
        <w:rPr>
          <w:rFonts w:ascii="Arial" w:cs="Arial" w:eastAsia="Arial" w:hAnsi="Arial"/>
          <w:color w:val="1A1A1A"/>
          <w:sz w:val="20"/>
          <w:szCs w:val="20"/>
        </w:rPr>
        <w:t xml:space="preserve">H2 data resets on every application restart (in-memory mode).</w:t>
      </w:r>
    </w:p>
    <w:p>
      <w:pPr>
        <w:pStyle w:val="Heading2"/>
        <w:spacing w:after="120" w:before="280"/>
      </w:pPr>
      <w:r>
        <w:rPr>
          <w:rFonts w:ascii="Arial" w:cs="Arial" w:eastAsia="Arial" w:hAnsi="Arial"/>
          <w:b/>
          <w:bCs/>
          <w:color w:val="2E5FA3"/>
          <w:sz w:val="26"/>
          <w:szCs w:val="26"/>
        </w:rPr>
        <w:t xml:space="preserve">14.2 Assumptions</w:t>
      </w:r>
    </w:p>
    <w:p>
      <w:pPr>
        <w:pStyle w:val="ListParagraph"/>
        <w:numPr>
          <w:ilvl w:val="0"/>
          <w:numId w:val="2"/>
        </w:numPr>
        <w:spacing w:after="60" w:before="60"/>
      </w:pPr>
      <w:r>
        <w:rPr>
          <w:rFonts w:ascii="Arial" w:cs="Arial" w:eastAsia="Arial" w:hAnsi="Arial"/>
          <w:color w:val="1A1A1A"/>
          <w:sz w:val="20"/>
          <w:szCs w:val="20"/>
        </w:rPr>
        <w:t xml:space="preserve">The developer has network access to the internal Artifactory and LLM endpoint at development time.</w:t>
      </w:r>
    </w:p>
    <w:p>
      <w:pPr>
        <w:pStyle w:val="ListParagraph"/>
        <w:numPr>
          <w:ilvl w:val="0"/>
          <w:numId w:val="2"/>
        </w:numPr>
        <w:spacing w:after="60" w:before="60"/>
      </w:pPr>
      <w:r>
        <w:rPr>
          <w:rFonts w:ascii="Arial" w:cs="Arial" w:eastAsia="Arial" w:hAnsi="Arial"/>
          <w:color w:val="1A1A1A"/>
          <w:sz w:val="20"/>
          <w:szCs w:val="20"/>
        </w:rPr>
        <w:t xml:space="preserve">The audience will interact with the demo via a REST client (curl, Postman, or a minimal HTML form) — no polished UI is expected.</w:t>
      </w:r>
    </w:p>
    <w:p>
      <w:pPr>
        <w:pStyle w:val="ListParagraph"/>
        <w:numPr>
          <w:ilvl w:val="0"/>
          <w:numId w:val="2"/>
        </w:numPr>
        <w:spacing w:after="60" w:before="60"/>
      </w:pPr>
      <w:r>
        <w:rPr>
          <w:rFonts w:ascii="Arial" w:cs="Arial" w:eastAsia="Arial" w:hAnsi="Arial"/>
          <w:color w:val="1A1A1A"/>
          <w:sz w:val="20"/>
          <w:szCs w:val="20"/>
        </w:rPr>
        <w:t xml:space="preserve">The internally hosted LLM model supports function / tool calling in its OpenAI-compatible API response.</w:t>
      </w:r>
    </w:p>
    <w:p>
      <w:pPr>
        <w:pStyle w:val="ListParagraph"/>
        <w:numPr>
          <w:ilvl w:val="0"/>
          <w:numId w:val="2"/>
        </w:numPr>
        <w:spacing w:after="60" w:before="60"/>
      </w:pPr>
      <w:r>
        <w:rPr>
          <w:rFonts w:ascii="Arial" w:cs="Arial" w:eastAsia="Arial" w:hAnsi="Arial"/>
          <w:color w:val="1A1A1A"/>
          <w:sz w:val="20"/>
          <w:szCs w:val="20"/>
        </w:rPr>
        <w:t xml:space="preserve">Java 21 and Maven 3.9+ are available on the demo machine.</w:t>
      </w:r>
    </w:p>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15. Acceptance Criteria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160"/>
        <w:gridCol w:w="1600"/>
        <w:gridCol w:w="1600"/>
      </w:tblGrid>
      <w:tr>
        <w:tc>
          <w:tcPr>
            <w:tcW w:type="dxa" w:w="10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w:t>
            </w:r>
          </w:p>
        </w:tc>
        <w:tc>
          <w:tcPr>
            <w:tcW w:type="dxa" w:w="51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16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Validation</w:t>
            </w:r>
          </w:p>
        </w:tc>
        <w:tc>
          <w:tcPr>
            <w:tcW w:type="dxa" w:w="16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AC-01</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Application starts without errors using 'mvn spring-boot:run'.</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Manual</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AC-02</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Prompt 'Generate a transaction report' triggers exactly one ReportTool call in logs.</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 review</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AC-03</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Prompt requesting report + email triggers ReportTool then MailTool in sequence.</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Log review</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AC-04</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Email to user@bank.com returns success message; no SMTP call visible in logs.</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Manual</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AC-05</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Email to user@gmail.com returns domain rejection message — not an exception.</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Manual</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AC-06</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Email to user@hr.bank.com (sub-domain) returns domain rejection message.</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Manual</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AC-07</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All Maven dependencies resolve from internal Artifactory — no Maven Central traffic.</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Network log / Artifactory audit</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Must Have</w:t>
            </w:r>
          </w:p>
        </w:tc>
      </w:tr>
      <w:tr>
        <w:tc>
          <w:tcPr>
            <w:tcW w:type="dxa" w:w="10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AC-08</w:t>
            </w:r>
          </w:p>
        </w:tc>
        <w:tc>
          <w:tcPr>
            <w:tcW w:type="dxa" w:w="51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/actuator/health returns {status: UP}.</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curl</w:t>
            </w:r>
          </w:p>
        </w:tc>
        <w:tc>
          <w:tcPr>
            <w:tcW w:type="dxa" w:w="1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Should Have</w:t>
            </w:r>
          </w:p>
        </w:tc>
      </w:tr>
      <w:tr>
        <w:tc>
          <w:tcPr>
            <w:tcW w:type="dxa" w:w="10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AC-09</w:t>
            </w:r>
          </w:p>
        </w:tc>
        <w:tc>
          <w:tcPr>
            <w:tcW w:type="dxa" w:w="51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H2 console accessible at /h2-console and shows seeded data.</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Browser</w:t>
            </w:r>
          </w:p>
        </w:tc>
        <w:tc>
          <w:tcPr>
            <w:tcW w:type="dxa" w:w="1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Should Have</w:t>
            </w:r>
          </w:p>
        </w:tc>
      </w:tr>
    </w:tbl>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16.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c>
          <w:tcPr>
            <w:tcW w:type="dxa" w:w="36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43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3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Internal LLM does not support tool calling</w:t>
            </w:r>
          </w:p>
        </w:tc>
        <w:tc>
          <w:tcPr>
            <w:tcW w:type="dxa" w:w="1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Medium</w:t>
            </w:r>
          </w:p>
        </w:tc>
        <w:tc>
          <w:tcPr>
            <w:tcW w:type="dxa" w:w="4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Verify capability with a simple curl test before development. If not supported, use prompt-engineering-based tool simulation as fallback.</w:t>
            </w:r>
          </w:p>
        </w:tc>
      </w:tr>
      <w:tr>
        <w:tc>
          <w:tcPr>
            <w:tcW w:type="dxa" w:w="3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AI M6 jar not available in Artifactory</w:t>
            </w:r>
          </w:p>
        </w:tc>
        <w:tc>
          <w:tcPr>
            <w:tcW w:type="dxa" w:w="1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Medium</w:t>
            </w:r>
          </w:p>
        </w:tc>
        <w:tc>
          <w:tcPr>
            <w:tcW w:type="dxa" w:w="4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Pre-upload the jar to Artifactory from a machine with temporary internet access. Document the manual upload process.</w:t>
            </w:r>
          </w:p>
        </w:tc>
      </w:tr>
      <w:tr>
        <w:tc>
          <w:tcPr>
            <w:tcW w:type="dxa" w:w="36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LLM latency too high during live demo</w:t>
            </w:r>
          </w:p>
        </w:tc>
        <w:tc>
          <w:tcPr>
            <w:tcW w:type="dxa" w:w="1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Low</w:t>
            </w:r>
          </w:p>
        </w:tc>
        <w:tc>
          <w:tcPr>
            <w:tcW w:type="dxa" w:w="43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Pre-warm with a prompt before the audience joins. Have a recorded screencast as backup.</w:t>
            </w:r>
          </w:p>
        </w:tc>
      </w:tr>
      <w:tr>
        <w:tc>
          <w:tcPr>
            <w:tcW w:type="dxa" w:w="36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Model name / API path differs from OpenAI standard</w:t>
            </w:r>
          </w:p>
        </w:tc>
        <w:tc>
          <w:tcPr>
            <w:tcW w:type="dxa" w:w="1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Medium</w:t>
            </w:r>
          </w:p>
        </w:tc>
        <w:tc>
          <w:tcPr>
            <w:tcW w:type="dxa" w:w="43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Make model name and chat path configurable via properties. Test early with a health-check prompt.</w:t>
            </w:r>
          </w:p>
        </w:tc>
      </w:tr>
    </w:tbl>
    <w:p>
      <w:pPr>
        <w:pBdr>
          <w:bottom w:val="single" w:color="C0C8D8" w:sz="4" w:space="1"/>
        </w:pBdr>
        <w:spacing w:after="80" w:before="80"/>
      </w:pPr>
    </w:p>
    <w:p>
      <w:pPr>
        <w:pStyle w:val="Heading1"/>
        <w:pBdr>
          <w:bottom w:val="single" w:color="1B3A6B" w:sz="8" w:space="4"/>
        </w:pBdr>
        <w:spacing w:after="160" w:before="360"/>
      </w:pPr>
      <w:r>
        <w:rPr>
          <w:rFonts w:ascii="Arial" w:cs="Arial" w:eastAsia="Arial" w:hAnsi="Arial"/>
          <w:b/>
          <w:bCs/>
          <w:color w:val="1B3A6B"/>
          <w:sz w:val="36"/>
          <w:szCs w:val="36"/>
        </w:rPr>
        <w:t xml:space="preserve">17.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gridSpan w:val="1"/>
            <w:tcBorders>
              <w:top w:val="single" w:color="C0C8D8" w:sz="1"/>
              <w:left w:val="single" w:color="C0C8D8" w:sz="1"/>
              <w:bottom w:val="single" w:color="C0C8D8" w:sz="1"/>
              <w:right w:val="single" w:color="C0C8D8"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AI Agent</w:t>
            </w:r>
          </w:p>
        </w:tc>
        <w:tc>
          <w:tcPr>
            <w:tcW w:type="dxa" w:w="69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 software system that uses an LLM as a reasoning engine to autonomously select and invoke tools to fulfill a user's goal.</w:t>
            </w:r>
          </w:p>
        </w:tc>
      </w:tr>
      <w:tr>
        <w:tc>
          <w:tcPr>
            <w:tcW w:type="dxa" w:w="2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AI</w:t>
            </w:r>
          </w:p>
        </w:tc>
        <w:tc>
          <w:tcPr>
            <w:tcW w:type="dxa" w:w="69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 open-source Spring project providing abstractions for building AI-powered applications with various LLM providers.</w:t>
            </w:r>
          </w:p>
        </w:tc>
      </w:tr>
      <w:tr>
        <w:tc>
          <w:tcPr>
            <w:tcW w:type="dxa" w:w="2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Tool / Function Calling</w:t>
            </w:r>
          </w:p>
        </w:tc>
        <w:tc>
          <w:tcPr>
            <w:tcW w:type="dxa" w:w="69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 mechanism by which an LLM can request the execution of a named function with structured arguments, and incorporate the result into its response.</w:t>
            </w:r>
          </w:p>
        </w:tc>
      </w:tr>
      <w:tr>
        <w:tc>
          <w:tcPr>
            <w:tcW w:type="dxa" w:w="2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H2</w:t>
            </w:r>
          </w:p>
        </w:tc>
        <w:tc>
          <w:tcPr>
            <w:tcW w:type="dxa" w:w="69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An embedded, in-memory relational database written in Java. Zero external setup required.</w:t>
            </w:r>
          </w:p>
        </w:tc>
      </w:tr>
      <w:tr>
        <w:tc>
          <w:tcPr>
            <w:tcW w:type="dxa" w:w="2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Artifactory</w:t>
            </w:r>
          </w:p>
        </w:tc>
        <w:tc>
          <w:tcPr>
            <w:tcW w:type="dxa" w:w="69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JFrog Artifactory — the organisation's internal binary repository manager used as a Maven proxy.</w:t>
            </w:r>
          </w:p>
        </w:tc>
      </w:tr>
      <w:tr>
        <w:tc>
          <w:tcPr>
            <w:tcW w:type="dxa" w:w="2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M6 (Milestone 6)</w:t>
            </w:r>
          </w:p>
        </w:tc>
        <w:tc>
          <w:tcPr>
            <w:tcW w:type="dxa" w:w="69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A pre-release milestone version of Spring AI 1.0.0. Not a stable GA release but functional for demo purposes.</w:t>
            </w:r>
          </w:p>
        </w:tc>
      </w:tr>
      <w:tr>
        <w:tc>
          <w:tcPr>
            <w:tcW w:type="dxa" w:w="240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Mock Mail</w:t>
            </w:r>
          </w:p>
        </w:tc>
        <w:tc>
          <w:tcPr>
            <w:tcW w:type="dxa" w:w="6960"/>
            <w:gridSpan w:val="1"/>
            <w:tcBorders>
              <w:top w:val="single" w:color="C0C8D8" w:sz="1"/>
              <w:left w:val="single" w:color="C0C8D8" w:sz="1"/>
              <w:bottom w:val="single" w:color="C0C8D8" w:sz="1"/>
              <w:right w:val="single" w:color="C0C8D8" w:sz="1"/>
            </w:tcBorders>
            <w:shd w:fill="FFFFFF" w:val="clear"/>
            <w:tcMar>
              <w:top w:type="dxa" w:w="100"/>
              <w:left w:type="dxa" w:w="140"/>
              <w:bottom w:type="dxa" w:w="100"/>
              <w:right w:type="dxa" w:w="140"/>
            </w:tcMar>
          </w:tcPr>
          <w:p>
            <w:r>
              <w:rPr>
                <w:rFonts w:ascii="Arial" w:cs="Arial" w:eastAsia="Arial" w:hAnsi="Arial"/>
                <w:b w:val="false"/>
                <w:bCs w:val="false"/>
                <w:color w:val="1A1A1A"/>
                <w:sz w:val="20"/>
                <w:szCs w:val="20"/>
              </w:rPr>
              <w:t xml:space="preserve">A simulated email send that logs the event and returns a response without invoking any mail transport protocol.</w:t>
            </w:r>
          </w:p>
        </w:tc>
      </w:tr>
      <w:tr>
        <w:tc>
          <w:tcPr>
            <w:tcW w:type="dxa" w:w="240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ChatClient</w:t>
            </w:r>
          </w:p>
        </w:tc>
        <w:tc>
          <w:tcPr>
            <w:tcW w:type="dxa" w:w="6960"/>
            <w:gridSpan w:val="1"/>
            <w:tcBorders>
              <w:top w:val="single" w:color="C0C8D8" w:sz="1"/>
              <w:left w:val="single" w:color="C0C8D8" w:sz="1"/>
              <w:bottom w:val="single" w:color="C0C8D8" w:sz="1"/>
              <w:right w:val="single" w:color="C0C8D8" w:sz="1"/>
            </w:tcBorders>
            <w:shd w:fill="F5F7FA" w:val="clear"/>
            <w:tcMar>
              <w:top w:type="dxa" w:w="100"/>
              <w:left w:type="dxa" w:w="140"/>
              <w:bottom w:type="dxa" w:w="100"/>
              <w:right w:type="dxa" w:w="140"/>
            </w:tcMar>
          </w:tcPr>
          <w:p>
            <w:r>
              <w:rPr>
                <w:rFonts w:ascii="Arial" w:cs="Arial" w:eastAsia="Arial" w:hAnsi="Arial"/>
                <w:b w:val="false"/>
                <w:bCs w:val="false"/>
                <w:color w:val="1A1A1A"/>
                <w:sz w:val="20"/>
                <w:szCs w:val="20"/>
              </w:rPr>
              <w:t xml:space="preserve">Spring AI's primary abstraction for interacting with a chat-capable LLM, including tool registration.</w:t>
            </w:r>
          </w:p>
        </w:tc>
      </w:tr>
    </w:tbl>
    <w:p>
      <w:pPr>
        <w:spacing w:after="120" w:before="120"/>
      </w:pPr>
      <w:r>
        <w:rPr>
          <w:rFonts w:ascii="Arial" w:cs="Arial" w:eastAsia="Arial" w:hAnsi="Arial"/>
          <w:b w:val="false"/>
          <w:bCs w:val="false"/>
          <w:color w:val="1A1A1A"/>
          <w:sz w:val="20"/>
          <w:szCs w:val="20"/>
        </w:rPr>
        <w:t xml:space="preserve"/>
      </w:r>
    </w:p>
    <w:p>
      <w:pPr>
        <w:spacing w:after="120" w:before="120"/>
      </w:pPr>
      <w:r>
        <w:rPr>
          <w:rFonts w:ascii="Arial" w:cs="Arial" w:eastAsia="Arial" w:hAnsi="Arial"/>
          <w:b w:val="false"/>
          <w:bCs w:val="false"/>
          <w:color w:val="1A1A1A"/>
          <w:sz w:val="20"/>
          <w:szCs w:val="20"/>
        </w:rPr>
        <w:t xml:space="preserve"/>
      </w:r>
    </w:p>
    <w:p>
      <w:pPr>
        <w:spacing w:after="120" w:before="120"/>
      </w:pPr>
      <w:r>
        <w:rPr>
          <w:rFonts w:ascii="Arial" w:cs="Arial" w:eastAsia="Arial" w:hAnsi="Arial"/>
          <w:b/>
          <w:bCs/>
          <w:color w:val="1B3A6B"/>
          <w:sz w:val="20"/>
          <w:szCs w:val="20"/>
        </w:rPr>
        <w:t xml:space="preserve">End of Document</w:t>
      </w:r>
    </w:p>
    <w:p>
      <w:pPr>
        <w:spacing w:after="120" w:before="120"/>
      </w:pPr>
      <w:r>
        <w:rPr>
          <w:rFonts w:ascii="Arial" w:cs="Arial" w:eastAsia="Arial" w:hAnsi="Arial"/>
          <w:b w:val="false"/>
          <w:bCs w:val="false"/>
          <w:color w:val="777777"/>
          <w:sz w:val="18"/>
          <w:szCs w:val="18"/>
        </w:rPr>
        <w:t xml:space="preserve">Version 1.0 | AI Report Generation Agent PRD | Internal Banking IT Division | June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4" w:space="4"/>
      </w:pBdr>
    </w:pPr>
    <w:r>
      <w:rPr>
        <w:rFonts w:ascii="Arial" w:cs="Arial" w:eastAsia="Arial" w:hAnsi="Arial"/>
        <w:color w:val="888888"/>
        <w:sz w:val="16"/>
        <w:szCs w:val="16"/>
      </w:rPr>
      <w:t xml:space="preserve">Banking IT Division  |  Internal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C8D8" w:sz="4" w:space="4"/>
      </w:pBdr>
    </w:pPr>
    <w:r>
      <w:rPr>
        <w:rFonts w:ascii="Arial" w:cs="Arial" w:eastAsia="Arial" w:hAnsi="Arial"/>
        <w:color w:val="888888"/>
        <w:sz w:val="16"/>
        <w:szCs w:val="16"/>
      </w:rPr>
      <w:t xml:space="preserve">AI Report Generation &amp; Notification Agent  |  PRD v1.0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2026-06-07T02:42:32.522Z</dcterms:created>
  <dcterms:modified xsi:type="dcterms:W3CDTF">2026-06-07T02:42:32.524Z</dcterms:modified>
</cp:coreProperties>
</file>

<file path=docProps/custom.xml><?xml version="1.0" encoding="utf-8"?>
<Properties xmlns="http://schemas.openxmlformats.org/officeDocument/2006/custom-properties" xmlns:vt="http://schemas.openxmlformats.org/officeDocument/2006/docPropsVTypes"/>
</file>