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common superclass for several subclasses. Factor up common behavior. Define the methods they all respond to. Methods that subclasses should implement are declared abstract.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assignment statement evaluates the expression list (remember that this can be a single expression or a comma-separated list, the latter yielding a tuple) and assigns the single resulting object to each of the target lists,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from left to right.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It's because one needs to define something that is NOT done in the base-class' __init__ , and the only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possibility to obtain that is to put its execution in a derived-class' __init__ function.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do it by writing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instance.method(args...) which is automatically translated by Python into this equivalent form: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class.method(instance, args...)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class, when we are calling local variables, we are using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rjCn0zQLORjkEBkbpLAVCohB9Q==">AMUW2mWuAC7yY/jsVrkD+RzumZKqWDiMRv9og4Lseepq67P77qyCk3m6mhx9/PCWbAEWTIXtnu5Wbut5CEDyMqhr4I3wSdPRAdPVK5rgr3gHnK4rlG69bYU=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