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520"/>
      </w:pPr>
      <w:r>
        <w:rPr>
          <w:rFonts w:ascii="Aptos" w:hAnsi="Aptos"/>
          <w:b/>
          <w:color w:val="126B4B"/>
          <w:sz w:val="22"/>
        </w:rPr>
        <w:t>SABISAFE</w:t>
      </w:r>
    </w:p>
    <w:p>
      <w:pPr>
        <w:pStyle w:val="Title"/>
      </w:pPr>
      <w:r>
        <w:t>SabiSafe Project Status and Roadmap</w:t>
      </w:r>
    </w:p>
    <w:p>
      <w:pPr>
        <w:spacing w:after="600"/>
      </w:pPr>
      <w:r>
        <w:rPr>
          <w:rFonts w:ascii="Aptos" w:hAnsi="Aptos"/>
          <w:color w:val="667169"/>
          <w:sz w:val="32"/>
        </w:rPr>
        <w:t>Product brief and implementation review</w:t>
      </w:r>
    </w:p>
    <w:p>
      <w:pPr>
        <w:spacing w:after="320" w:line="288" w:lineRule="auto"/>
      </w:pPr>
      <w:r>
        <w:rPr>
          <w:rFonts w:ascii="Aptos" w:hAnsi="Aptos"/>
          <w:color w:val="18241F"/>
          <w:sz w:val="24"/>
        </w:rPr>
        <w:t>SabiSafe is a Nigerian scam safety application that analyses suspicious messages, screenshots, links, recorded calls, and payment evidence. It explains the warning signs and recommends a safer next action in English or Nigerian Pidgin.</w:t>
      </w:r>
    </w:p>
    <w:p>
      <w:pPr>
        <w:spacing w:after="560"/>
      </w:pPr>
      <w:r>
        <w:rPr>
          <w:rFonts w:ascii="Aptos" w:hAnsi="Aptos"/>
          <w:b/>
          <w:color w:val="126B4B"/>
          <w:sz w:val="22"/>
        </w:rPr>
        <w:t xml:space="preserve">Current conclusion  </w:t>
      </w:r>
      <w:r>
        <w:rPr>
          <w:rFonts w:ascii="Aptos" w:hAnsi="Aptos"/>
          <w:color w:val="18241F"/>
          <w:sz w:val="22"/>
        </w:rPr>
        <w:t>The repository now contains an expanded five guard client side MVP, explainable evidence scoring, real in browser call transcription, payment evidence checks, opt in local history, and honest local reporting. It is ready for a controlled demonstration, but still needs backend services, live reputation, external reporting integrations, security controls, and measured detection accuracy before production use.</w:t>
      </w:r>
    </w:p>
    <w:p>
      <w:pPr>
        <w:spacing w:before="1200"/>
      </w:pPr>
      <w:r>
        <w:rPr>
          <w:rFonts w:ascii="Aptos" w:hAnsi="Aptos"/>
          <w:b/>
          <w:color w:val="126B4B"/>
          <w:sz w:val="18"/>
        </w:rPr>
        <w:t>Prepared</w:t>
        <w:br/>
      </w:r>
      <w:r>
        <w:rPr>
          <w:rFonts w:ascii="Aptos" w:hAnsi="Aptos"/>
          <w:color w:val="18241F"/>
          <w:sz w:val="21"/>
        </w:rPr>
        <w:t>26 September 2026</w:t>
        <w:br/>
        <w:br/>
      </w:r>
      <w:r>
        <w:rPr>
          <w:rFonts w:ascii="Aptos" w:hAnsi="Aptos"/>
          <w:b/>
          <w:color w:val="126B4B"/>
          <w:sz w:val="18"/>
        </w:rPr>
        <w:t>Repository state</w:t>
        <w:br/>
      </w:r>
      <w:r>
        <w:rPr>
          <w:rFonts w:ascii="Aptos" w:hAnsi="Aptos"/>
          <w:color w:val="18241F"/>
          <w:sz w:val="21"/>
        </w:rPr>
        <w:t>Working tree based on commit 53a7f83 on main</w:t>
        <w:br/>
        <w:br/>
      </w:r>
      <w:r>
        <w:rPr>
          <w:rFonts w:ascii="Aptos" w:hAnsi="Aptos"/>
          <w:b/>
          <w:color w:val="126B4B"/>
          <w:sz w:val="18"/>
        </w:rPr>
        <w:t>Technology</w:t>
        <w:br/>
      </w:r>
      <w:r>
        <w:rPr>
          <w:rFonts w:ascii="Aptos" w:hAnsi="Aptos"/>
          <w:color w:val="18241F"/>
          <w:sz w:val="21"/>
        </w:rPr>
        <w:t>React 18, TypeScript, Vite, Tesseract.js, Transformers.js, Vitest</w:t>
        <w:br/>
        <w:br/>
      </w:r>
      <w:r>
        <w:rPr>
          <w:rFonts w:ascii="Aptos" w:hAnsi="Aptos"/>
          <w:b/>
          <w:color w:val="126B4B"/>
          <w:sz w:val="18"/>
        </w:rPr>
        <w:t>Document scope</w:t>
        <w:br/>
      </w:r>
      <w:r>
        <w:rPr>
          <w:rFonts w:ascii="Aptos" w:hAnsi="Aptos"/>
          <w:color w:val="18241F"/>
          <w:sz w:val="21"/>
        </w:rPr>
        <w:t>Product definition, completed work, gaps, and delivery roadmap</w:t>
        <w:br/>
        <w:br/>
      </w:r>
    </w:p>
    <w:p>
      <w:r>
        <w:br w:type="page"/>
      </w:r>
    </w:p>
    <w:p>
      <w:pPr>
        <w:pStyle w:val="Heading1"/>
      </w:pPr>
      <w:r>
        <w:t>Executive Summary</w:t>
      </w:r>
    </w:p>
    <w:p>
      <w:pPr>
        <w:spacing w:after="160"/>
      </w:pPr>
      <w:r>
        <w:t>SabiSafe helps a person pause before responding to a suspicious interaction. A user can paste a message, inspect a link, upload a screenshot, transcribe a recorded call, or verify payment evidence. The application returns a risk score, a separate confidence value, likely scam category, warning evidence, and recommended action. The same evidence can be explained in English or Nigerian Pidgin.</w:t>
      </w:r>
    </w:p>
    <w:p>
      <w:pPr>
        <w:spacing w:after="200"/>
      </w:pPr>
      <w:r>
        <w:t>The main technical concept is evidence first risk analysis. Independent detectors identify message and URL signals. A separate policy assigns points, recognises dangerous combinations, and preserves an audit trace. This makes the result easier to test and explain than a single opaque model response.</w:t>
      </w:r>
    </w:p>
    <w:p>
      <w:pPr>
        <w:pStyle w:val="Heading2"/>
      </w:pPr>
      <w:r>
        <w:t>Current Product Status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088"/>
            <w:shd w:fill="26322C"/>
            <w:tcMar>
              <w:top w:w="120" w:type="dxa"/>
              <w:start w:w="130" w:type="dxa"/>
              <w:bottom w:w="120" w:type="dxa"/>
              <w:end w:w="130" w:type="dxa"/>
            </w:tcMar>
            <w:vAlign w:val="center"/>
          </w:tcPr>
          <w:p>
            <w:pPr>
              <w:spacing w:after="0"/>
              <w:jc w:val="left"/>
            </w:pPr>
            <w:r>
              <w:rPr>
                <w:rFonts w:ascii="Aptos" w:hAnsi="Aptos"/>
                <w:b/>
                <w:color w:val="FFFFFF"/>
                <w:sz w:val="18"/>
              </w:rPr>
              <w:t>Area</w:t>
            </w:r>
          </w:p>
        </w:tc>
        <w:tc>
          <w:tcPr>
            <w:tcW w:type="dxa" w:w="1656"/>
            <w:shd w:fill="26322C"/>
            <w:tcMar>
              <w:top w:w="120" w:type="dxa"/>
              <w:start w:w="130" w:type="dxa"/>
              <w:bottom w:w="120" w:type="dxa"/>
              <w:end w:w="130" w:type="dxa"/>
            </w:tcMar>
            <w:vAlign w:val="center"/>
          </w:tcPr>
          <w:p>
            <w:pPr>
              <w:spacing w:after="0"/>
              <w:jc w:val="center"/>
            </w:pPr>
            <w:r>
              <w:rPr>
                <w:rFonts w:ascii="Aptos" w:hAnsi="Aptos"/>
                <w:b/>
                <w:color w:val="FFFFFF"/>
                <w:sz w:val="18"/>
              </w:rPr>
              <w:t>Status</w:t>
            </w:r>
          </w:p>
        </w:tc>
        <w:tc>
          <w:tcPr>
            <w:tcW w:type="dxa" w:w="5976"/>
            <w:shd w:fill="26322C"/>
            <w:tcMar>
              <w:top w:w="120" w:type="dxa"/>
              <w:start w:w="130" w:type="dxa"/>
              <w:bottom w:w="120" w:type="dxa"/>
              <w:end w:w="130" w:type="dxa"/>
            </w:tcMar>
            <w:vAlign w:val="center"/>
          </w:tcPr>
          <w:p>
            <w:pPr>
              <w:spacing w:after="0"/>
              <w:jc w:val="left"/>
            </w:pPr>
            <w:r>
              <w:rPr>
                <w:rFonts w:ascii="Aptos" w:hAnsi="Aptos"/>
                <w:b/>
                <w:color w:val="FFFFFF"/>
                <w:sz w:val="18"/>
              </w:rPr>
              <w:t>Meaning</w:t>
            </w:r>
          </w:p>
        </w:tc>
      </w:tr>
      <w:tr>
        <w:trPr>
          <w:cantSplit w:val="true"/>
        </w:trPr>
        <w:tc>
          <w:tcPr>
            <w:tcW w:type="dxa" w:w="2088"/>
            <w:vAlign w:val="center"/>
            <w:tcMar>
              <w:top w:w="105" w:type="dxa"/>
              <w:start w:w="130" w:type="dxa"/>
              <w:bottom w:w="105" w:type="dxa"/>
              <w:end w:w="130" w:type="dxa"/>
            </w:tcMar>
          </w:tcPr>
          <w:p>
            <w:pPr>
              <w:spacing w:after="0" w:line="252" w:lineRule="auto"/>
            </w:pPr>
            <w:r>
              <w:rPr>
                <w:rFonts w:ascii="Aptos" w:hAnsi="Aptos"/>
                <w:color w:val="18241F"/>
                <w:sz w:val="18"/>
              </w:rPr>
              <w:t>Web experience</w:t>
            </w:r>
          </w:p>
        </w:tc>
        <w:tc>
          <w:tcPr>
            <w:tcW w:type="dxa" w:w="1656"/>
            <w:vAlign w:val="center"/>
            <w:tcMar>
              <w:top w:w="105" w:type="dxa"/>
              <w:start w:w="130" w:type="dxa"/>
              <w:bottom w:w="105" w:type="dxa"/>
              <w:end w:w="130" w:type="dxa"/>
            </w:tcMar>
          </w:tcPr>
          <w:p>
            <w:pPr>
              <w:spacing w:after="0" w:line="252" w:lineRule="auto"/>
              <w:jc w:val="center"/>
            </w:pPr>
            <w:r>
              <w:rPr>
                <w:rFonts w:ascii="Aptos" w:hAnsi="Aptos"/>
                <w:color w:val="18241F"/>
                <w:sz w:val="18"/>
              </w:rPr>
              <w:t>Built</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Responsive React interface with five analysis modes and a detailed evidence first result view</w:t>
            </w:r>
          </w:p>
        </w:tc>
      </w:tr>
      <w:tr>
        <w:trPr>
          <w:cantSplit w:val="true"/>
        </w:trPr>
        <w:tc>
          <w:tcPr>
            <w:tcW w:type="dxa" w:w="2088"/>
            <w:vAlign w:val="center"/>
            <w:tcMar>
              <w:top w:w="105" w:type="dxa"/>
              <w:start w:w="130" w:type="dxa"/>
              <w:bottom w:w="105" w:type="dxa"/>
              <w:end w:w="130" w:type="dxa"/>
            </w:tcMar>
            <w:shd w:fill="F2F5F1"/>
          </w:tcPr>
          <w:p>
            <w:pPr>
              <w:spacing w:after="0" w:line="252" w:lineRule="auto"/>
            </w:pPr>
            <w:r>
              <w:rPr>
                <w:rFonts w:ascii="Aptos" w:hAnsi="Aptos"/>
                <w:color w:val="18241F"/>
                <w:sz w:val="18"/>
              </w:rPr>
              <w:t>Message analysis</w:t>
            </w:r>
          </w:p>
        </w:tc>
        <w:tc>
          <w:tcPr>
            <w:tcW w:type="dxa" w:w="1656"/>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Built</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Deterministic signal detection, scoring, scam classification, and evidence highlighting</w:t>
            </w:r>
          </w:p>
        </w:tc>
      </w:tr>
      <w:tr>
        <w:trPr>
          <w:cantSplit w:val="true"/>
        </w:trPr>
        <w:tc>
          <w:tcPr>
            <w:tcW w:type="dxa" w:w="2088"/>
            <w:vAlign w:val="center"/>
            <w:tcMar>
              <w:top w:w="105" w:type="dxa"/>
              <w:start w:w="130" w:type="dxa"/>
              <w:bottom w:w="105" w:type="dxa"/>
              <w:end w:w="130" w:type="dxa"/>
            </w:tcMar>
          </w:tcPr>
          <w:p>
            <w:pPr>
              <w:spacing w:after="0" w:line="252" w:lineRule="auto"/>
            </w:pPr>
            <w:r>
              <w:rPr>
                <w:rFonts w:ascii="Aptos" w:hAnsi="Aptos"/>
                <w:color w:val="18241F"/>
                <w:sz w:val="18"/>
              </w:rPr>
              <w:t>Screenshot analysis</w:t>
            </w:r>
          </w:p>
        </w:tc>
        <w:tc>
          <w:tcPr>
            <w:tcW w:type="dxa" w:w="1656"/>
            <w:vAlign w:val="center"/>
            <w:tcMar>
              <w:top w:w="105" w:type="dxa"/>
              <w:start w:w="130" w:type="dxa"/>
              <w:bottom w:w="105" w:type="dxa"/>
              <w:end w:w="130" w:type="dxa"/>
            </w:tcMar>
          </w:tcPr>
          <w:p>
            <w:pPr>
              <w:spacing w:after="0" w:line="252" w:lineRule="auto"/>
              <w:jc w:val="center"/>
            </w:pPr>
            <w:r>
              <w:rPr>
                <w:rFonts w:ascii="Aptos" w:hAnsi="Aptos"/>
                <w:color w:val="18241F"/>
                <w:sz w:val="18"/>
              </w:rPr>
              <w:t>Built for MVP</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Browser based English OCR with editable extracted text and honest error states</w:t>
            </w:r>
          </w:p>
        </w:tc>
      </w:tr>
      <w:tr>
        <w:trPr>
          <w:cantSplit w:val="true"/>
        </w:trPr>
        <w:tc>
          <w:tcPr>
            <w:tcW w:type="dxa" w:w="2088"/>
            <w:vAlign w:val="center"/>
            <w:tcMar>
              <w:top w:w="105" w:type="dxa"/>
              <w:start w:w="130" w:type="dxa"/>
              <w:bottom w:w="105" w:type="dxa"/>
              <w:end w:w="130" w:type="dxa"/>
            </w:tcMar>
            <w:shd w:fill="F2F5F1"/>
          </w:tcPr>
          <w:p>
            <w:pPr>
              <w:spacing w:after="0" w:line="252" w:lineRule="auto"/>
            </w:pPr>
            <w:r>
              <w:rPr>
                <w:rFonts w:ascii="Aptos" w:hAnsi="Aptos"/>
                <w:color w:val="18241F"/>
                <w:sz w:val="18"/>
              </w:rPr>
              <w:t>Link analysis</w:t>
            </w:r>
          </w:p>
        </w:tc>
        <w:tc>
          <w:tcPr>
            <w:tcW w:type="dxa" w:w="1656"/>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Built for MVP</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Local URL structure and claimed brand checks without live reputation services</w:t>
            </w:r>
          </w:p>
        </w:tc>
      </w:tr>
      <w:tr>
        <w:trPr>
          <w:cantSplit w:val="true"/>
        </w:trPr>
        <w:tc>
          <w:tcPr>
            <w:tcW w:type="dxa" w:w="2088"/>
            <w:vAlign w:val="center"/>
            <w:tcMar>
              <w:top w:w="105" w:type="dxa"/>
              <w:start w:w="130" w:type="dxa"/>
              <w:bottom w:w="105" w:type="dxa"/>
              <w:end w:w="130" w:type="dxa"/>
            </w:tcMar>
          </w:tcPr>
          <w:p>
            <w:pPr>
              <w:spacing w:after="0" w:line="252" w:lineRule="auto"/>
            </w:pPr>
            <w:r>
              <w:rPr>
                <w:rFonts w:ascii="Aptos" w:hAnsi="Aptos"/>
                <w:color w:val="18241F"/>
                <w:sz w:val="18"/>
              </w:rPr>
              <w:t>Call analysis</w:t>
            </w:r>
          </w:p>
        </w:tc>
        <w:tc>
          <w:tcPr>
            <w:tcW w:type="dxa" w:w="1656"/>
            <w:vAlign w:val="center"/>
            <w:tcMar>
              <w:top w:w="105" w:type="dxa"/>
              <w:start w:w="130" w:type="dxa"/>
              <w:bottom w:w="105" w:type="dxa"/>
              <w:end w:w="130" w:type="dxa"/>
            </w:tcMar>
          </w:tcPr>
          <w:p>
            <w:pPr>
              <w:spacing w:after="0" w:line="252" w:lineRule="auto"/>
              <w:jc w:val="center"/>
            </w:pPr>
            <w:r>
              <w:rPr>
                <w:rFonts w:ascii="Aptos" w:hAnsi="Aptos"/>
                <w:color w:val="18241F"/>
                <w:sz w:val="18"/>
              </w:rPr>
              <w:t>Built for MVP</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Uploaded audio is transcribed locally with Whisper, timestamped, and analysed</w:t>
            </w:r>
          </w:p>
        </w:tc>
      </w:tr>
      <w:tr>
        <w:trPr>
          <w:cantSplit w:val="true"/>
        </w:trPr>
        <w:tc>
          <w:tcPr>
            <w:tcW w:type="dxa" w:w="2088"/>
            <w:vAlign w:val="center"/>
            <w:tcMar>
              <w:top w:w="105" w:type="dxa"/>
              <w:start w:w="130" w:type="dxa"/>
              <w:bottom w:w="105" w:type="dxa"/>
              <w:end w:w="130" w:type="dxa"/>
            </w:tcMar>
            <w:shd w:fill="F2F5F1"/>
          </w:tcPr>
          <w:p>
            <w:pPr>
              <w:spacing w:after="0" w:line="252" w:lineRule="auto"/>
            </w:pPr>
            <w:r>
              <w:rPr>
                <w:rFonts w:ascii="Aptos" w:hAnsi="Aptos"/>
                <w:color w:val="18241F"/>
                <w:sz w:val="18"/>
              </w:rPr>
              <w:t>Payment analysis</w:t>
            </w:r>
          </w:p>
        </w:tc>
        <w:tc>
          <w:tcPr>
            <w:tcW w:type="dxa" w:w="1656"/>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Built for MVP</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Receipt OCR, expected amount comparison, pending state, reference, and release pressure checks</w:t>
            </w:r>
          </w:p>
        </w:tc>
      </w:tr>
      <w:tr>
        <w:trPr>
          <w:cantSplit w:val="true"/>
        </w:trPr>
        <w:tc>
          <w:tcPr>
            <w:tcW w:type="dxa" w:w="2088"/>
            <w:vAlign w:val="center"/>
            <w:tcMar>
              <w:top w:w="105" w:type="dxa"/>
              <w:start w:w="130" w:type="dxa"/>
              <w:bottom w:w="105" w:type="dxa"/>
              <w:end w:w="130" w:type="dxa"/>
            </w:tcMar>
          </w:tcPr>
          <w:p>
            <w:pPr>
              <w:spacing w:after="0" w:line="252" w:lineRule="auto"/>
            </w:pPr>
            <w:r>
              <w:rPr>
                <w:rFonts w:ascii="Aptos" w:hAnsi="Aptos"/>
                <w:color w:val="18241F"/>
                <w:sz w:val="18"/>
              </w:rPr>
              <w:t>History and reporting</w:t>
            </w:r>
          </w:p>
        </w:tc>
        <w:tc>
          <w:tcPr>
            <w:tcW w:type="dxa" w:w="1656"/>
            <w:vAlign w:val="center"/>
            <w:tcMar>
              <w:top w:w="105" w:type="dxa"/>
              <w:start w:w="130" w:type="dxa"/>
              <w:bottom w:w="105" w:type="dxa"/>
              <w:end w:w="130" w:type="dxa"/>
            </w:tcMar>
          </w:tcPr>
          <w:p>
            <w:pPr>
              <w:spacing w:after="0" w:line="252" w:lineRule="auto"/>
              <w:jc w:val="center"/>
            </w:pPr>
            <w:r>
              <w:rPr>
                <w:rFonts w:ascii="Aptos" w:hAnsi="Aptos"/>
                <w:color w:val="18241F"/>
                <w:sz w:val="18"/>
              </w:rPr>
              <w:t>Built locally</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Opt in device history, text download, printing, and Save as PDF; no external submission</w:t>
            </w:r>
          </w:p>
        </w:tc>
      </w:tr>
      <w:tr>
        <w:trPr>
          <w:cantSplit w:val="true"/>
        </w:trPr>
        <w:tc>
          <w:tcPr>
            <w:tcW w:type="dxa" w:w="2088"/>
            <w:vAlign w:val="center"/>
            <w:tcMar>
              <w:top w:w="105" w:type="dxa"/>
              <w:start w:w="130" w:type="dxa"/>
              <w:bottom w:w="105" w:type="dxa"/>
              <w:end w:w="130" w:type="dxa"/>
            </w:tcMar>
            <w:shd w:fill="F2F5F1"/>
          </w:tcPr>
          <w:p>
            <w:pPr>
              <w:spacing w:after="0" w:line="252" w:lineRule="auto"/>
            </w:pPr>
            <w:r>
              <w:rPr>
                <w:rFonts w:ascii="Aptos" w:hAnsi="Aptos"/>
                <w:color w:val="18241F"/>
                <w:sz w:val="18"/>
              </w:rPr>
              <w:t>Production platform</w:t>
            </w:r>
          </w:p>
        </w:tc>
        <w:tc>
          <w:tcPr>
            <w:tcW w:type="dxa" w:w="1656"/>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Not built</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No backend, accounts, database, monitoring, moderation, or deployment pipeline</w:t>
            </w:r>
          </w:p>
        </w:tc>
      </w:tr>
    </w:tbl>
    <w:p>
      <w:pPr>
        <w:spacing w:after="0"/>
      </w:pPr>
    </w:p>
    <w:p>
      <w:pPr>
        <w:pStyle w:val="Heading1"/>
      </w:pPr>
      <w:r>
        <w:t>Product Definition</w:t>
      </w:r>
    </w:p>
    <w:p>
      <w:pPr>
        <w:pStyle w:val="Heading2"/>
      </w:pPr>
      <w:r>
        <w:t>Problem</w:t>
      </w:r>
    </w:p>
    <w:p>
      <w:r>
        <w:t>People receive fake bank alerts, phishing links, fraudulent job offers, investment schemes, account takeover messages, and urgent payment requests through SMS, WhatsApp, email, and calls. Many tools present a technical warning without explaining the social engineering tactic or the safest response.</w:t>
      </w:r>
    </w:p>
    <w:p>
      <w:pPr>
        <w:pStyle w:val="Heading2"/>
      </w:pPr>
      <w:r>
        <w:t>Target Users</w:t>
      </w:r>
    </w:p>
    <w:p>
      <w:pPr>
        <w:pStyle w:val="ListBullet"/>
        <w:spacing w:after="80"/>
        <w:ind w:left="360" w:hanging="230"/>
      </w:pPr>
      <w:r>
        <w:rPr>
          <w:rFonts w:ascii="Aptos" w:hAnsi="Aptos"/>
          <w:color w:val="18241F"/>
          <w:sz w:val="21"/>
        </w:rPr>
        <w:t>Consumers who need a quick second opinion before clicking, sharing information, or transferring money</w:t>
      </w:r>
    </w:p>
    <w:p>
      <w:pPr>
        <w:pStyle w:val="ListBullet"/>
        <w:spacing w:after="80"/>
        <w:ind w:left="360" w:hanging="230"/>
      </w:pPr>
      <w:r>
        <w:rPr>
          <w:rFonts w:ascii="Aptos" w:hAnsi="Aptos"/>
          <w:color w:val="18241F"/>
          <w:sz w:val="21"/>
        </w:rPr>
        <w:t>Families supporting less technical or more vulnerable relatives</w:t>
      </w:r>
    </w:p>
    <w:p>
      <w:pPr>
        <w:pStyle w:val="ListBullet"/>
        <w:spacing w:after="80"/>
        <w:ind w:left="360" w:hanging="230"/>
      </w:pPr>
      <w:r>
        <w:rPr>
          <w:rFonts w:ascii="Aptos" w:hAnsi="Aptos"/>
          <w:color w:val="18241F"/>
          <w:sz w:val="21"/>
        </w:rPr>
        <w:t>Banks, fintech companies, and telecom providers that may later embed SabiSafe through an API</w:t>
      </w:r>
    </w:p>
    <w:p>
      <w:pPr>
        <w:pStyle w:val="Heading2"/>
      </w:pPr>
      <w:r>
        <w:t>Core User Journey</w:t>
      </w:r>
    </w:p>
    <w:p>
      <w:pPr>
        <w:keepLines/>
        <w:spacing w:after="140"/>
      </w:pPr>
      <w:r>
        <w:rPr>
          <w:rFonts w:ascii="Aptos" w:hAnsi="Aptos"/>
          <w:b/>
          <w:color w:val="126B4B"/>
          <w:sz w:val="21"/>
        </w:rPr>
        <w:t xml:space="preserve">1  Submit  </w:t>
      </w:r>
      <w:r>
        <w:rPr>
          <w:rFonts w:ascii="Aptos" w:hAnsi="Aptos"/>
          <w:color w:val="18241F"/>
          <w:sz w:val="21"/>
        </w:rPr>
        <w:t>The user pastes text, enters a link, uploads a screenshot or receipt, or selects a recorded call.</w:t>
      </w:r>
    </w:p>
    <w:p>
      <w:pPr>
        <w:keepLines/>
        <w:spacing w:after="140"/>
      </w:pPr>
      <w:r>
        <w:rPr>
          <w:rFonts w:ascii="Aptos" w:hAnsi="Aptos"/>
          <w:b/>
          <w:color w:val="126B4B"/>
          <w:sz w:val="21"/>
        </w:rPr>
        <w:t xml:space="preserve">2  Detect  </w:t>
      </w:r>
      <w:r>
        <w:rPr>
          <w:rFonts w:ascii="Aptos" w:hAnsi="Aptos"/>
          <w:color w:val="18241F"/>
          <w:sz w:val="21"/>
        </w:rPr>
        <w:t>SabiSafe examines language, URL, call transcript, and payment characteristics and produces structured evidence.</w:t>
      </w:r>
    </w:p>
    <w:p>
      <w:pPr>
        <w:keepLines/>
        <w:spacing w:after="140"/>
      </w:pPr>
      <w:r>
        <w:rPr>
          <w:rFonts w:ascii="Aptos" w:hAnsi="Aptos"/>
          <w:b/>
          <w:color w:val="126B4B"/>
          <w:sz w:val="21"/>
        </w:rPr>
        <w:t xml:space="preserve">3  Score  </w:t>
      </w:r>
      <w:r>
        <w:rPr>
          <w:rFonts w:ascii="Aptos" w:hAnsi="Aptos"/>
          <w:color w:val="18241F"/>
          <w:sz w:val="21"/>
        </w:rPr>
        <w:t>The risk policy combines individual signals and cross signal interactions into a low, medium, or high risk result.</w:t>
      </w:r>
    </w:p>
    <w:p>
      <w:pPr>
        <w:keepLines/>
        <w:spacing w:after="140"/>
      </w:pPr>
      <w:r>
        <w:rPr>
          <w:rFonts w:ascii="Aptos" w:hAnsi="Aptos"/>
          <w:b/>
          <w:color w:val="126B4B"/>
          <w:sz w:val="21"/>
        </w:rPr>
        <w:t xml:space="preserve">4  Explain  </w:t>
      </w:r>
      <w:r>
        <w:rPr>
          <w:rFonts w:ascii="Aptos" w:hAnsi="Aptos"/>
          <w:color w:val="18241F"/>
          <w:sz w:val="21"/>
        </w:rPr>
        <w:t>The result identifies the likely scam type, highlights warning phrases, and explains the next action in English or Pidgin.</w:t>
      </w:r>
    </w:p>
    <w:p>
      <w:pPr>
        <w:keepLines/>
        <w:spacing w:after="140"/>
      </w:pPr>
      <w:r>
        <w:rPr>
          <w:rFonts w:ascii="Aptos" w:hAnsi="Aptos"/>
          <w:b/>
          <w:color w:val="126B4B"/>
          <w:sz w:val="21"/>
        </w:rPr>
        <w:t xml:space="preserve">5  Act  </w:t>
      </w:r>
      <w:r>
        <w:rPr>
          <w:rFonts w:ascii="Aptos" w:hAnsi="Aptos"/>
          <w:color w:val="18241F"/>
          <w:sz w:val="21"/>
        </w:rPr>
        <w:t>The user can copy or download the analysis and should verify through an official channel.</w:t>
      </w:r>
    </w:p>
    <w:p>
      <w:pPr>
        <w:pStyle w:val="Heading1"/>
      </w:pPr>
      <w:r>
        <w:t>What We Have Built</w:t>
      </w:r>
    </w:p>
    <w:p>
      <w:pPr>
        <w:pStyle w:val="Heading2"/>
      </w:pPr>
      <w:r>
        <w:t>User Experience</w:t>
      </w:r>
    </w:p>
    <w:p>
      <w:pPr>
        <w:pStyle w:val="ListBullet"/>
        <w:spacing w:after="80"/>
        <w:ind w:left="360" w:hanging="230"/>
      </w:pPr>
      <w:r>
        <w:rPr>
          <w:rFonts w:ascii="Aptos" w:hAnsi="Aptos"/>
          <w:color w:val="18241F"/>
          <w:sz w:val="21"/>
        </w:rPr>
        <w:t>A responsive product experience with Message, Screenshot, Link, Call, and Payment Guards</w:t>
      </w:r>
    </w:p>
    <w:p>
      <w:pPr>
        <w:pStyle w:val="ListBullet"/>
        <w:spacing w:after="80"/>
        <w:ind w:left="360" w:hanging="230"/>
      </w:pPr>
      <w:r>
        <w:rPr>
          <w:rFonts w:ascii="Aptos" w:hAnsi="Aptos"/>
          <w:color w:val="18241F"/>
          <w:sz w:val="21"/>
        </w:rPr>
        <w:t>Dedicated screenshot and receipt OCR flows with editable extracted text and retryable failure states</w:t>
      </w:r>
    </w:p>
    <w:p>
      <w:pPr>
        <w:pStyle w:val="ListBullet"/>
        <w:spacing w:after="80"/>
        <w:ind w:left="360" w:hanging="230"/>
      </w:pPr>
      <w:r>
        <w:rPr>
          <w:rFonts w:ascii="Aptos" w:hAnsi="Aptos"/>
          <w:color w:val="18241F"/>
          <w:sz w:val="21"/>
        </w:rPr>
        <w:t>Local Whisper call transcription with model download progress, timestamped transcript chunks, and a clearly labelled transcript demo</w:t>
      </w:r>
    </w:p>
    <w:p>
      <w:pPr>
        <w:pStyle w:val="ListBullet"/>
        <w:spacing w:after="80"/>
        <w:ind w:left="360" w:hanging="230"/>
      </w:pPr>
      <w:r>
        <w:rPr>
          <w:rFonts w:ascii="Aptos" w:hAnsi="Aptos"/>
          <w:color w:val="18241F"/>
          <w:sz w:val="21"/>
        </w:rPr>
        <w:t>Payment evidence checks for incomplete transfers, missing references, amount mismatch, and pressure to release goods</w:t>
      </w:r>
    </w:p>
    <w:p>
      <w:pPr>
        <w:pStyle w:val="ListBullet"/>
        <w:spacing w:after="80"/>
        <w:ind w:left="360" w:hanging="230"/>
      </w:pPr>
      <w:r>
        <w:rPr>
          <w:rFonts w:ascii="Aptos" w:hAnsi="Aptos"/>
          <w:color w:val="18241F"/>
          <w:sz w:val="21"/>
        </w:rPr>
        <w:t>Risk cards showing a score, risk level, likely scam category, and recommended action</w:t>
      </w:r>
    </w:p>
    <w:p>
      <w:pPr>
        <w:pStyle w:val="ListBullet"/>
        <w:spacing w:after="80"/>
        <w:ind w:left="360" w:hanging="230"/>
      </w:pPr>
      <w:r>
        <w:rPr>
          <w:rFonts w:ascii="Aptos" w:hAnsi="Aptos"/>
          <w:color w:val="18241F"/>
          <w:sz w:val="21"/>
        </w:rPr>
        <w:t>Warning evidence with English and Pidgin explanations</w:t>
      </w:r>
    </w:p>
    <w:p>
      <w:pPr>
        <w:pStyle w:val="ListBullet"/>
        <w:spacing w:after="80"/>
        <w:ind w:left="360" w:hanging="230"/>
      </w:pPr>
      <w:r>
        <w:rPr>
          <w:rFonts w:ascii="Aptos" w:hAnsi="Aptos"/>
          <w:color w:val="18241F"/>
          <w:sz w:val="21"/>
        </w:rPr>
        <w:t>Highlighted phrases that show which parts of a message triggered rules</w:t>
      </w:r>
    </w:p>
    <w:p>
      <w:pPr>
        <w:pStyle w:val="ListBullet"/>
        <w:spacing w:after="80"/>
        <w:ind w:left="360" w:hanging="230"/>
      </w:pPr>
      <w:r>
        <w:rPr>
          <w:rFonts w:ascii="Aptos" w:hAnsi="Aptos"/>
          <w:color w:val="18241F"/>
          <w:sz w:val="21"/>
        </w:rPr>
        <w:t>Browser speech synthesis for spoken explanations</w:t>
      </w:r>
    </w:p>
    <w:p>
      <w:pPr>
        <w:pStyle w:val="ListBullet"/>
        <w:spacing w:after="80"/>
        <w:ind w:left="360" w:hanging="230"/>
      </w:pPr>
      <w:r>
        <w:rPr>
          <w:rFonts w:ascii="Aptos" w:hAnsi="Aptos"/>
          <w:color w:val="18241F"/>
          <w:sz w:val="21"/>
        </w:rPr>
        <w:t>Copy, evidence download, print, and browser Save as PDF actions</w:t>
      </w:r>
    </w:p>
    <w:p>
      <w:pPr>
        <w:pStyle w:val="ListBullet"/>
        <w:spacing w:after="80"/>
        <w:ind w:left="360" w:hanging="230"/>
      </w:pPr>
      <w:r>
        <w:rPr>
          <w:rFonts w:ascii="Aptos" w:hAnsi="Aptos"/>
          <w:color w:val="18241F"/>
          <w:sz w:val="21"/>
        </w:rPr>
        <w:t>Opt in local history that is off by default and can be cleared on device</w:t>
      </w:r>
    </w:p>
    <w:p>
      <w:pPr>
        <w:pStyle w:val="ListBullet"/>
        <w:spacing w:after="80"/>
        <w:ind w:left="360" w:hanging="230"/>
      </w:pPr>
      <w:r>
        <w:rPr>
          <w:rFonts w:ascii="Aptos" w:hAnsi="Aptos"/>
          <w:color w:val="18241F"/>
          <w:sz w:val="21"/>
        </w:rPr>
        <w:t>Mobile navigation and responsive layouts</w:t>
      </w:r>
    </w:p>
    <w:p>
      <w:pPr>
        <w:pStyle w:val="Heading2"/>
      </w:pPr>
      <w:r>
        <w:t>Message Detection</w:t>
      </w:r>
    </w:p>
    <w:p>
      <w:r>
        <w:t>The message detector currently recognises eight signal families. Each match produces typed evidence with an identifier, severity, point value, explanation, Pidgin explanation, source, and nearby text excerpt.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232"/>
            <w:shd w:fill="26322C"/>
            <w:tcMar>
              <w:top w:w="120" w:type="dxa"/>
              <w:start w:w="130" w:type="dxa"/>
              <w:bottom w:w="120" w:type="dxa"/>
              <w:end w:w="130" w:type="dxa"/>
            </w:tcMar>
            <w:vAlign w:val="center"/>
          </w:tcPr>
          <w:p>
            <w:pPr>
              <w:spacing w:after="0"/>
              <w:jc w:val="left"/>
            </w:pPr>
            <w:r>
              <w:rPr>
                <w:rFonts w:ascii="Aptos" w:hAnsi="Aptos"/>
                <w:b/>
                <w:color w:val="FFFFFF"/>
                <w:sz w:val="18"/>
              </w:rPr>
              <w:t>Signal family</w:t>
            </w:r>
          </w:p>
        </w:tc>
        <w:tc>
          <w:tcPr>
            <w:tcW w:type="dxa" w:w="5976"/>
            <w:shd w:fill="26322C"/>
            <w:tcMar>
              <w:top w:w="120" w:type="dxa"/>
              <w:start w:w="130" w:type="dxa"/>
              <w:bottom w:w="120" w:type="dxa"/>
              <w:end w:w="130" w:type="dxa"/>
            </w:tcMar>
            <w:vAlign w:val="center"/>
          </w:tcPr>
          <w:p>
            <w:pPr>
              <w:spacing w:after="0"/>
              <w:jc w:val="left"/>
            </w:pPr>
            <w:r>
              <w:rPr>
                <w:rFonts w:ascii="Aptos" w:hAnsi="Aptos"/>
                <w:b/>
                <w:color w:val="FFFFFF"/>
                <w:sz w:val="18"/>
              </w:rPr>
              <w:t>Examples detected</w:t>
            </w:r>
          </w:p>
        </w:tc>
        <w:tc>
          <w:tcPr>
            <w:tcW w:type="dxa" w:w="1512"/>
            <w:shd w:fill="26322C"/>
            <w:tcMar>
              <w:top w:w="120" w:type="dxa"/>
              <w:start w:w="130" w:type="dxa"/>
              <w:bottom w:w="120" w:type="dxa"/>
              <w:end w:w="130" w:type="dxa"/>
            </w:tcMar>
            <w:vAlign w:val="center"/>
          </w:tcPr>
          <w:p>
            <w:pPr>
              <w:spacing w:after="0"/>
              <w:jc w:val="center"/>
            </w:pPr>
            <w:r>
              <w:rPr>
                <w:rFonts w:ascii="Aptos" w:hAnsi="Aptos"/>
                <w:b/>
                <w:color w:val="FFFFFF"/>
                <w:sz w:val="18"/>
              </w:rPr>
              <w:t>Severity range</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False urgency</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Immediately, today, act fast, deadline</w:t>
            </w:r>
          </w:p>
        </w:tc>
        <w:tc>
          <w:tcPr>
            <w:tcW w:type="dxa" w:w="1512"/>
            <w:vAlign w:val="center"/>
            <w:tcMar>
              <w:top w:w="105" w:type="dxa"/>
              <w:start w:w="130" w:type="dxa"/>
              <w:bottom w:w="105" w:type="dxa"/>
              <w:end w:w="130" w:type="dxa"/>
            </w:tcMar>
          </w:tcPr>
          <w:p>
            <w:pPr>
              <w:spacing w:after="0" w:line="252" w:lineRule="auto"/>
              <w:jc w:val="center"/>
            </w:pPr>
            <w:r>
              <w:rPr>
                <w:rFonts w:ascii="Aptos" w:hAnsi="Aptos"/>
                <w:color w:val="18241F"/>
                <w:sz w:val="18"/>
              </w:rPr>
              <w:t>Medium</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Threat or pressure</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Account suspension, blocking, arrest, loss of access</w:t>
            </w:r>
          </w:p>
        </w:tc>
        <w:tc>
          <w:tcPr>
            <w:tcW w:type="dxa" w:w="151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High</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Sensitive information</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OTP, PIN, password, BVN, CVV, login code</w:t>
            </w:r>
          </w:p>
        </w:tc>
        <w:tc>
          <w:tcPr>
            <w:tcW w:type="dxa" w:w="1512"/>
            <w:vAlign w:val="center"/>
            <w:tcMar>
              <w:top w:w="105" w:type="dxa"/>
              <w:start w:w="130" w:type="dxa"/>
              <w:bottom w:w="105" w:type="dxa"/>
              <w:end w:w="130" w:type="dxa"/>
            </w:tcMar>
          </w:tcPr>
          <w:p>
            <w:pPr>
              <w:spacing w:after="0" w:line="252" w:lineRule="auto"/>
              <w:jc w:val="center"/>
            </w:pPr>
            <w:r>
              <w:rPr>
                <w:rFonts w:ascii="Aptos" w:hAnsi="Aptos"/>
                <w:color w:val="18241F"/>
                <w:sz w:val="18"/>
              </w:rPr>
              <w:t>Critical</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Payment request</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Transfer, money, crypto, gift card, wallet</w:t>
            </w:r>
          </w:p>
        </w:tc>
        <w:tc>
          <w:tcPr>
            <w:tcW w:type="dxa" w:w="151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High</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Unrealistic promise</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Prize, giveaway, guaranteed return, free cash</w:t>
            </w:r>
          </w:p>
        </w:tc>
        <w:tc>
          <w:tcPr>
            <w:tcW w:type="dxa" w:w="1512"/>
            <w:vAlign w:val="center"/>
            <w:tcMar>
              <w:top w:w="105" w:type="dxa"/>
              <w:start w:w="130" w:type="dxa"/>
              <w:bottom w:w="105" w:type="dxa"/>
              <w:end w:w="130" w:type="dxa"/>
            </w:tcMar>
          </w:tcPr>
          <w:p>
            <w:pPr>
              <w:spacing w:after="0" w:line="252" w:lineRule="auto"/>
              <w:jc w:val="center"/>
            </w:pPr>
            <w:r>
              <w:rPr>
                <w:rFonts w:ascii="Aptos" w:hAnsi="Aptos"/>
                <w:color w:val="18241F"/>
                <w:sz w:val="18"/>
              </w:rPr>
              <w:t>High</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Impersonation</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Bank, customer care, government, boss, new number</w:t>
            </w:r>
          </w:p>
        </w:tc>
        <w:tc>
          <w:tcPr>
            <w:tcW w:type="dxa" w:w="151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Medium</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Isolation tactic</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Keep it secret, do not contact anyone</w:t>
            </w:r>
          </w:p>
        </w:tc>
        <w:tc>
          <w:tcPr>
            <w:tcW w:type="dxa" w:w="1512"/>
            <w:vAlign w:val="center"/>
            <w:tcMar>
              <w:top w:w="105" w:type="dxa"/>
              <w:start w:w="130" w:type="dxa"/>
              <w:bottom w:w="105" w:type="dxa"/>
              <w:end w:w="130" w:type="dxa"/>
            </w:tcMar>
          </w:tcPr>
          <w:p>
            <w:pPr>
              <w:spacing w:after="0" w:line="252" w:lineRule="auto"/>
              <w:jc w:val="center"/>
            </w:pPr>
            <w:r>
              <w:rPr>
                <w:rFonts w:ascii="Aptos" w:hAnsi="Aptos"/>
                <w:color w:val="18241F"/>
                <w:sz w:val="18"/>
              </w:rPr>
              <w:t>High</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Remote access</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AnyDesk, TeamViewer, screen sharing</w:t>
            </w:r>
          </w:p>
        </w:tc>
        <w:tc>
          <w:tcPr>
            <w:tcW w:type="dxa" w:w="151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Critical</w:t>
            </w:r>
          </w:p>
        </w:tc>
      </w:tr>
    </w:tbl>
    <w:p>
      <w:pPr>
        <w:spacing w:after="0"/>
      </w:pPr>
    </w:p>
    <w:p>
      <w:pPr>
        <w:pStyle w:val="Heading2"/>
      </w:pPr>
      <w:r>
        <w:t>URL Intelligence</w:t>
      </w:r>
    </w:p>
    <w:p>
      <w:r>
        <w:t>Link Guard performs deterministic offline checks. It identifies shortened links, encoded lookalike domains, raw IP addresses, selected high abuse domain endings, claimed brand mismatches, and unencrypted HTTP connections. A small trusted domain list supports recognised Nigerian financial brands. The current implementation does not query live threat feeds, DNS history, certificate data, redirects, or community reputation.</w:t>
      </w:r>
    </w:p>
    <w:p>
      <w:pPr>
        <w:pStyle w:val="Heading2"/>
      </w:pPr>
      <w:r>
        <w:t>Call and Payment Intelligence</w:t>
      </w:r>
    </w:p>
    <w:p>
      <w:r>
        <w:t>Call Guard dynamically loads a quantised Whisper model through Transformers.js. It selects WebGPU when available and otherwise uses WebAssembly, transcribes the uploaded recording inside the browser, and presents timestamped chunks before running the same evidence pipeline. Payment Guard combines receipt OCR with expected amount matching and payment specific rules. It does not prove that a receipt is authentic and always directs the user to verify inside their own bank account.</w:t>
      </w:r>
    </w:p>
    <w:p>
      <w:pPr>
        <w:pStyle w:val="Heading2"/>
      </w:pPr>
      <w:r>
        <w:t>Risk Policy</w:t>
      </w:r>
    </w:p>
    <w:p>
      <w:r>
        <w:t>The policy adds evidence points and applies five interaction boosts when tactics reinforce one another. Examples include urgency combined with a sensitive information request, impersonation combined with a threat, and a payment request combined with secrecy. The result is capped at 92 percent to avoid presenting certainty as fact. Scores map to low, medium, and high risk, while a separate confidence estimate records the breadth and severity of available evidence.</w:t>
      </w:r>
    </w:p>
    <w:p>
      <w:pPr>
        <w:pStyle w:val="Heading1"/>
      </w:pPr>
      <w:r>
        <w:t>Technical Implementation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26322C"/>
            <w:tcMar>
              <w:top w:w="120" w:type="dxa"/>
              <w:start w:w="130" w:type="dxa"/>
              <w:bottom w:w="120" w:type="dxa"/>
              <w:end w:w="130" w:type="dxa"/>
            </w:tcMar>
            <w:vAlign w:val="center"/>
          </w:tcPr>
          <w:p>
            <w:pPr>
              <w:spacing w:after="0"/>
              <w:jc w:val="left"/>
            </w:pPr>
            <w:r>
              <w:rPr>
                <w:rFonts w:ascii="Aptos" w:hAnsi="Aptos"/>
                <w:b/>
                <w:color w:val="FFFFFF"/>
                <w:sz w:val="18"/>
              </w:rPr>
              <w:t>Layer</w:t>
            </w:r>
          </w:p>
        </w:tc>
        <w:tc>
          <w:tcPr>
            <w:tcW w:type="dxa" w:w="2376"/>
            <w:shd w:fill="26322C"/>
            <w:tcMar>
              <w:top w:w="120" w:type="dxa"/>
              <w:start w:w="130" w:type="dxa"/>
              <w:bottom w:w="120" w:type="dxa"/>
              <w:end w:w="130" w:type="dxa"/>
            </w:tcMar>
            <w:vAlign w:val="center"/>
          </w:tcPr>
          <w:p>
            <w:pPr>
              <w:spacing w:after="0"/>
              <w:jc w:val="left"/>
            </w:pPr>
            <w:r>
              <w:rPr>
                <w:rFonts w:ascii="Aptos" w:hAnsi="Aptos"/>
                <w:b/>
                <w:color w:val="FFFFFF"/>
                <w:sz w:val="18"/>
              </w:rPr>
              <w:t>Implementation</w:t>
            </w:r>
          </w:p>
        </w:tc>
        <w:tc>
          <w:tcPr>
            <w:tcW w:type="dxa" w:w="5616"/>
            <w:shd w:fill="26322C"/>
            <w:tcMar>
              <w:top w:w="120" w:type="dxa"/>
              <w:start w:w="130" w:type="dxa"/>
              <w:bottom w:w="120" w:type="dxa"/>
              <w:end w:w="130" w:type="dxa"/>
            </w:tcMar>
            <w:vAlign w:val="center"/>
          </w:tcPr>
          <w:p>
            <w:pPr>
              <w:spacing w:after="0"/>
              <w:jc w:val="left"/>
            </w:pPr>
            <w:r>
              <w:rPr>
                <w:rFonts w:ascii="Aptos" w:hAnsi="Aptos"/>
                <w:b/>
                <w:color w:val="FFFFFF"/>
                <w:sz w:val="18"/>
              </w:rPr>
              <w:t>Current responsibility</w:t>
            </w:r>
          </w:p>
        </w:tc>
      </w:tr>
      <w:tr>
        <w:trPr>
          <w:cantSplit w:val="true"/>
        </w:trPr>
        <w:tc>
          <w:tcPr>
            <w:tcW w:type="dxa" w:w="1728"/>
            <w:vAlign w:val="center"/>
            <w:tcMar>
              <w:top w:w="105" w:type="dxa"/>
              <w:start w:w="130" w:type="dxa"/>
              <w:bottom w:w="105" w:type="dxa"/>
              <w:end w:w="130" w:type="dxa"/>
            </w:tcMar>
          </w:tcPr>
          <w:p>
            <w:pPr>
              <w:spacing w:after="0" w:line="252" w:lineRule="auto"/>
            </w:pPr>
            <w:r>
              <w:rPr>
                <w:rFonts w:ascii="Aptos" w:hAnsi="Aptos"/>
                <w:color w:val="18241F"/>
                <w:sz w:val="18"/>
              </w:rPr>
              <w:t>Interface</w:t>
            </w:r>
          </w:p>
        </w:tc>
        <w:tc>
          <w:tcPr>
            <w:tcW w:type="dxa" w:w="2376"/>
            <w:vAlign w:val="center"/>
            <w:tcMar>
              <w:top w:w="105" w:type="dxa"/>
              <w:start w:w="130" w:type="dxa"/>
              <w:bottom w:w="105" w:type="dxa"/>
              <w:end w:w="130" w:type="dxa"/>
            </w:tcMar>
          </w:tcPr>
          <w:p>
            <w:pPr>
              <w:spacing w:after="0" w:line="252" w:lineRule="auto"/>
            </w:pPr>
            <w:r>
              <w:rPr>
                <w:rFonts w:ascii="Aptos" w:hAnsi="Aptos"/>
                <w:color w:val="18241F"/>
                <w:sz w:val="18"/>
              </w:rPr>
              <w:t>React 18 and TypeScript</w:t>
            </w:r>
          </w:p>
        </w:tc>
        <w:tc>
          <w:tcPr>
            <w:tcW w:type="dxa" w:w="5616"/>
            <w:vAlign w:val="center"/>
            <w:tcMar>
              <w:top w:w="105" w:type="dxa"/>
              <w:start w:w="130" w:type="dxa"/>
              <w:bottom w:w="105" w:type="dxa"/>
              <w:end w:w="130" w:type="dxa"/>
            </w:tcMar>
          </w:tcPr>
          <w:p>
            <w:pPr>
              <w:spacing w:after="0" w:line="252" w:lineRule="auto"/>
            </w:pPr>
            <w:r>
              <w:rPr>
                <w:rFonts w:ascii="Aptos" w:hAnsi="Aptos"/>
                <w:color w:val="18241F"/>
                <w:sz w:val="18"/>
              </w:rPr>
              <w:t>Five guard input flows, results, language selection, history, reporting, responsive presentation</w:t>
            </w:r>
          </w:p>
        </w:tc>
      </w:tr>
      <w:tr>
        <w:trPr>
          <w:cantSplit w:val="true"/>
        </w:trPr>
        <w:tc>
          <w:tcPr>
            <w:tcW w:type="dxa" w:w="1728"/>
            <w:vAlign w:val="center"/>
            <w:tcMar>
              <w:top w:w="105" w:type="dxa"/>
              <w:start w:w="130" w:type="dxa"/>
              <w:bottom w:w="105" w:type="dxa"/>
              <w:end w:w="130" w:type="dxa"/>
            </w:tcMar>
            <w:shd w:fill="F2F5F1"/>
          </w:tcPr>
          <w:p>
            <w:pPr>
              <w:spacing w:after="0" w:line="252" w:lineRule="auto"/>
            </w:pPr>
            <w:r>
              <w:rPr>
                <w:rFonts w:ascii="Aptos" w:hAnsi="Aptos"/>
                <w:color w:val="18241F"/>
                <w:sz w:val="18"/>
              </w:rPr>
              <w:t>Build system</w:t>
            </w:r>
          </w:p>
        </w:tc>
        <w:tc>
          <w:tcPr>
            <w:tcW w:type="dxa" w:w="2376"/>
            <w:vAlign w:val="center"/>
            <w:tcMar>
              <w:top w:w="105" w:type="dxa"/>
              <w:start w:w="130" w:type="dxa"/>
              <w:bottom w:w="105" w:type="dxa"/>
              <w:end w:w="130" w:type="dxa"/>
            </w:tcMar>
            <w:shd w:fill="F2F5F1"/>
          </w:tcPr>
          <w:p>
            <w:pPr>
              <w:spacing w:after="0" w:line="252" w:lineRule="auto"/>
            </w:pPr>
            <w:r>
              <w:rPr>
                <w:rFonts w:ascii="Aptos" w:hAnsi="Aptos"/>
                <w:color w:val="18241F"/>
                <w:sz w:val="18"/>
              </w:rPr>
              <w:t>Vite</w:t>
            </w:r>
          </w:p>
        </w:tc>
        <w:tc>
          <w:tcPr>
            <w:tcW w:type="dxa" w:w="5616"/>
            <w:vAlign w:val="center"/>
            <w:tcMar>
              <w:top w:w="105" w:type="dxa"/>
              <w:start w:w="130" w:type="dxa"/>
              <w:bottom w:w="105" w:type="dxa"/>
              <w:end w:w="130" w:type="dxa"/>
            </w:tcMar>
            <w:shd w:fill="F2F5F1"/>
          </w:tcPr>
          <w:p>
            <w:pPr>
              <w:spacing w:after="0" w:line="252" w:lineRule="auto"/>
            </w:pPr>
            <w:r>
              <w:rPr>
                <w:rFonts w:ascii="Aptos" w:hAnsi="Aptos"/>
                <w:color w:val="18241F"/>
                <w:sz w:val="18"/>
              </w:rPr>
              <w:t>Development server and production bundle</w:t>
            </w:r>
          </w:p>
        </w:tc>
      </w:tr>
      <w:tr>
        <w:trPr>
          <w:cantSplit w:val="true"/>
        </w:trPr>
        <w:tc>
          <w:tcPr>
            <w:tcW w:type="dxa" w:w="1728"/>
            <w:vAlign w:val="center"/>
            <w:tcMar>
              <w:top w:w="105" w:type="dxa"/>
              <w:start w:w="130" w:type="dxa"/>
              <w:bottom w:w="105" w:type="dxa"/>
              <w:end w:w="130" w:type="dxa"/>
            </w:tcMar>
          </w:tcPr>
          <w:p>
            <w:pPr>
              <w:spacing w:after="0" w:line="252" w:lineRule="auto"/>
            </w:pPr>
            <w:r>
              <w:rPr>
                <w:rFonts w:ascii="Aptos" w:hAnsi="Aptos"/>
                <w:color w:val="18241F"/>
                <w:sz w:val="18"/>
              </w:rPr>
              <w:t>OCR</w:t>
            </w:r>
          </w:p>
        </w:tc>
        <w:tc>
          <w:tcPr>
            <w:tcW w:type="dxa" w:w="2376"/>
            <w:vAlign w:val="center"/>
            <w:tcMar>
              <w:top w:w="105" w:type="dxa"/>
              <w:start w:w="130" w:type="dxa"/>
              <w:bottom w:w="105" w:type="dxa"/>
              <w:end w:w="130" w:type="dxa"/>
            </w:tcMar>
          </w:tcPr>
          <w:p>
            <w:pPr>
              <w:spacing w:after="0" w:line="252" w:lineRule="auto"/>
            </w:pPr>
            <w:r>
              <w:rPr>
                <w:rFonts w:ascii="Aptos" w:hAnsi="Aptos"/>
                <w:color w:val="18241F"/>
                <w:sz w:val="18"/>
              </w:rPr>
              <w:t>Tesseract.js</w:t>
            </w:r>
          </w:p>
        </w:tc>
        <w:tc>
          <w:tcPr>
            <w:tcW w:type="dxa" w:w="5616"/>
            <w:vAlign w:val="center"/>
            <w:tcMar>
              <w:top w:w="105" w:type="dxa"/>
              <w:start w:w="130" w:type="dxa"/>
              <w:bottom w:w="105" w:type="dxa"/>
              <w:end w:w="130" w:type="dxa"/>
            </w:tcMar>
          </w:tcPr>
          <w:p>
            <w:pPr>
              <w:spacing w:after="0" w:line="252" w:lineRule="auto"/>
            </w:pPr>
            <w:r>
              <w:rPr>
                <w:rFonts w:ascii="Aptos" w:hAnsi="Aptos"/>
                <w:color w:val="18241F"/>
                <w:sz w:val="18"/>
              </w:rPr>
              <w:t>English text extraction inside the browser</w:t>
            </w:r>
          </w:p>
        </w:tc>
      </w:tr>
      <w:tr>
        <w:trPr>
          <w:cantSplit w:val="true"/>
        </w:trPr>
        <w:tc>
          <w:tcPr>
            <w:tcW w:type="dxa" w:w="1728"/>
            <w:vAlign w:val="center"/>
            <w:tcMar>
              <w:top w:w="105" w:type="dxa"/>
              <w:start w:w="130" w:type="dxa"/>
              <w:bottom w:w="105" w:type="dxa"/>
              <w:end w:w="130" w:type="dxa"/>
            </w:tcMar>
            <w:shd w:fill="F2F5F1"/>
          </w:tcPr>
          <w:p>
            <w:pPr>
              <w:spacing w:after="0" w:line="252" w:lineRule="auto"/>
            </w:pPr>
            <w:r>
              <w:rPr>
                <w:rFonts w:ascii="Aptos" w:hAnsi="Aptos"/>
                <w:color w:val="18241F"/>
                <w:sz w:val="18"/>
              </w:rPr>
              <w:t>Speech to text</w:t>
            </w:r>
          </w:p>
        </w:tc>
        <w:tc>
          <w:tcPr>
            <w:tcW w:type="dxa" w:w="2376"/>
            <w:vAlign w:val="center"/>
            <w:tcMar>
              <w:top w:w="105" w:type="dxa"/>
              <w:start w:w="130" w:type="dxa"/>
              <w:bottom w:w="105" w:type="dxa"/>
              <w:end w:w="130" w:type="dxa"/>
            </w:tcMar>
            <w:shd w:fill="F2F5F1"/>
          </w:tcPr>
          <w:p>
            <w:pPr>
              <w:spacing w:after="0" w:line="252" w:lineRule="auto"/>
            </w:pPr>
            <w:r>
              <w:rPr>
                <w:rFonts w:ascii="Aptos" w:hAnsi="Aptos"/>
                <w:color w:val="18241F"/>
                <w:sz w:val="18"/>
              </w:rPr>
              <w:t>Transformers.js and Whisper</w:t>
            </w:r>
          </w:p>
        </w:tc>
        <w:tc>
          <w:tcPr>
            <w:tcW w:type="dxa" w:w="5616"/>
            <w:vAlign w:val="center"/>
            <w:tcMar>
              <w:top w:w="105" w:type="dxa"/>
              <w:start w:w="130" w:type="dxa"/>
              <w:bottom w:w="105" w:type="dxa"/>
              <w:end w:w="130" w:type="dxa"/>
            </w:tcMar>
            <w:shd w:fill="F2F5F1"/>
          </w:tcPr>
          <w:p>
            <w:pPr>
              <w:spacing w:after="0" w:line="252" w:lineRule="auto"/>
            </w:pPr>
            <w:r>
              <w:rPr>
                <w:rFonts w:ascii="Aptos" w:hAnsi="Aptos"/>
                <w:color w:val="18241F"/>
                <w:sz w:val="18"/>
              </w:rPr>
              <w:t>Local English call transcription with WebGPU or WebAssembly</w:t>
            </w:r>
          </w:p>
        </w:tc>
      </w:tr>
      <w:tr>
        <w:trPr>
          <w:cantSplit w:val="true"/>
        </w:trPr>
        <w:tc>
          <w:tcPr>
            <w:tcW w:type="dxa" w:w="1728"/>
            <w:vAlign w:val="center"/>
            <w:tcMar>
              <w:top w:w="105" w:type="dxa"/>
              <w:start w:w="130" w:type="dxa"/>
              <w:bottom w:w="105" w:type="dxa"/>
              <w:end w:w="130" w:type="dxa"/>
            </w:tcMar>
          </w:tcPr>
          <w:p>
            <w:pPr>
              <w:spacing w:after="0" w:line="252" w:lineRule="auto"/>
            </w:pPr>
            <w:r>
              <w:rPr>
                <w:rFonts w:ascii="Aptos" w:hAnsi="Aptos"/>
                <w:color w:val="18241F"/>
                <w:sz w:val="18"/>
              </w:rPr>
              <w:t>Detection</w:t>
            </w:r>
          </w:p>
        </w:tc>
        <w:tc>
          <w:tcPr>
            <w:tcW w:type="dxa" w:w="2376"/>
            <w:vAlign w:val="center"/>
            <w:tcMar>
              <w:top w:w="105" w:type="dxa"/>
              <w:start w:w="130" w:type="dxa"/>
              <w:bottom w:w="105" w:type="dxa"/>
              <w:end w:w="130" w:type="dxa"/>
            </w:tcMar>
          </w:tcPr>
          <w:p>
            <w:pPr>
              <w:spacing w:after="0" w:line="252" w:lineRule="auto"/>
            </w:pPr>
            <w:r>
              <w:rPr>
                <w:rFonts w:ascii="Aptos" w:hAnsi="Aptos"/>
                <w:color w:val="18241F"/>
                <w:sz w:val="18"/>
              </w:rPr>
              <w:t>Typed TypeScript modules</w:t>
            </w:r>
          </w:p>
        </w:tc>
        <w:tc>
          <w:tcPr>
            <w:tcW w:type="dxa" w:w="5616"/>
            <w:vAlign w:val="center"/>
            <w:tcMar>
              <w:top w:w="105" w:type="dxa"/>
              <w:start w:w="130" w:type="dxa"/>
              <w:bottom w:w="105" w:type="dxa"/>
              <w:end w:w="130" w:type="dxa"/>
            </w:tcMar>
          </w:tcPr>
          <w:p>
            <w:pPr>
              <w:spacing w:after="0" w:line="252" w:lineRule="auto"/>
            </w:pPr>
            <w:r>
              <w:rPr>
                <w:rFonts w:ascii="Aptos" w:hAnsi="Aptos"/>
                <w:color w:val="18241F"/>
                <w:sz w:val="18"/>
              </w:rPr>
              <w:t>Message, URL, payment evidence, scoring, confidence, and explanations</w:t>
            </w:r>
          </w:p>
        </w:tc>
      </w:tr>
      <w:tr>
        <w:trPr>
          <w:cantSplit w:val="true"/>
        </w:trPr>
        <w:tc>
          <w:tcPr>
            <w:tcW w:type="dxa" w:w="1728"/>
            <w:vAlign w:val="center"/>
            <w:tcMar>
              <w:top w:w="105" w:type="dxa"/>
              <w:start w:w="130" w:type="dxa"/>
              <w:bottom w:w="105" w:type="dxa"/>
              <w:end w:w="130" w:type="dxa"/>
            </w:tcMar>
            <w:shd w:fill="F2F5F1"/>
          </w:tcPr>
          <w:p>
            <w:pPr>
              <w:spacing w:after="0" w:line="252" w:lineRule="auto"/>
            </w:pPr>
            <w:r>
              <w:rPr>
                <w:rFonts w:ascii="Aptos" w:hAnsi="Aptos"/>
                <w:color w:val="18241F"/>
                <w:sz w:val="18"/>
              </w:rPr>
              <w:t>Testing</w:t>
            </w:r>
          </w:p>
        </w:tc>
        <w:tc>
          <w:tcPr>
            <w:tcW w:type="dxa" w:w="2376"/>
            <w:vAlign w:val="center"/>
            <w:tcMar>
              <w:top w:w="105" w:type="dxa"/>
              <w:start w:w="130" w:type="dxa"/>
              <w:bottom w:w="105" w:type="dxa"/>
              <w:end w:w="130" w:type="dxa"/>
            </w:tcMar>
            <w:shd w:fill="F2F5F1"/>
          </w:tcPr>
          <w:p>
            <w:pPr>
              <w:spacing w:after="0" w:line="252" w:lineRule="auto"/>
            </w:pPr>
            <w:r>
              <w:rPr>
                <w:rFonts w:ascii="Aptos" w:hAnsi="Aptos"/>
                <w:color w:val="18241F"/>
                <w:sz w:val="18"/>
              </w:rPr>
              <w:t>Vitest</w:t>
            </w:r>
          </w:p>
        </w:tc>
        <w:tc>
          <w:tcPr>
            <w:tcW w:type="dxa" w:w="5616"/>
            <w:vAlign w:val="center"/>
            <w:tcMar>
              <w:top w:w="105" w:type="dxa"/>
              <w:start w:w="130" w:type="dxa"/>
              <w:bottom w:w="105" w:type="dxa"/>
              <w:end w:w="130" w:type="dxa"/>
            </w:tcMar>
            <w:shd w:fill="F2F5F1"/>
          </w:tcPr>
          <w:p>
            <w:pPr>
              <w:spacing w:after="0" w:line="252" w:lineRule="auto"/>
            </w:pPr>
            <w:r>
              <w:rPr>
                <w:rFonts w:ascii="Aptos" w:hAnsi="Aptos"/>
                <w:color w:val="18241F"/>
                <w:sz w:val="18"/>
              </w:rPr>
              <w:t>Five deterministic pipeline tests including payment corroboration</w:t>
            </w:r>
          </w:p>
        </w:tc>
      </w:tr>
      <w:tr>
        <w:trPr>
          <w:cantSplit w:val="true"/>
        </w:trPr>
        <w:tc>
          <w:tcPr>
            <w:tcW w:type="dxa" w:w="1728"/>
            <w:vAlign w:val="center"/>
            <w:tcMar>
              <w:top w:w="105" w:type="dxa"/>
              <w:start w:w="130" w:type="dxa"/>
              <w:bottom w:w="105" w:type="dxa"/>
              <w:end w:w="130" w:type="dxa"/>
            </w:tcMar>
          </w:tcPr>
          <w:p>
            <w:pPr>
              <w:spacing w:after="0" w:line="252" w:lineRule="auto"/>
            </w:pPr>
            <w:r>
              <w:rPr>
                <w:rFonts w:ascii="Aptos" w:hAnsi="Aptos"/>
                <w:color w:val="18241F"/>
                <w:sz w:val="18"/>
              </w:rPr>
              <w:t>Quality controls</w:t>
            </w:r>
          </w:p>
        </w:tc>
        <w:tc>
          <w:tcPr>
            <w:tcW w:type="dxa" w:w="2376"/>
            <w:vAlign w:val="center"/>
            <w:tcMar>
              <w:top w:w="105" w:type="dxa"/>
              <w:start w:w="130" w:type="dxa"/>
              <w:bottom w:w="105" w:type="dxa"/>
              <w:end w:w="130" w:type="dxa"/>
            </w:tcMar>
          </w:tcPr>
          <w:p>
            <w:pPr>
              <w:spacing w:after="0" w:line="252" w:lineRule="auto"/>
            </w:pPr>
            <w:r>
              <w:rPr>
                <w:rFonts w:ascii="Aptos" w:hAnsi="Aptos"/>
                <w:color w:val="18241F"/>
                <w:sz w:val="18"/>
              </w:rPr>
              <w:t>TypeScript, ESLint, React Doctor</w:t>
            </w:r>
          </w:p>
        </w:tc>
        <w:tc>
          <w:tcPr>
            <w:tcW w:type="dxa" w:w="5616"/>
            <w:vAlign w:val="center"/>
            <w:tcMar>
              <w:top w:w="105" w:type="dxa"/>
              <w:start w:w="130" w:type="dxa"/>
              <w:bottom w:w="105" w:type="dxa"/>
              <w:end w:w="130" w:type="dxa"/>
            </w:tcMar>
          </w:tcPr>
          <w:p>
            <w:pPr>
              <w:spacing w:after="0" w:line="252" w:lineRule="auto"/>
            </w:pPr>
            <w:r>
              <w:rPr>
                <w:rFonts w:ascii="Aptos" w:hAnsi="Aptos"/>
                <w:color w:val="18241F"/>
                <w:sz w:val="18"/>
              </w:rPr>
              <w:t>Strict type checking, static analysis, and React specific diagnostics</w:t>
            </w:r>
          </w:p>
        </w:tc>
      </w:tr>
    </w:tbl>
    <w:p>
      <w:pPr>
        <w:spacing w:after="0"/>
      </w:pPr>
    </w:p>
    <w:p>
      <w:pPr>
        <w:pStyle w:val="Heading2"/>
      </w:pPr>
      <w:r>
        <w:t>Analysis Flow</w:t>
      </w:r>
    </w:p>
    <w:p>
      <w:pPr>
        <w:keepLines/>
        <w:spacing w:after="140"/>
      </w:pPr>
      <w:r>
        <w:rPr>
          <w:rFonts w:ascii="Aptos" w:hAnsi="Aptos"/>
          <w:b/>
          <w:color w:val="126B4B"/>
          <w:sz w:val="21"/>
        </w:rPr>
        <w:t xml:space="preserve">1  Normalise input  </w:t>
      </w:r>
      <w:r>
        <w:rPr>
          <w:rFonts w:ascii="Aptos" w:hAnsi="Aptos"/>
          <w:color w:val="18241F"/>
          <w:sz w:val="21"/>
        </w:rPr>
        <w:t>Convert the supplied content to trimmed text and retain the optional claimed brand.</w:t>
      </w:r>
    </w:p>
    <w:p>
      <w:pPr>
        <w:keepLines/>
        <w:spacing w:after="140"/>
      </w:pPr>
      <w:r>
        <w:rPr>
          <w:rFonts w:ascii="Aptos" w:hAnsi="Aptos"/>
          <w:b/>
          <w:color w:val="126B4B"/>
          <w:sz w:val="21"/>
        </w:rPr>
        <w:t xml:space="preserve">2  Run detectors  </w:t>
      </w:r>
      <w:r>
        <w:rPr>
          <w:rFonts w:ascii="Aptos" w:hAnsi="Aptos"/>
          <w:color w:val="18241F"/>
          <w:sz w:val="21"/>
        </w:rPr>
        <w:t>Evaluate message signals and extract every URL for structural checks.</w:t>
      </w:r>
    </w:p>
    <w:p>
      <w:pPr>
        <w:keepLines/>
        <w:spacing w:after="140"/>
      </w:pPr>
      <w:r>
        <w:rPr>
          <w:rFonts w:ascii="Aptos" w:hAnsi="Aptos"/>
          <w:b/>
          <w:color w:val="126B4B"/>
          <w:sz w:val="21"/>
        </w:rPr>
        <w:t xml:space="preserve">3  Build evidence  </w:t>
      </w:r>
      <w:r>
        <w:rPr>
          <w:rFonts w:ascii="Aptos" w:hAnsi="Aptos"/>
          <w:color w:val="18241F"/>
          <w:sz w:val="21"/>
        </w:rPr>
        <w:t>Return typed findings with severity, points, source, and human explanations.</w:t>
      </w:r>
    </w:p>
    <w:p>
      <w:pPr>
        <w:keepLines/>
        <w:spacing w:after="140"/>
      </w:pPr>
      <w:r>
        <w:rPr>
          <w:rFonts w:ascii="Aptos" w:hAnsi="Aptos"/>
          <w:b/>
          <w:color w:val="126B4B"/>
          <w:sz w:val="21"/>
        </w:rPr>
        <w:t xml:space="preserve">4  Apply policy  </w:t>
      </w:r>
      <w:r>
        <w:rPr>
          <w:rFonts w:ascii="Aptos" w:hAnsi="Aptos"/>
          <w:color w:val="18241F"/>
          <w:sz w:val="21"/>
        </w:rPr>
        <w:t>Add base points and interaction points, classify risk, infer scam type, and estimate confidence.</w:t>
      </w:r>
    </w:p>
    <w:p>
      <w:pPr>
        <w:keepLines/>
        <w:spacing w:after="140"/>
      </w:pPr>
      <w:r>
        <w:rPr>
          <w:rFonts w:ascii="Aptos" w:hAnsi="Aptos"/>
          <w:b/>
          <w:color w:val="126B4B"/>
          <w:sz w:val="21"/>
        </w:rPr>
        <w:t xml:space="preserve">5  Preserve trace  </w:t>
      </w:r>
      <w:r>
        <w:rPr>
          <w:rFonts w:ascii="Aptos" w:hAnsi="Aptos"/>
          <w:color w:val="18241F"/>
          <w:sz w:val="21"/>
        </w:rPr>
        <w:t>Record detector names, policy version, interactions, and point contributions for testing and audit.</w:t>
      </w:r>
    </w:p>
    <w:p>
      <w:pPr>
        <w:keepLines/>
        <w:spacing w:after="140"/>
      </w:pPr>
      <w:r>
        <w:rPr>
          <w:rFonts w:ascii="Aptos" w:hAnsi="Aptos"/>
          <w:b/>
          <w:color w:val="126B4B"/>
          <w:sz w:val="21"/>
        </w:rPr>
        <w:t xml:space="preserve">6  Present guidance  </w:t>
      </w:r>
      <w:r>
        <w:rPr>
          <w:rFonts w:ascii="Aptos" w:hAnsi="Aptos"/>
          <w:color w:val="18241F"/>
          <w:sz w:val="21"/>
        </w:rPr>
        <w:t>Render the result and recommended action in the selected language.</w:t>
      </w:r>
    </w:p>
    <w:p>
      <w:pPr>
        <w:pStyle w:val="Heading2"/>
      </w:pPr>
      <w:r>
        <w:t>Current Quality Evidence</w:t>
      </w:r>
    </w:p>
    <w:p>
      <w:pPr>
        <w:pStyle w:val="ListBullet"/>
        <w:spacing w:after="80"/>
        <w:ind w:left="360" w:hanging="230"/>
      </w:pPr>
      <w:r>
        <w:rPr>
          <w:rFonts w:ascii="Aptos" w:hAnsi="Aptos"/>
          <w:color w:val="18241F"/>
          <w:sz w:val="21"/>
        </w:rPr>
        <w:t>Strict TypeScript type checking passes with no compiler errors</w:t>
      </w:r>
    </w:p>
    <w:p>
      <w:pPr>
        <w:pStyle w:val="ListBullet"/>
        <w:spacing w:after="80"/>
        <w:ind w:left="360" w:hanging="230"/>
      </w:pPr>
      <w:r>
        <w:rPr>
          <w:rFonts w:ascii="Aptos" w:hAnsi="Aptos"/>
          <w:color w:val="18241F"/>
          <w:sz w:val="21"/>
        </w:rPr>
        <w:t>Five fraud pipeline tests pass</w:t>
      </w:r>
    </w:p>
    <w:p>
      <w:pPr>
        <w:pStyle w:val="ListBullet"/>
        <w:spacing w:after="80"/>
        <w:ind w:left="360" w:hanging="230"/>
      </w:pPr>
      <w:r>
        <w:rPr>
          <w:rFonts w:ascii="Aptos" w:hAnsi="Aptos"/>
          <w:color w:val="18241F"/>
          <w:sz w:val="21"/>
        </w:rPr>
        <w:t>ESLint passes</w:t>
      </w:r>
    </w:p>
    <w:p>
      <w:pPr>
        <w:pStyle w:val="ListBullet"/>
        <w:spacing w:after="80"/>
        <w:ind w:left="360" w:hanging="230"/>
      </w:pPr>
      <w:r>
        <w:rPr>
          <w:rFonts w:ascii="Aptos" w:hAnsi="Aptos"/>
          <w:color w:val="18241F"/>
          <w:sz w:val="21"/>
        </w:rPr>
        <w:t>The production Vite build succeeds</w:t>
      </w:r>
    </w:p>
    <w:p>
      <w:pPr>
        <w:pStyle w:val="ListBullet"/>
        <w:spacing w:after="80"/>
        <w:ind w:left="360" w:hanging="230"/>
      </w:pPr>
      <w:r>
        <w:rPr>
          <w:rFonts w:ascii="Aptos" w:hAnsi="Aptos"/>
          <w:color w:val="18241F"/>
          <w:sz w:val="21"/>
        </w:rPr>
        <w:t>React Doctor reports 100 out of 100 with no issues</w:t>
      </w:r>
    </w:p>
    <w:p>
      <w:pPr>
        <w:pStyle w:val="ListBullet"/>
        <w:spacing w:after="80"/>
        <w:ind w:left="360" w:hanging="230"/>
      </w:pPr>
      <w:r>
        <w:rPr>
          <w:rFonts w:ascii="Aptos" w:hAnsi="Aptos"/>
          <w:color w:val="18241F"/>
          <w:sz w:val="21"/>
        </w:rPr>
        <w:t>Desktop and mobile browser checks pass for message and payment journeys with no console errors</w:t>
      </w:r>
    </w:p>
    <w:p>
      <w:pPr>
        <w:pStyle w:val="Heading2"/>
      </w:pPr>
      <w:r>
        <w:t>Repository Structure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096"/>
            <w:shd w:fill="26322C"/>
            <w:tcMar>
              <w:top w:w="120" w:type="dxa"/>
              <w:start w:w="130" w:type="dxa"/>
              <w:bottom w:w="120" w:type="dxa"/>
              <w:end w:w="130" w:type="dxa"/>
            </w:tcMar>
            <w:vAlign w:val="center"/>
          </w:tcPr>
          <w:p>
            <w:pPr>
              <w:spacing w:after="0"/>
              <w:jc w:val="left"/>
            </w:pPr>
            <w:r>
              <w:rPr>
                <w:rFonts w:ascii="Aptos" w:hAnsi="Aptos"/>
                <w:b/>
                <w:color w:val="FFFFFF"/>
                <w:sz w:val="18"/>
              </w:rPr>
              <w:t>Path</w:t>
            </w:r>
          </w:p>
        </w:tc>
        <w:tc>
          <w:tcPr>
            <w:tcW w:type="dxa" w:w="6624"/>
            <w:shd w:fill="26322C"/>
            <w:tcMar>
              <w:top w:w="120" w:type="dxa"/>
              <w:start w:w="130" w:type="dxa"/>
              <w:bottom w:w="120" w:type="dxa"/>
              <w:end w:w="130" w:type="dxa"/>
            </w:tcMar>
            <w:vAlign w:val="center"/>
          </w:tcPr>
          <w:p>
            <w:pPr>
              <w:spacing w:after="0"/>
              <w:jc w:val="left"/>
            </w:pPr>
            <w:r>
              <w:rPr>
                <w:rFonts w:ascii="Aptos" w:hAnsi="Aptos"/>
                <w:b/>
                <w:color w:val="FFFFFF"/>
                <w:sz w:val="18"/>
              </w:rPr>
              <w:t>Purpose</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src/App.tsx</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Main user interface, five guard flows, results, history, safety centre, and exports</w:t>
            </w:r>
          </w:p>
        </w:tc>
      </w:tr>
      <w:tr>
        <w:trPr>
          <w:cantSplit w:val="true"/>
        </w:trPr>
        <w:tc>
          <w:tcPr>
            <w:tcW w:type="dxa" w:w="3096"/>
            <w:vAlign w:val="center"/>
            <w:tcMar>
              <w:top w:w="105" w:type="dxa"/>
              <w:start w:w="130" w:type="dxa"/>
              <w:bottom w:w="105" w:type="dxa"/>
              <w:end w:w="130" w:type="dxa"/>
            </w:tcMar>
            <w:shd w:fill="F2F5F1"/>
          </w:tcPr>
          <w:p>
            <w:pPr>
              <w:spacing w:after="0" w:line="252" w:lineRule="auto"/>
            </w:pPr>
            <w:r>
              <w:rPr>
                <w:rFonts w:ascii="Aptos" w:hAnsi="Aptos"/>
                <w:color w:val="18241F"/>
                <w:sz w:val="18"/>
              </w:rPr>
              <w:t>src/engine.ts</w:t>
            </w:r>
          </w:p>
        </w:tc>
        <w:tc>
          <w:tcPr>
            <w:tcW w:type="dxa" w:w="6624"/>
            <w:vAlign w:val="center"/>
            <w:tcMar>
              <w:top w:w="105" w:type="dxa"/>
              <w:start w:w="130" w:type="dxa"/>
              <w:bottom w:w="105" w:type="dxa"/>
              <w:end w:w="130" w:type="dxa"/>
            </w:tcMar>
            <w:shd w:fill="F2F5F1"/>
          </w:tcPr>
          <w:p>
            <w:pPr>
              <w:spacing w:after="0" w:line="252" w:lineRule="auto"/>
            </w:pPr>
            <w:r>
              <w:rPr>
                <w:rFonts w:ascii="Aptos" w:hAnsi="Aptos"/>
                <w:color w:val="18241F"/>
                <w:sz w:val="18"/>
              </w:rPr>
              <w:t>Stable public adapter and phrase highlighting</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src/features/transcription.ts</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Local Whisper model loading and timestamped call transcription</w:t>
            </w:r>
          </w:p>
        </w:tc>
      </w:tr>
      <w:tr>
        <w:trPr>
          <w:cantSplit w:val="true"/>
        </w:trPr>
        <w:tc>
          <w:tcPr>
            <w:tcW w:type="dxa" w:w="3096"/>
            <w:vAlign w:val="center"/>
            <w:tcMar>
              <w:top w:w="105" w:type="dxa"/>
              <w:start w:w="130" w:type="dxa"/>
              <w:bottom w:w="105" w:type="dxa"/>
              <w:end w:w="130" w:type="dxa"/>
            </w:tcMar>
            <w:shd w:fill="F2F5F1"/>
          </w:tcPr>
          <w:p>
            <w:pPr>
              <w:spacing w:after="0" w:line="252" w:lineRule="auto"/>
            </w:pPr>
            <w:r>
              <w:rPr>
                <w:rFonts w:ascii="Aptos" w:hAnsi="Aptos"/>
                <w:color w:val="18241F"/>
                <w:sz w:val="18"/>
              </w:rPr>
              <w:t>src/features/history.ts</w:t>
            </w:r>
          </w:p>
        </w:tc>
        <w:tc>
          <w:tcPr>
            <w:tcW w:type="dxa" w:w="6624"/>
            <w:vAlign w:val="center"/>
            <w:tcMar>
              <w:top w:w="105" w:type="dxa"/>
              <w:start w:w="130" w:type="dxa"/>
              <w:bottom w:w="105" w:type="dxa"/>
              <w:end w:w="130" w:type="dxa"/>
            </w:tcMar>
            <w:shd w:fill="F2F5F1"/>
          </w:tcPr>
          <w:p>
            <w:pPr>
              <w:spacing w:after="0" w:line="252" w:lineRule="auto"/>
            </w:pPr>
            <w:r>
              <w:rPr>
                <w:rFonts w:ascii="Aptos" w:hAnsi="Aptos"/>
                <w:color w:val="18241F"/>
                <w:sz w:val="18"/>
              </w:rPr>
              <w:t>Opt in on device recent check storage and clearing</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src/security/signals.ts</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Declarative message signal catalogue</w:t>
            </w:r>
          </w:p>
        </w:tc>
      </w:tr>
      <w:tr>
        <w:trPr>
          <w:cantSplit w:val="true"/>
        </w:trPr>
        <w:tc>
          <w:tcPr>
            <w:tcW w:type="dxa" w:w="3096"/>
            <w:vAlign w:val="center"/>
            <w:tcMar>
              <w:top w:w="105" w:type="dxa"/>
              <w:start w:w="130" w:type="dxa"/>
              <w:bottom w:w="105" w:type="dxa"/>
              <w:end w:w="130" w:type="dxa"/>
            </w:tcMar>
            <w:shd w:fill="F2F5F1"/>
          </w:tcPr>
          <w:p>
            <w:pPr>
              <w:spacing w:after="0" w:line="252" w:lineRule="auto"/>
            </w:pPr>
            <w:r>
              <w:rPr>
                <w:rFonts w:ascii="Aptos" w:hAnsi="Aptos"/>
                <w:color w:val="18241F"/>
                <w:sz w:val="18"/>
              </w:rPr>
              <w:t>src/security/url-intelligence.ts</w:t>
            </w:r>
          </w:p>
        </w:tc>
        <w:tc>
          <w:tcPr>
            <w:tcW w:type="dxa" w:w="6624"/>
            <w:vAlign w:val="center"/>
            <w:tcMar>
              <w:top w:w="105" w:type="dxa"/>
              <w:start w:w="130" w:type="dxa"/>
              <w:bottom w:w="105" w:type="dxa"/>
              <w:end w:w="130" w:type="dxa"/>
            </w:tcMar>
            <w:shd w:fill="F2F5F1"/>
          </w:tcPr>
          <w:p>
            <w:pPr>
              <w:spacing w:after="0" w:line="252" w:lineRule="auto"/>
            </w:pPr>
            <w:r>
              <w:rPr>
                <w:rFonts w:ascii="Aptos" w:hAnsi="Aptos"/>
                <w:color w:val="18241F"/>
                <w:sz w:val="18"/>
              </w:rPr>
              <w:t>URL parsing, trust, and structural checks</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src/security/payment-intelligence.ts</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Payment state, amount, reference, and release pressure evidence</w:t>
            </w:r>
          </w:p>
        </w:tc>
      </w:tr>
      <w:tr>
        <w:trPr>
          <w:cantSplit w:val="true"/>
        </w:trPr>
        <w:tc>
          <w:tcPr>
            <w:tcW w:type="dxa" w:w="3096"/>
            <w:vAlign w:val="center"/>
            <w:tcMar>
              <w:top w:w="105" w:type="dxa"/>
              <w:start w:w="130" w:type="dxa"/>
              <w:bottom w:w="105" w:type="dxa"/>
              <w:end w:w="130" w:type="dxa"/>
            </w:tcMar>
            <w:shd w:fill="F2F5F1"/>
          </w:tcPr>
          <w:p>
            <w:pPr>
              <w:spacing w:after="0" w:line="252" w:lineRule="auto"/>
            </w:pPr>
            <w:r>
              <w:rPr>
                <w:rFonts w:ascii="Aptos" w:hAnsi="Aptos"/>
                <w:color w:val="18241F"/>
                <w:sz w:val="18"/>
              </w:rPr>
              <w:t>src/security/risk-policy.ts</w:t>
            </w:r>
          </w:p>
        </w:tc>
        <w:tc>
          <w:tcPr>
            <w:tcW w:type="dxa" w:w="6624"/>
            <w:vAlign w:val="center"/>
            <w:tcMar>
              <w:top w:w="105" w:type="dxa"/>
              <w:start w:w="130" w:type="dxa"/>
              <w:bottom w:w="105" w:type="dxa"/>
              <w:end w:w="130" w:type="dxa"/>
            </w:tcMar>
            <w:shd w:fill="F2F5F1"/>
          </w:tcPr>
          <w:p>
            <w:pPr>
              <w:spacing w:after="0" w:line="252" w:lineRule="auto"/>
            </w:pPr>
            <w:r>
              <w:rPr>
                <w:rFonts w:ascii="Aptos" w:hAnsi="Aptos"/>
                <w:color w:val="18241F"/>
                <w:sz w:val="18"/>
              </w:rPr>
              <w:t>Scoring thresholds, interactions, confidence, and category inference</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src/security/pipeline.ts</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Orchestration and English or Pidgin guidance</w:t>
            </w:r>
          </w:p>
        </w:tc>
      </w:tr>
      <w:tr>
        <w:trPr>
          <w:cantSplit w:val="true"/>
        </w:trPr>
        <w:tc>
          <w:tcPr>
            <w:tcW w:type="dxa" w:w="3096"/>
            <w:vAlign w:val="center"/>
            <w:tcMar>
              <w:top w:w="105" w:type="dxa"/>
              <w:start w:w="130" w:type="dxa"/>
              <w:bottom w:w="105" w:type="dxa"/>
              <w:end w:w="130" w:type="dxa"/>
            </w:tcMar>
            <w:shd w:fill="F2F5F1"/>
          </w:tcPr>
          <w:p>
            <w:pPr>
              <w:spacing w:after="0" w:line="252" w:lineRule="auto"/>
            </w:pPr>
            <w:r>
              <w:rPr>
                <w:rFonts w:ascii="Aptos" w:hAnsi="Aptos"/>
                <w:color w:val="18241F"/>
                <w:sz w:val="18"/>
              </w:rPr>
              <w:t>src/security/types.ts</w:t>
            </w:r>
          </w:p>
        </w:tc>
        <w:tc>
          <w:tcPr>
            <w:tcW w:type="dxa" w:w="6624"/>
            <w:vAlign w:val="center"/>
            <w:tcMar>
              <w:top w:w="105" w:type="dxa"/>
              <w:start w:w="130" w:type="dxa"/>
              <w:bottom w:w="105" w:type="dxa"/>
              <w:end w:w="130" w:type="dxa"/>
            </w:tcMar>
            <w:shd w:fill="F2F5F1"/>
          </w:tcPr>
          <w:p>
            <w:pPr>
              <w:spacing w:after="0" w:line="252" w:lineRule="auto"/>
            </w:pPr>
            <w:r>
              <w:rPr>
                <w:rFonts w:ascii="Aptos" w:hAnsi="Aptos"/>
                <w:color w:val="18241F"/>
                <w:sz w:val="18"/>
              </w:rPr>
              <w:t>Shared TypeScript contracts</w:t>
            </w:r>
          </w:p>
        </w:tc>
      </w:tr>
      <w:tr>
        <w:trPr>
          <w:cantSplit w:val="true"/>
        </w:trPr>
        <w:tc>
          <w:tcPr>
            <w:tcW w:type="dxa" w:w="3096"/>
            <w:vAlign w:val="center"/>
            <w:tcMar>
              <w:top w:w="105" w:type="dxa"/>
              <w:start w:w="130" w:type="dxa"/>
              <w:bottom w:w="105" w:type="dxa"/>
              <w:end w:w="130" w:type="dxa"/>
            </w:tcMar>
          </w:tcPr>
          <w:p>
            <w:pPr>
              <w:spacing w:after="0" w:line="252" w:lineRule="auto"/>
            </w:pPr>
            <w:r>
              <w:rPr>
                <w:rFonts w:ascii="Aptos" w:hAnsi="Aptos"/>
                <w:color w:val="18241F"/>
                <w:sz w:val="18"/>
              </w:rPr>
              <w:t>test/risk-pipeline.test.ts</w:t>
            </w:r>
          </w:p>
        </w:tc>
        <w:tc>
          <w:tcPr>
            <w:tcW w:type="dxa" w:w="6624"/>
            <w:vAlign w:val="center"/>
            <w:tcMar>
              <w:top w:w="105" w:type="dxa"/>
              <w:start w:w="130" w:type="dxa"/>
              <w:bottom w:w="105" w:type="dxa"/>
              <w:end w:w="130" w:type="dxa"/>
            </w:tcMar>
          </w:tcPr>
          <w:p>
            <w:pPr>
              <w:spacing w:after="0" w:line="252" w:lineRule="auto"/>
            </w:pPr>
            <w:r>
              <w:rPr>
                <w:rFonts w:ascii="Aptos" w:hAnsi="Aptos"/>
                <w:color w:val="18241F"/>
                <w:sz w:val="18"/>
              </w:rPr>
              <w:t>Deterministic policy tests</w:t>
            </w:r>
          </w:p>
        </w:tc>
      </w:tr>
    </w:tbl>
    <w:p>
      <w:pPr>
        <w:spacing w:after="0"/>
      </w:pPr>
    </w:p>
    <w:p>
      <w:pPr>
        <w:pStyle w:val="Heading1"/>
      </w:pPr>
      <w:r>
        <w:t>What Is Left To Build</w:t>
      </w:r>
    </w:p>
    <w:p>
      <w:r>
        <w:t>The current demo flows are truthful and operational. The remaining gaps primarily separate a local first client MVP from a validated, connected production service.</w:t>
      </w:r>
    </w:p>
    <w:p>
      <w:pPr>
        <w:pStyle w:val="Heading2"/>
      </w:pPr>
      <w:r>
        <w:t>MVP Limitations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792"/>
            <w:shd w:fill="26322C"/>
            <w:tcMar>
              <w:top w:w="120" w:type="dxa"/>
              <w:start w:w="130" w:type="dxa"/>
              <w:bottom w:w="120" w:type="dxa"/>
              <w:end w:w="130" w:type="dxa"/>
            </w:tcMar>
            <w:vAlign w:val="center"/>
          </w:tcPr>
          <w:p>
            <w:pPr>
              <w:spacing w:after="0"/>
              <w:jc w:val="center"/>
            </w:pPr>
            <w:r>
              <w:rPr>
                <w:rFonts w:ascii="Aptos" w:hAnsi="Aptos"/>
                <w:b/>
                <w:color w:val="FFFFFF"/>
                <w:sz w:val="18"/>
              </w:rPr>
              <w:t>Priority</w:t>
            </w:r>
          </w:p>
        </w:tc>
        <w:tc>
          <w:tcPr>
            <w:tcW w:type="dxa" w:w="2952"/>
            <w:shd w:fill="26322C"/>
            <w:tcMar>
              <w:top w:w="120" w:type="dxa"/>
              <w:start w:w="130" w:type="dxa"/>
              <w:bottom w:w="120" w:type="dxa"/>
              <w:end w:w="130" w:type="dxa"/>
            </w:tcMar>
            <w:vAlign w:val="center"/>
          </w:tcPr>
          <w:p>
            <w:pPr>
              <w:spacing w:after="0"/>
              <w:jc w:val="left"/>
            </w:pPr>
            <w:r>
              <w:rPr>
                <w:rFonts w:ascii="Aptos" w:hAnsi="Aptos"/>
                <w:b/>
                <w:color w:val="FFFFFF"/>
                <w:sz w:val="18"/>
              </w:rPr>
              <w:t>Gap</w:t>
            </w:r>
          </w:p>
        </w:tc>
        <w:tc>
          <w:tcPr>
            <w:tcW w:type="dxa" w:w="5976"/>
            <w:shd w:fill="26322C"/>
            <w:tcMar>
              <w:top w:w="120" w:type="dxa"/>
              <w:start w:w="130" w:type="dxa"/>
              <w:bottom w:w="120" w:type="dxa"/>
              <w:end w:w="130" w:type="dxa"/>
            </w:tcMar>
            <w:vAlign w:val="center"/>
          </w:tcPr>
          <w:p>
            <w:pPr>
              <w:spacing w:after="0"/>
              <w:jc w:val="left"/>
            </w:pPr>
            <w:r>
              <w:rPr>
                <w:rFonts w:ascii="Aptos" w:hAnsi="Aptos"/>
                <w:b/>
                <w:color w:val="FFFFFF"/>
                <w:sz w:val="18"/>
              </w:rPr>
              <w:t>Required change</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P1</w:t>
            </w:r>
          </w:p>
        </w:tc>
        <w:tc>
          <w:tcPr>
            <w:tcW w:type="dxa" w:w="2952"/>
            <w:vAlign w:val="center"/>
            <w:tcMar>
              <w:top w:w="105" w:type="dxa"/>
              <w:start w:w="130" w:type="dxa"/>
              <w:bottom w:w="105" w:type="dxa"/>
              <w:end w:w="130" w:type="dxa"/>
            </w:tcMar>
          </w:tcPr>
          <w:p>
            <w:pPr>
              <w:spacing w:after="0" w:line="252" w:lineRule="auto"/>
            </w:pPr>
            <w:r>
              <w:rPr>
                <w:rFonts w:ascii="Aptos" w:hAnsi="Aptos"/>
                <w:color w:val="18241F"/>
                <w:sz w:val="18"/>
              </w:rPr>
              <w:t>Call model is English and relatively large</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Add multilingual models, worker based loading, download size guidance, and a compatibility fallback</w:t>
            </w:r>
          </w:p>
        </w:tc>
      </w:tr>
      <w:tr>
        <w:trPr>
          <w:cantSplit w:val="true"/>
        </w:trPr>
        <w:tc>
          <w:tcPr>
            <w:tcW w:type="dxa" w:w="79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P1</w:t>
            </w:r>
          </w:p>
        </w:tc>
        <w:tc>
          <w:tcPr>
            <w:tcW w:type="dxa" w:w="2952"/>
            <w:vAlign w:val="center"/>
            <w:tcMar>
              <w:top w:w="105" w:type="dxa"/>
              <w:start w:w="130" w:type="dxa"/>
              <w:bottom w:w="105" w:type="dxa"/>
              <w:end w:w="130" w:type="dxa"/>
            </w:tcMar>
            <w:shd w:fill="F2F5F1"/>
          </w:tcPr>
          <w:p>
            <w:pPr>
              <w:spacing w:after="0" w:line="252" w:lineRule="auto"/>
            </w:pPr>
            <w:r>
              <w:rPr>
                <w:rFonts w:ascii="Aptos" w:hAnsi="Aptos"/>
                <w:color w:val="18241F"/>
                <w:sz w:val="18"/>
              </w:rPr>
              <w:t>URL checks are structural only</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Add live reputation and redirect intelligence with freshness and provenance</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P1</w:t>
            </w:r>
          </w:p>
        </w:tc>
        <w:tc>
          <w:tcPr>
            <w:tcW w:type="dxa" w:w="2952"/>
            <w:vAlign w:val="center"/>
            <w:tcMar>
              <w:top w:w="105" w:type="dxa"/>
              <w:start w:w="130" w:type="dxa"/>
              <w:bottom w:w="105" w:type="dxa"/>
              <w:end w:w="130" w:type="dxa"/>
            </w:tcMar>
          </w:tcPr>
          <w:p>
            <w:pPr>
              <w:spacing w:after="0" w:line="252" w:lineRule="auto"/>
            </w:pPr>
            <w:r>
              <w:rPr>
                <w:rFonts w:ascii="Aptos" w:hAnsi="Aptos"/>
                <w:color w:val="18241F"/>
                <w:sz w:val="18"/>
              </w:rPr>
              <w:t>Payment proof is text based</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Add stronger receipt field parsing and institutional transaction verification where authorised</w:t>
            </w:r>
          </w:p>
        </w:tc>
      </w:tr>
      <w:tr>
        <w:trPr>
          <w:cantSplit w:val="true"/>
        </w:trPr>
        <w:tc>
          <w:tcPr>
            <w:tcW w:type="dxa" w:w="79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P1</w:t>
            </w:r>
          </w:p>
        </w:tc>
        <w:tc>
          <w:tcPr>
            <w:tcW w:type="dxa" w:w="2952"/>
            <w:vAlign w:val="center"/>
            <w:tcMar>
              <w:top w:w="105" w:type="dxa"/>
              <w:start w:w="130" w:type="dxa"/>
              <w:bottom w:w="105" w:type="dxa"/>
              <w:end w:w="130" w:type="dxa"/>
            </w:tcMar>
            <w:shd w:fill="F2F5F1"/>
          </w:tcPr>
          <w:p>
            <w:pPr>
              <w:spacing w:after="0" w:line="252" w:lineRule="auto"/>
            </w:pPr>
            <w:r>
              <w:rPr>
                <w:rFonts w:ascii="Aptos" w:hAnsi="Aptos"/>
                <w:color w:val="18241F"/>
                <w:sz w:val="18"/>
              </w:rPr>
              <w:t>Reporting is local only</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Add verified reporting destinations with explicit review and consent before transmission</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P2</w:t>
            </w:r>
          </w:p>
        </w:tc>
        <w:tc>
          <w:tcPr>
            <w:tcW w:type="dxa" w:w="2952"/>
            <w:vAlign w:val="center"/>
            <w:tcMar>
              <w:top w:w="105" w:type="dxa"/>
              <w:start w:w="130" w:type="dxa"/>
              <w:bottom w:w="105" w:type="dxa"/>
              <w:end w:w="130" w:type="dxa"/>
            </w:tcMar>
          </w:tcPr>
          <w:p>
            <w:pPr>
              <w:spacing w:after="0" w:line="252" w:lineRule="auto"/>
            </w:pPr>
            <w:r>
              <w:rPr>
                <w:rFonts w:ascii="Aptos" w:hAnsi="Aptos"/>
                <w:color w:val="18241F"/>
                <w:sz w:val="18"/>
              </w:rPr>
              <w:t>History stays on one device</w:t>
            </w:r>
          </w:p>
        </w:tc>
        <w:tc>
          <w:tcPr>
            <w:tcW w:type="dxa" w:w="5976"/>
            <w:vAlign w:val="center"/>
            <w:tcMar>
              <w:top w:w="105" w:type="dxa"/>
              <w:start w:w="130" w:type="dxa"/>
              <w:bottom w:w="105" w:type="dxa"/>
              <w:end w:w="130" w:type="dxa"/>
            </w:tcMar>
          </w:tcPr>
          <w:p>
            <w:pPr>
              <w:spacing w:after="0" w:line="252" w:lineRule="auto"/>
            </w:pPr>
            <w:r>
              <w:rPr>
                <w:rFonts w:ascii="Aptos" w:hAnsi="Aptos"/>
                <w:color w:val="18241F"/>
                <w:sz w:val="18"/>
              </w:rPr>
              <w:t>Add an authenticated, encrypted case workspace only if user research supports it</w:t>
            </w:r>
          </w:p>
        </w:tc>
      </w:tr>
      <w:tr>
        <w:trPr>
          <w:cantSplit w:val="true"/>
        </w:trPr>
        <w:tc>
          <w:tcPr>
            <w:tcW w:type="dxa" w:w="79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P2</w:t>
            </w:r>
          </w:p>
        </w:tc>
        <w:tc>
          <w:tcPr>
            <w:tcW w:type="dxa" w:w="2952"/>
            <w:vAlign w:val="center"/>
            <w:tcMar>
              <w:top w:w="105" w:type="dxa"/>
              <w:start w:w="130" w:type="dxa"/>
              <w:bottom w:w="105" w:type="dxa"/>
              <w:end w:w="130" w:type="dxa"/>
            </w:tcMar>
            <w:shd w:fill="F2F5F1"/>
          </w:tcPr>
          <w:p>
            <w:pPr>
              <w:spacing w:after="0" w:line="252" w:lineRule="auto"/>
            </w:pPr>
            <w:r>
              <w:rPr>
                <w:rFonts w:ascii="Aptos" w:hAnsi="Aptos"/>
                <w:color w:val="18241F"/>
                <w:sz w:val="18"/>
              </w:rPr>
              <w:t>No measured detection quality</w:t>
            </w:r>
          </w:p>
        </w:tc>
        <w:tc>
          <w:tcPr>
            <w:tcW w:type="dxa" w:w="5976"/>
            <w:vAlign w:val="center"/>
            <w:tcMar>
              <w:top w:w="105" w:type="dxa"/>
              <w:start w:w="130" w:type="dxa"/>
              <w:bottom w:w="105" w:type="dxa"/>
              <w:end w:w="130" w:type="dxa"/>
            </w:tcMar>
            <w:shd w:fill="F2F5F1"/>
          </w:tcPr>
          <w:p>
            <w:pPr>
              <w:spacing w:after="0" w:line="252" w:lineRule="auto"/>
            </w:pPr>
            <w:r>
              <w:rPr>
                <w:rFonts w:ascii="Aptos" w:hAnsi="Aptos"/>
                <w:color w:val="18241F"/>
                <w:sz w:val="18"/>
              </w:rPr>
              <w:t>Create a labelled Nigerian evaluation set and publish calibrated performance metrics</w:t>
            </w:r>
          </w:p>
        </w:tc>
      </w:tr>
    </w:tbl>
    <w:p>
      <w:pPr>
        <w:spacing w:after="0"/>
      </w:pPr>
    </w:p>
    <w:p>
      <w:pPr>
        <w:pStyle w:val="Heading2"/>
      </w:pPr>
      <w:r>
        <w:t>Production Platform Gaps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232"/>
            <w:shd w:fill="26322C"/>
            <w:tcMar>
              <w:top w:w="120" w:type="dxa"/>
              <w:start w:w="130" w:type="dxa"/>
              <w:bottom w:w="120" w:type="dxa"/>
              <w:end w:w="130" w:type="dxa"/>
            </w:tcMar>
            <w:vAlign w:val="center"/>
          </w:tcPr>
          <w:p>
            <w:pPr>
              <w:spacing w:after="0"/>
              <w:jc w:val="left"/>
            </w:pPr>
            <w:r>
              <w:rPr>
                <w:rFonts w:ascii="Aptos" w:hAnsi="Aptos"/>
                <w:b/>
                <w:color w:val="FFFFFF"/>
                <w:sz w:val="18"/>
              </w:rPr>
              <w:t>Area</w:t>
            </w:r>
          </w:p>
        </w:tc>
        <w:tc>
          <w:tcPr>
            <w:tcW w:type="dxa" w:w="7488"/>
            <w:shd w:fill="26322C"/>
            <w:tcMar>
              <w:top w:w="120" w:type="dxa"/>
              <w:start w:w="130" w:type="dxa"/>
              <w:bottom w:w="120" w:type="dxa"/>
              <w:end w:w="130" w:type="dxa"/>
            </w:tcMar>
            <w:vAlign w:val="center"/>
          </w:tcPr>
          <w:p>
            <w:pPr>
              <w:spacing w:after="0"/>
              <w:jc w:val="left"/>
            </w:pPr>
            <w:r>
              <w:rPr>
                <w:rFonts w:ascii="Aptos" w:hAnsi="Aptos"/>
                <w:b/>
                <w:color w:val="FFFFFF"/>
                <w:sz w:val="18"/>
              </w:rPr>
              <w:t>Work required</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Backend and API</w:t>
            </w:r>
          </w:p>
        </w:tc>
        <w:tc>
          <w:tcPr>
            <w:tcW w:type="dxa" w:w="7488"/>
            <w:vAlign w:val="center"/>
            <w:tcMar>
              <w:top w:w="105" w:type="dxa"/>
              <w:start w:w="130" w:type="dxa"/>
              <w:bottom w:w="105" w:type="dxa"/>
              <w:end w:w="130" w:type="dxa"/>
            </w:tcMar>
          </w:tcPr>
          <w:p>
            <w:pPr>
              <w:spacing w:after="0" w:line="252" w:lineRule="auto"/>
            </w:pPr>
            <w:r>
              <w:rPr>
                <w:rFonts w:ascii="Aptos" w:hAnsi="Aptos"/>
                <w:color w:val="18241F"/>
                <w:sz w:val="18"/>
              </w:rPr>
              <w:t>Create an authenticated analysis service, versioned API contracts, request limits, audit logging, and safe error handling</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Data protection</w:t>
            </w:r>
          </w:p>
        </w:tc>
        <w:tc>
          <w:tcPr>
            <w:tcW w:type="dxa" w:w="7488"/>
            <w:vAlign w:val="center"/>
            <w:tcMar>
              <w:top w:w="105" w:type="dxa"/>
              <w:start w:w="130" w:type="dxa"/>
              <w:bottom w:w="105" w:type="dxa"/>
              <w:end w:w="130" w:type="dxa"/>
            </w:tcMar>
            <w:shd w:fill="F2F5F1"/>
          </w:tcPr>
          <w:p>
            <w:pPr>
              <w:spacing w:after="0" w:line="252" w:lineRule="auto"/>
            </w:pPr>
            <w:r>
              <w:rPr>
                <w:rFonts w:ascii="Aptos" w:hAnsi="Aptos"/>
                <w:color w:val="18241F"/>
                <w:sz w:val="18"/>
              </w:rPr>
              <w:t>Define retention rules, consent, encryption, deletion, redaction, and handling for screenshots, audio, phone numbers, and financial identifiers</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Live intelligence</w:t>
            </w:r>
          </w:p>
        </w:tc>
        <w:tc>
          <w:tcPr>
            <w:tcW w:type="dxa" w:w="7488"/>
            <w:vAlign w:val="center"/>
            <w:tcMar>
              <w:top w:w="105" w:type="dxa"/>
              <w:start w:w="130" w:type="dxa"/>
              <w:bottom w:w="105" w:type="dxa"/>
              <w:end w:w="130" w:type="dxa"/>
            </w:tcMar>
          </w:tcPr>
          <w:p>
            <w:pPr>
              <w:spacing w:after="0" w:line="252" w:lineRule="auto"/>
            </w:pPr>
            <w:r>
              <w:rPr>
                <w:rFonts w:ascii="Aptos" w:hAnsi="Aptos"/>
                <w:color w:val="18241F"/>
                <w:sz w:val="18"/>
              </w:rPr>
              <w:t>Add reputable domain, redirect, certificate, number, and community reputation sources with clear freshness and provenance</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Detection evaluation</w:t>
            </w:r>
          </w:p>
        </w:tc>
        <w:tc>
          <w:tcPr>
            <w:tcW w:type="dxa" w:w="7488"/>
            <w:vAlign w:val="center"/>
            <w:tcMar>
              <w:top w:w="105" w:type="dxa"/>
              <w:start w:w="130" w:type="dxa"/>
              <w:bottom w:w="105" w:type="dxa"/>
              <w:end w:w="130" w:type="dxa"/>
            </w:tcMar>
            <w:shd w:fill="F2F5F1"/>
          </w:tcPr>
          <w:p>
            <w:pPr>
              <w:spacing w:after="0" w:line="252" w:lineRule="auto"/>
            </w:pPr>
            <w:r>
              <w:rPr>
                <w:rFonts w:ascii="Aptos" w:hAnsi="Aptos"/>
                <w:color w:val="18241F"/>
                <w:sz w:val="18"/>
              </w:rPr>
              <w:t>Build a labelled Nigerian scam dataset and measure precision, recall, false positives, calibration, and performance by scam type</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Real reporting</w:t>
            </w:r>
          </w:p>
        </w:tc>
        <w:tc>
          <w:tcPr>
            <w:tcW w:type="dxa" w:w="7488"/>
            <w:vAlign w:val="center"/>
            <w:tcMar>
              <w:top w:w="105" w:type="dxa"/>
              <w:start w:w="130" w:type="dxa"/>
              <w:bottom w:w="105" w:type="dxa"/>
              <w:end w:w="130" w:type="dxa"/>
            </w:tcMar>
          </w:tcPr>
          <w:p>
            <w:pPr>
              <w:spacing w:after="0" w:line="252" w:lineRule="auto"/>
            </w:pPr>
            <w:r>
              <w:rPr>
                <w:rFonts w:ascii="Aptos" w:hAnsi="Aptos"/>
                <w:color w:val="18241F"/>
                <w:sz w:val="18"/>
              </w:rPr>
              <w:t>Integrate verified reporting destinations and explain exactly what data will be sent before transmission</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Community reports</w:t>
            </w:r>
          </w:p>
        </w:tc>
        <w:tc>
          <w:tcPr>
            <w:tcW w:type="dxa" w:w="7488"/>
            <w:vAlign w:val="center"/>
            <w:tcMar>
              <w:top w:w="105" w:type="dxa"/>
              <w:start w:w="130" w:type="dxa"/>
              <w:bottom w:w="105" w:type="dxa"/>
              <w:end w:w="130" w:type="dxa"/>
            </w:tcMar>
            <w:shd w:fill="F2F5F1"/>
          </w:tcPr>
          <w:p>
            <w:pPr>
              <w:spacing w:after="0" w:line="252" w:lineRule="auto"/>
            </w:pPr>
            <w:r>
              <w:rPr>
                <w:rFonts w:ascii="Aptos" w:hAnsi="Aptos"/>
                <w:color w:val="18241F"/>
                <w:sz w:val="18"/>
              </w:rPr>
              <w:t>Add accounts, evidence review, duplicate handling, abuse prevention, appeals, and moderation</w:t>
            </w:r>
          </w:p>
        </w:tc>
      </w:tr>
      <w:tr>
        <w:trPr>
          <w:cantSplit w:val="true"/>
        </w:trPr>
        <w:tc>
          <w:tcPr>
            <w:tcW w:type="dxa" w:w="2232"/>
            <w:vAlign w:val="center"/>
            <w:tcMar>
              <w:top w:w="105" w:type="dxa"/>
              <w:start w:w="130" w:type="dxa"/>
              <w:bottom w:w="105" w:type="dxa"/>
              <w:end w:w="130" w:type="dxa"/>
            </w:tcMar>
          </w:tcPr>
          <w:p>
            <w:pPr>
              <w:spacing w:after="0" w:line="252" w:lineRule="auto"/>
            </w:pPr>
            <w:r>
              <w:rPr>
                <w:rFonts w:ascii="Aptos" w:hAnsi="Aptos"/>
                <w:color w:val="18241F"/>
                <w:sz w:val="18"/>
              </w:rPr>
              <w:t>Operations</w:t>
            </w:r>
          </w:p>
        </w:tc>
        <w:tc>
          <w:tcPr>
            <w:tcW w:type="dxa" w:w="7488"/>
            <w:vAlign w:val="center"/>
            <w:tcMar>
              <w:top w:w="105" w:type="dxa"/>
              <w:start w:w="130" w:type="dxa"/>
              <w:bottom w:w="105" w:type="dxa"/>
              <w:end w:w="130" w:type="dxa"/>
            </w:tcMar>
          </w:tcPr>
          <w:p>
            <w:pPr>
              <w:spacing w:after="0" w:line="252" w:lineRule="auto"/>
            </w:pPr>
            <w:r>
              <w:rPr>
                <w:rFonts w:ascii="Aptos" w:hAnsi="Aptos"/>
                <w:color w:val="18241F"/>
                <w:sz w:val="18"/>
              </w:rPr>
              <w:t>Add hosting, continuous delivery, monitoring, alerting, backups, incident response, and dependency security scanning</w:t>
            </w:r>
          </w:p>
        </w:tc>
      </w:tr>
      <w:tr>
        <w:trPr>
          <w:cantSplit w:val="true"/>
        </w:trPr>
        <w:tc>
          <w:tcPr>
            <w:tcW w:type="dxa" w:w="2232"/>
            <w:vAlign w:val="center"/>
            <w:tcMar>
              <w:top w:w="105" w:type="dxa"/>
              <w:start w:w="130" w:type="dxa"/>
              <w:bottom w:w="105" w:type="dxa"/>
              <w:end w:w="130" w:type="dxa"/>
            </w:tcMar>
            <w:shd w:fill="F2F5F1"/>
          </w:tcPr>
          <w:p>
            <w:pPr>
              <w:spacing w:after="0" w:line="252" w:lineRule="auto"/>
            </w:pPr>
            <w:r>
              <w:rPr>
                <w:rFonts w:ascii="Aptos" w:hAnsi="Aptos"/>
                <w:color w:val="18241F"/>
                <w:sz w:val="18"/>
              </w:rPr>
              <w:t>Accessibility</w:t>
            </w:r>
          </w:p>
        </w:tc>
        <w:tc>
          <w:tcPr>
            <w:tcW w:type="dxa" w:w="7488"/>
            <w:vAlign w:val="center"/>
            <w:tcMar>
              <w:top w:w="105" w:type="dxa"/>
              <w:start w:w="130" w:type="dxa"/>
              <w:bottom w:w="105" w:type="dxa"/>
              <w:end w:w="130" w:type="dxa"/>
            </w:tcMar>
            <w:shd w:fill="F2F5F1"/>
          </w:tcPr>
          <w:p>
            <w:pPr>
              <w:spacing w:after="0" w:line="252" w:lineRule="auto"/>
            </w:pPr>
            <w:r>
              <w:rPr>
                <w:rFonts w:ascii="Aptos" w:hAnsi="Aptos"/>
                <w:color w:val="18241F"/>
                <w:sz w:val="18"/>
              </w:rPr>
              <w:t>Complete keyboard, screen reader, contrast, reduced motion, and usability testing with target users</w:t>
            </w:r>
          </w:p>
        </w:tc>
      </w:tr>
    </w:tbl>
    <w:p>
      <w:pPr>
        <w:spacing w:after="0"/>
      </w:pPr>
    </w:p>
    <w:p>
      <w:pPr>
        <w:pStyle w:val="Heading1"/>
      </w:pPr>
      <w:r>
        <w:t>Recommended Delivery Roadmap</w:t>
      </w:r>
    </w:p>
    <w:p>
      <w:pPr>
        <w:pStyle w:val="Heading2"/>
      </w:pPr>
      <w:r>
        <w:t>Milestone One Honest Demo — Complete</w:t>
      </w:r>
    </w:p>
    <w:p>
      <w:r>
        <w:t>The visible flows now match their capabilities. Unsupported usage statistics and inactive controls are gone, OCR has honest errors, call audio is genuinely transcribed in browser, confidence is visible, reports export locally, and the reporting limitation is explicit.</w:t>
      </w:r>
    </w:p>
    <w:p>
      <w:pPr>
        <w:pStyle w:val="Heading2"/>
      </w:pPr>
      <w:r>
        <w:t>Milestone Two Measured Detection</w:t>
      </w:r>
    </w:p>
    <w:p>
      <w:r>
        <w:t>Create a representative test set of Nigerian scam and legitimate messages. Record expected evidence, category, and risk. Use the results to tune points and thresholds. Publish precision, recall, false positive rate, and category level performance. The milestone is complete when changes to detection policy can be compared against a fixed evaluation baseline.</w:t>
      </w:r>
    </w:p>
    <w:p>
      <w:pPr>
        <w:pStyle w:val="Heading2"/>
      </w:pPr>
      <w:r>
        <w:t>Milestone Three Secure Service</w:t>
      </w:r>
    </w:p>
    <w:p>
      <w:r>
        <w:t>Add a versioned API for features that genuinely require a server, establish privacy and retention rules, protect submitted evidence, and add rate limits and monitoring. Keep OCR and transcription local where practical, while integrating external reputation providers only after consent, cost, provenance, and failure behaviour are defined.</w:t>
      </w:r>
    </w:p>
    <w:p>
      <w:pPr>
        <w:pStyle w:val="Heading2"/>
      </w:pPr>
      <w:r>
        <w:t>Milestone Four Reporting Pilot</w:t>
      </w:r>
    </w:p>
    <w:p>
      <w:r>
        <w:t>Work with one bank, fintech company, telecom provider, or trusted reporting body. Map required incident fields, obtain user consent at transmission time, and track report outcomes. Add community reputation only with moderation and appeals. The milestone is complete when a submitted report has a verified destination, status, and accountable owner.</w:t>
      </w:r>
    </w:p>
    <w:p>
      <w:pPr>
        <w:pStyle w:val="Heading2"/>
      </w:pPr>
      <w:r>
        <w:t>Suggested Next Sprint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792"/>
            <w:shd w:fill="26322C"/>
            <w:tcMar>
              <w:top w:w="120" w:type="dxa"/>
              <w:start w:w="130" w:type="dxa"/>
              <w:bottom w:w="120" w:type="dxa"/>
              <w:end w:w="130" w:type="dxa"/>
            </w:tcMar>
            <w:vAlign w:val="center"/>
          </w:tcPr>
          <w:p>
            <w:pPr>
              <w:spacing w:after="0"/>
              <w:jc w:val="center"/>
            </w:pPr>
            <w:r>
              <w:rPr>
                <w:rFonts w:ascii="Aptos" w:hAnsi="Aptos"/>
                <w:b/>
                <w:color w:val="FFFFFF"/>
                <w:sz w:val="18"/>
              </w:rPr>
              <w:t>Order</w:t>
            </w:r>
          </w:p>
        </w:tc>
        <w:tc>
          <w:tcPr>
            <w:tcW w:type="dxa" w:w="3024"/>
            <w:shd w:fill="26322C"/>
            <w:tcMar>
              <w:top w:w="120" w:type="dxa"/>
              <w:start w:w="130" w:type="dxa"/>
              <w:bottom w:w="120" w:type="dxa"/>
              <w:end w:w="130" w:type="dxa"/>
            </w:tcMar>
            <w:vAlign w:val="center"/>
          </w:tcPr>
          <w:p>
            <w:pPr>
              <w:spacing w:after="0"/>
              <w:jc w:val="left"/>
            </w:pPr>
            <w:r>
              <w:rPr>
                <w:rFonts w:ascii="Aptos" w:hAnsi="Aptos"/>
                <w:b/>
                <w:color w:val="FFFFFF"/>
                <w:sz w:val="18"/>
              </w:rPr>
              <w:t>Deliverable</w:t>
            </w:r>
          </w:p>
        </w:tc>
        <w:tc>
          <w:tcPr>
            <w:tcW w:type="dxa" w:w="5832"/>
            <w:shd w:fill="26322C"/>
            <w:tcMar>
              <w:top w:w="120" w:type="dxa"/>
              <w:start w:w="130" w:type="dxa"/>
              <w:bottom w:w="120" w:type="dxa"/>
              <w:end w:w="130" w:type="dxa"/>
            </w:tcMar>
            <w:vAlign w:val="center"/>
          </w:tcPr>
          <w:p>
            <w:pPr>
              <w:spacing w:after="0"/>
              <w:jc w:val="left"/>
            </w:pPr>
            <w:r>
              <w:rPr>
                <w:rFonts w:ascii="Aptos" w:hAnsi="Aptos"/>
                <w:b/>
                <w:color w:val="FFFFFF"/>
                <w:sz w:val="18"/>
              </w:rPr>
              <w:t>Acceptance condition</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1</w:t>
            </w:r>
          </w:p>
        </w:tc>
        <w:tc>
          <w:tcPr>
            <w:tcW w:type="dxa" w:w="3024"/>
            <w:vAlign w:val="center"/>
            <w:tcMar>
              <w:top w:w="105" w:type="dxa"/>
              <w:start w:w="130" w:type="dxa"/>
              <w:bottom w:w="105" w:type="dxa"/>
              <w:end w:w="130" w:type="dxa"/>
            </w:tcMar>
          </w:tcPr>
          <w:p>
            <w:pPr>
              <w:spacing w:after="0" w:line="252" w:lineRule="auto"/>
            </w:pPr>
            <w:r>
              <w:rPr>
                <w:rFonts w:ascii="Aptos" w:hAnsi="Aptos"/>
                <w:color w:val="18241F"/>
                <w:sz w:val="18"/>
              </w:rPr>
              <w:t>Evaluation dataset and runner</w:t>
            </w:r>
          </w:p>
        </w:tc>
        <w:tc>
          <w:tcPr>
            <w:tcW w:type="dxa" w:w="5832"/>
            <w:vAlign w:val="center"/>
            <w:tcMar>
              <w:top w:w="105" w:type="dxa"/>
              <w:start w:w="130" w:type="dxa"/>
              <w:bottom w:w="105" w:type="dxa"/>
              <w:end w:w="130" w:type="dxa"/>
            </w:tcMar>
          </w:tcPr>
          <w:p>
            <w:pPr>
              <w:spacing w:after="0" w:line="252" w:lineRule="auto"/>
            </w:pPr>
            <w:r>
              <w:rPr>
                <w:rFonts w:ascii="Aptos" w:hAnsi="Aptos"/>
                <w:color w:val="18241F"/>
                <w:sz w:val="18"/>
              </w:rPr>
              <w:t>A repeatable command reports precision, recall, false positives, and calibration</w:t>
            </w:r>
          </w:p>
        </w:tc>
      </w:tr>
      <w:tr>
        <w:trPr>
          <w:cantSplit w:val="true"/>
        </w:trPr>
        <w:tc>
          <w:tcPr>
            <w:tcW w:type="dxa" w:w="79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2</w:t>
            </w:r>
          </w:p>
        </w:tc>
        <w:tc>
          <w:tcPr>
            <w:tcW w:type="dxa" w:w="3024"/>
            <w:vAlign w:val="center"/>
            <w:tcMar>
              <w:top w:w="105" w:type="dxa"/>
              <w:start w:w="130" w:type="dxa"/>
              <w:bottom w:w="105" w:type="dxa"/>
              <w:end w:w="130" w:type="dxa"/>
            </w:tcMar>
            <w:shd w:fill="F2F5F1"/>
          </w:tcPr>
          <w:p>
            <w:pPr>
              <w:spacing w:after="0" w:line="252" w:lineRule="auto"/>
            </w:pPr>
            <w:r>
              <w:rPr>
                <w:rFonts w:ascii="Aptos" w:hAnsi="Aptos"/>
                <w:color w:val="18241F"/>
                <w:sz w:val="18"/>
              </w:rPr>
              <w:t>Call compatibility pass</w:t>
            </w:r>
          </w:p>
        </w:tc>
        <w:tc>
          <w:tcPr>
            <w:tcW w:type="dxa" w:w="5832"/>
            <w:vAlign w:val="center"/>
            <w:tcMar>
              <w:top w:w="105" w:type="dxa"/>
              <w:start w:w="130" w:type="dxa"/>
              <w:bottom w:w="105" w:type="dxa"/>
              <w:end w:w="130" w:type="dxa"/>
            </w:tcMar>
            <w:shd w:fill="F2F5F1"/>
          </w:tcPr>
          <w:p>
            <w:pPr>
              <w:spacing w:after="0" w:line="252" w:lineRule="auto"/>
            </w:pPr>
            <w:r>
              <w:rPr>
                <w:rFonts w:ascii="Aptos" w:hAnsi="Aptos"/>
                <w:color w:val="18241F"/>
                <w:sz w:val="18"/>
              </w:rPr>
              <w:t>Model size, browser support, worker loading, and multilingual strategy are measured and documented</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3</w:t>
            </w:r>
          </w:p>
        </w:tc>
        <w:tc>
          <w:tcPr>
            <w:tcW w:type="dxa" w:w="3024"/>
            <w:vAlign w:val="center"/>
            <w:tcMar>
              <w:top w:w="105" w:type="dxa"/>
              <w:start w:w="130" w:type="dxa"/>
              <w:bottom w:w="105" w:type="dxa"/>
              <w:end w:w="130" w:type="dxa"/>
            </w:tcMar>
          </w:tcPr>
          <w:p>
            <w:pPr>
              <w:spacing w:after="0" w:line="252" w:lineRule="auto"/>
            </w:pPr>
            <w:r>
              <w:rPr>
                <w:rFonts w:ascii="Aptos" w:hAnsi="Aptos"/>
                <w:color w:val="18241F"/>
                <w:sz w:val="18"/>
              </w:rPr>
              <w:t>Live reputation design</w:t>
            </w:r>
          </w:p>
        </w:tc>
        <w:tc>
          <w:tcPr>
            <w:tcW w:type="dxa" w:w="5832"/>
            <w:vAlign w:val="center"/>
            <w:tcMar>
              <w:top w:w="105" w:type="dxa"/>
              <w:start w:w="130" w:type="dxa"/>
              <w:bottom w:w="105" w:type="dxa"/>
              <w:end w:w="130" w:type="dxa"/>
            </w:tcMar>
          </w:tcPr>
          <w:p>
            <w:pPr>
              <w:spacing w:after="0" w:line="252" w:lineRule="auto"/>
            </w:pPr>
            <w:r>
              <w:rPr>
                <w:rFonts w:ascii="Aptos" w:hAnsi="Aptos"/>
                <w:color w:val="18241F"/>
                <w:sz w:val="18"/>
              </w:rPr>
              <w:t>Providers, freshness, provenance, privacy, cost, and failure states are agreed before integration</w:t>
            </w:r>
          </w:p>
        </w:tc>
      </w:tr>
      <w:tr>
        <w:trPr>
          <w:cantSplit w:val="true"/>
        </w:trPr>
        <w:tc>
          <w:tcPr>
            <w:tcW w:type="dxa" w:w="792"/>
            <w:vAlign w:val="center"/>
            <w:tcMar>
              <w:top w:w="105" w:type="dxa"/>
              <w:start w:w="130" w:type="dxa"/>
              <w:bottom w:w="105" w:type="dxa"/>
              <w:end w:w="130" w:type="dxa"/>
            </w:tcMar>
            <w:shd w:fill="F2F5F1"/>
          </w:tcPr>
          <w:p>
            <w:pPr>
              <w:spacing w:after="0" w:line="252" w:lineRule="auto"/>
              <w:jc w:val="center"/>
            </w:pPr>
            <w:r>
              <w:rPr>
                <w:rFonts w:ascii="Aptos" w:hAnsi="Aptos"/>
                <w:color w:val="18241F"/>
                <w:sz w:val="18"/>
              </w:rPr>
              <w:t>4</w:t>
            </w:r>
          </w:p>
        </w:tc>
        <w:tc>
          <w:tcPr>
            <w:tcW w:type="dxa" w:w="3024"/>
            <w:vAlign w:val="center"/>
            <w:tcMar>
              <w:top w:w="105" w:type="dxa"/>
              <w:start w:w="130" w:type="dxa"/>
              <w:bottom w:w="105" w:type="dxa"/>
              <w:end w:w="130" w:type="dxa"/>
            </w:tcMar>
            <w:shd w:fill="F2F5F1"/>
          </w:tcPr>
          <w:p>
            <w:pPr>
              <w:spacing w:after="0" w:line="252" w:lineRule="auto"/>
            </w:pPr>
            <w:r>
              <w:rPr>
                <w:rFonts w:ascii="Aptos" w:hAnsi="Aptos"/>
                <w:color w:val="18241F"/>
                <w:sz w:val="18"/>
              </w:rPr>
              <w:t>Structured incident package</w:t>
            </w:r>
          </w:p>
        </w:tc>
        <w:tc>
          <w:tcPr>
            <w:tcW w:type="dxa" w:w="5832"/>
            <w:vAlign w:val="center"/>
            <w:tcMar>
              <w:top w:w="105" w:type="dxa"/>
              <w:start w:w="130" w:type="dxa"/>
              <w:bottom w:w="105" w:type="dxa"/>
              <w:end w:w="130" w:type="dxa"/>
            </w:tcMar>
            <w:shd w:fill="F2F5F1"/>
          </w:tcPr>
          <w:p>
            <w:pPr>
              <w:spacing w:after="0" w:line="252" w:lineRule="auto"/>
            </w:pPr>
            <w:r>
              <w:rPr>
                <w:rFonts w:ascii="Aptos" w:hAnsi="Aptos"/>
                <w:color w:val="18241F"/>
                <w:sz w:val="18"/>
              </w:rPr>
              <w:t>A polished local PDF bundles the analysis, original evidence references, and reporting guidance</w:t>
            </w:r>
          </w:p>
        </w:tc>
      </w:tr>
      <w:tr>
        <w:trPr>
          <w:cantSplit w:val="true"/>
        </w:trPr>
        <w:tc>
          <w:tcPr>
            <w:tcW w:type="dxa" w:w="792"/>
            <w:vAlign w:val="center"/>
            <w:tcMar>
              <w:top w:w="105" w:type="dxa"/>
              <w:start w:w="130" w:type="dxa"/>
              <w:bottom w:w="105" w:type="dxa"/>
              <w:end w:w="130" w:type="dxa"/>
            </w:tcMar>
          </w:tcPr>
          <w:p>
            <w:pPr>
              <w:spacing w:after="0" w:line="252" w:lineRule="auto"/>
              <w:jc w:val="center"/>
            </w:pPr>
            <w:r>
              <w:rPr>
                <w:rFonts w:ascii="Aptos" w:hAnsi="Aptos"/>
                <w:color w:val="18241F"/>
                <w:sz w:val="18"/>
              </w:rPr>
              <w:t>5</w:t>
            </w:r>
          </w:p>
        </w:tc>
        <w:tc>
          <w:tcPr>
            <w:tcW w:type="dxa" w:w="3024"/>
            <w:vAlign w:val="center"/>
            <w:tcMar>
              <w:top w:w="105" w:type="dxa"/>
              <w:start w:w="130" w:type="dxa"/>
              <w:bottom w:w="105" w:type="dxa"/>
              <w:end w:w="130" w:type="dxa"/>
            </w:tcMar>
          </w:tcPr>
          <w:p>
            <w:pPr>
              <w:spacing w:after="0" w:line="252" w:lineRule="auto"/>
            </w:pPr>
            <w:r>
              <w:rPr>
                <w:rFonts w:ascii="Aptos" w:hAnsi="Aptos"/>
                <w:color w:val="18241F"/>
                <w:sz w:val="18"/>
              </w:rPr>
              <w:t>Backend and reporting design</w:t>
            </w:r>
          </w:p>
        </w:tc>
        <w:tc>
          <w:tcPr>
            <w:tcW w:type="dxa" w:w="5832"/>
            <w:vAlign w:val="center"/>
            <w:tcMar>
              <w:top w:w="105" w:type="dxa"/>
              <w:start w:w="130" w:type="dxa"/>
              <w:bottom w:w="105" w:type="dxa"/>
              <w:end w:w="130" w:type="dxa"/>
            </w:tcMar>
          </w:tcPr>
          <w:p>
            <w:pPr>
              <w:spacing w:after="0" w:line="252" w:lineRule="auto"/>
            </w:pPr>
            <w:r>
              <w:rPr>
                <w:rFonts w:ascii="Aptos" w:hAnsi="Aptos"/>
                <w:color w:val="18241F"/>
                <w:sz w:val="18"/>
              </w:rPr>
              <w:t>API, consent, storage, privacy, abuse controls, destinations, and deployment ownership are documented</w:t>
            </w:r>
          </w:p>
        </w:tc>
      </w:tr>
    </w:tbl>
    <w:p>
      <w:pPr>
        <w:spacing w:after="0"/>
      </w:pPr>
    </w:p>
    <w:p>
      <w:pPr>
        <w:pStyle w:val="Heading1"/>
      </w:pPr>
      <w:r>
        <w:t>Release Decision</w:t>
      </w:r>
    </w:p>
    <w:p>
      <w:r>
        <w:t>SabiSafe can be presented today as an expanded explainable scam detection MVP. The strongest demonstration is a short journey across Message Guard, Payment Guard, and a clear recorded call, followed by the evidence trace, Pidgin explanation, local report export, and opt in history. Call transcription should be described accurately as local English Whisper processing whose first use downloads a model.</w:t>
      </w:r>
    </w:p>
    <w:p>
      <w:r>
        <w:t>The next engineering decision should be whether the immediate goal is a hackathon demonstration or a production pilot. A demonstration should prioritise truthful, polished flows and measured examples. A production pilot requires backend services, privacy controls, live intelligence, institutional reporting, and a validated detection dataset.</w:t>
      </w:r>
    </w:p>
    <w:p>
      <w:pPr>
        <w:pStyle w:val="Heading2"/>
      </w:pPr>
      <w:r>
        <w:t>Definition Of The Next Complete Release</w:t>
      </w:r>
    </w:p>
    <w:p>
      <w:pPr>
        <w:pStyle w:val="ListBullet"/>
        <w:spacing w:after="80"/>
        <w:ind w:left="360" w:hanging="230"/>
      </w:pPr>
      <w:r>
        <w:rPr>
          <w:rFonts w:ascii="Aptos" w:hAnsi="Aptos"/>
          <w:color w:val="18241F"/>
          <w:sz w:val="21"/>
        </w:rPr>
        <w:t>Every visible action performs the operation it claims to perform</w:t>
      </w:r>
    </w:p>
    <w:p>
      <w:pPr>
        <w:pStyle w:val="ListBullet"/>
        <w:spacing w:after="80"/>
        <w:ind w:left="360" w:hanging="230"/>
      </w:pPr>
      <w:r>
        <w:rPr>
          <w:rFonts w:ascii="Aptos" w:hAnsi="Aptos"/>
          <w:color w:val="18241F"/>
          <w:sz w:val="21"/>
        </w:rPr>
        <w:t>Call transcription is tested across target browsers, devices, accents, noise levels, and supported languages</w:t>
      </w:r>
    </w:p>
    <w:p>
      <w:pPr>
        <w:pStyle w:val="ListBullet"/>
        <w:spacing w:after="80"/>
        <w:ind w:left="360" w:hanging="230"/>
      </w:pPr>
      <w:r>
        <w:rPr>
          <w:rFonts w:ascii="Aptos" w:hAnsi="Aptos"/>
          <w:color w:val="18241F"/>
          <w:sz w:val="21"/>
        </w:rPr>
        <w:t>Detection performance is measured against a labelled dataset</w:t>
      </w:r>
    </w:p>
    <w:p>
      <w:pPr>
        <w:pStyle w:val="ListBullet"/>
        <w:spacing w:after="80"/>
        <w:ind w:left="360" w:hanging="230"/>
      </w:pPr>
      <w:r>
        <w:rPr>
          <w:rFonts w:ascii="Aptos" w:hAnsi="Aptos"/>
          <w:color w:val="18241F"/>
          <w:sz w:val="21"/>
        </w:rPr>
        <w:t>Risk and confidence are presented as separate concepts</w:t>
      </w:r>
    </w:p>
    <w:p>
      <w:pPr>
        <w:pStyle w:val="ListBullet"/>
        <w:spacing w:after="80"/>
        <w:ind w:left="360" w:hanging="230"/>
      </w:pPr>
      <w:r>
        <w:rPr>
          <w:rFonts w:ascii="Aptos" w:hAnsi="Aptos"/>
          <w:color w:val="18241F"/>
          <w:sz w:val="21"/>
        </w:rPr>
        <w:t>Sensitive data handling and retention are documented and implemented</w:t>
      </w:r>
    </w:p>
    <w:p>
      <w:pPr>
        <w:pStyle w:val="ListBullet"/>
        <w:spacing w:after="80"/>
        <w:ind w:left="360" w:hanging="230"/>
      </w:pPr>
      <w:r>
        <w:rPr>
          <w:rFonts w:ascii="Aptos" w:hAnsi="Aptos"/>
          <w:color w:val="18241F"/>
          <w:sz w:val="21"/>
        </w:rPr>
        <w:t>Reports are exported locally or sent to a verified destination with explicit consent</w:t>
      </w:r>
    </w:p>
    <w:p>
      <w:pPr>
        <w:pStyle w:val="ListBullet"/>
        <w:spacing w:after="80"/>
        <w:ind w:left="360" w:hanging="230"/>
      </w:pPr>
      <w:r>
        <w:rPr>
          <w:rFonts w:ascii="Aptos" w:hAnsi="Aptos"/>
          <w:color w:val="18241F"/>
          <w:sz w:val="21"/>
        </w:rPr>
        <w:t>Automated checks cover the interface, OCR failure states, link analysis, and policy regression</w:t>
      </w:r>
    </w:p>
    <w:p>
      <w:pPr>
        <w:pStyle w:val="Heading1"/>
      </w:pPr>
      <w:r>
        <w:t>Final Assessment</w:t>
      </w:r>
    </w:p>
    <w:p>
      <w:r>
        <w:t>The project now has a credible product proposition, a polished five guard interface, truthful local first flows, and a well structured TypeScript detection pipeline. Its main remaining weakness is the lack of measured detection accuracy and connected institutional services. Building the evaluation baseline first, then adding secure reputation and reporting integrations, will turn this demonstration into a defensible pilot.</w:t>
      </w:r>
    </w:p>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169"/>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126B4B"/>
        <w:sz w:val="17"/>
      </w:rPr>
      <w:t>SabiSafe   Project Status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8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Display" w:hAnsi="Aptos Display"/>
      <w:b/>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SabiSafe Project Status and Roadmap</dc:title>
  <dc:subject>Product brief, implementation status, gaps, and delivery roadmap</dc:subject>
  <dc:creator>SabiSafe Project Team</dc:creator>
  <cp:keywords>SabiSafe, scam detection, Nigeria, product roadmap, TypeScript</cp:keywords>
  <dc:description>generated by python-docx</dc:description>
  <cp:lastModifiedBy/>
  <cp:revision>1</cp:revision>
  <dcterms:created xsi:type="dcterms:W3CDTF">2013-12-23T23:15:00Z</dcterms:created>
  <dcterms:modified xsi:type="dcterms:W3CDTF">2013-12-23T23:15:00Z</dcterms:modified>
  <cp:category/>
</cp:coreProperties>
</file>