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5D" w:rsidRDefault="00163FBE" w:rsidP="008D1D96">
      <w:pPr>
        <w:ind w:left="0" w:right="29" w:firstLine="0"/>
      </w:pPr>
      <w:r>
        <w:t>1. Black-Scholes option pricing</w:t>
      </w:r>
    </w:p>
    <w:p w:rsidR="009C085D" w:rsidRDefault="00163FBE" w:rsidP="008D1D96">
      <w:pPr>
        <w:ind w:left="-5" w:right="29"/>
      </w:pPr>
      <w:r>
        <w:t xml:space="preserve">Suppose the stock price is 40 and we need to price a call option with a strike of 45 maturing in 4 </w:t>
      </w:r>
      <w:r>
        <w:t>months. The stock is not expected to pay dividends. The continuously-compounded riskfree rate is 3%/year, the mean return on the stock is 7%/year, and the standard deviation of the stock retur</w:t>
      </w:r>
      <w:r w:rsidR="00F01F94">
        <w:t>n is 40%/year.</w:t>
      </w:r>
    </w:p>
    <w:p w:rsidR="009C085D" w:rsidRDefault="00163FBE">
      <w:pPr>
        <w:spacing w:after="141" w:line="395" w:lineRule="auto"/>
        <w:ind w:left="-5" w:right="29"/>
      </w:pPr>
      <w:r>
        <w:rPr>
          <w:i/>
        </w:rPr>
        <w:t xml:space="preserve">S </w:t>
      </w:r>
      <w:r>
        <w:t xml:space="preserve">= 40 (the current stock price as given), and </w:t>
      </w:r>
      <w:r>
        <w:rPr>
          <w:i/>
        </w:rPr>
        <w:t xml:space="preserve">B </w:t>
      </w:r>
      <w:r>
        <w:t>= 45exp(</w:t>
      </w:r>
      <w:r>
        <w:t>−</w:t>
      </w:r>
      <w:r>
        <w:rPr>
          <w:i/>
        </w:rPr>
        <w:t>.</w:t>
      </w:r>
      <w:r>
        <w:t>03(1</w:t>
      </w:r>
      <w:r>
        <w:rPr>
          <w:i/>
        </w:rPr>
        <w:t>/</w:t>
      </w:r>
      <w:r>
        <w:t xml:space="preserve">3)) </w:t>
      </w:r>
      <w:r>
        <w:t xml:space="preserve">≈ </w:t>
      </w:r>
      <w:r>
        <w:t>44</w:t>
      </w:r>
      <w:r>
        <w:rPr>
          <w:i/>
        </w:rPr>
        <w:t>.</w:t>
      </w:r>
      <w:r>
        <w:t>55224. Note that 1</w:t>
      </w:r>
      <w:r>
        <w:rPr>
          <w:i/>
        </w:rPr>
        <w:t>/</w:t>
      </w:r>
      <w:r>
        <w:t>3 is the time to maturity 4</w:t>
      </w:r>
      <w:r>
        <w:rPr>
          <w:i/>
        </w:rPr>
        <w:t>/</w:t>
      </w:r>
      <w:r>
        <w:t>12 months.</w:t>
      </w:r>
    </w:p>
    <w:p w:rsidR="009C085D" w:rsidRDefault="00163FBE">
      <w:pPr>
        <w:numPr>
          <w:ilvl w:val="0"/>
          <w:numId w:val="1"/>
        </w:numPr>
        <w:spacing w:after="90"/>
        <w:ind w:right="29" w:hanging="299"/>
      </w:pPr>
      <w:r>
        <w:t xml:space="preserve">What are </w:t>
      </w:r>
      <w:r>
        <w:rPr>
          <w:i/>
        </w:rPr>
        <w:t>x</w:t>
      </w:r>
      <w:r>
        <w:rPr>
          <w:sz w:val="16"/>
        </w:rPr>
        <w:t xml:space="preserve">1 </w:t>
      </w:r>
      <w:r>
        <w:t xml:space="preserve">and </w:t>
      </w:r>
      <w:r>
        <w:rPr>
          <w:i/>
        </w:rPr>
        <w:t>x</w:t>
      </w:r>
      <w:r>
        <w:rPr>
          <w:sz w:val="16"/>
        </w:rPr>
        <w:t>2</w:t>
      </w:r>
      <w:r>
        <w:t>?</w:t>
      </w:r>
    </w:p>
    <w:p w:rsidR="009C085D" w:rsidRDefault="00163FBE">
      <w:pPr>
        <w:spacing w:after="703" w:line="259" w:lineRule="auto"/>
        <w:ind w:left="543" w:firstLine="0"/>
        <w:jc w:val="left"/>
      </w:pPr>
      <w:r>
        <w:rPr>
          <w:noProof/>
        </w:rPr>
        <w:drawing>
          <wp:inline distT="0" distB="0" distL="0" distR="0">
            <wp:extent cx="1895856" cy="987552"/>
            <wp:effectExtent l="0" t="0" r="0" b="0"/>
            <wp:docPr id="6315" name="Picture 6315"/>
            <wp:cNvGraphicFramePr/>
            <a:graphic xmlns:a="http://schemas.openxmlformats.org/drawingml/2006/main">
              <a:graphicData uri="http://schemas.openxmlformats.org/drawingml/2006/picture">
                <pic:pic xmlns:pic="http://schemas.openxmlformats.org/drawingml/2006/picture">
                  <pic:nvPicPr>
                    <pic:cNvPr id="6315" name="Picture 6315"/>
                    <pic:cNvPicPr/>
                  </pic:nvPicPr>
                  <pic:blipFill>
                    <a:blip r:embed="rId7"/>
                    <a:stretch>
                      <a:fillRect/>
                    </a:stretch>
                  </pic:blipFill>
                  <pic:spPr>
                    <a:xfrm>
                      <a:off x="0" y="0"/>
                      <a:ext cx="1895856" cy="987552"/>
                    </a:xfrm>
                    <a:prstGeom prst="rect">
                      <a:avLst/>
                    </a:prstGeom>
                  </pic:spPr>
                </pic:pic>
              </a:graphicData>
            </a:graphic>
          </wp:inline>
        </w:drawing>
      </w:r>
    </w:p>
    <w:p w:rsidR="009C085D" w:rsidRDefault="00163FBE">
      <w:pPr>
        <w:spacing w:after="366" w:line="259" w:lineRule="auto"/>
        <w:ind w:left="543" w:firstLine="0"/>
        <w:jc w:val="left"/>
      </w:pPr>
      <w:r>
        <w:rPr>
          <w:noProof/>
        </w:rPr>
        <w:drawing>
          <wp:inline distT="0" distB="0" distL="0" distR="0">
            <wp:extent cx="1895856" cy="99060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8"/>
                    <a:stretch>
                      <a:fillRect/>
                    </a:stretch>
                  </pic:blipFill>
                  <pic:spPr>
                    <a:xfrm>
                      <a:off x="0" y="0"/>
                      <a:ext cx="1895856" cy="990600"/>
                    </a:xfrm>
                    <a:prstGeom prst="rect">
                      <a:avLst/>
                    </a:prstGeom>
                  </pic:spPr>
                </pic:pic>
              </a:graphicData>
            </a:graphic>
          </wp:inline>
        </w:drawing>
      </w:r>
    </w:p>
    <w:p w:rsidR="009C085D" w:rsidRDefault="00163FBE">
      <w:pPr>
        <w:numPr>
          <w:ilvl w:val="0"/>
          <w:numId w:val="1"/>
        </w:numPr>
        <w:ind w:right="29" w:hanging="299"/>
      </w:pPr>
      <w:r>
        <w:rPr>
          <w:i/>
        </w:rPr>
        <w:t>N</w:t>
      </w:r>
      <w:r>
        <w:t>(</w:t>
      </w:r>
      <w:r>
        <w:rPr>
          <w:i/>
        </w:rPr>
        <w:t>x</w:t>
      </w:r>
      <w:r>
        <w:rPr>
          <w:sz w:val="16"/>
        </w:rPr>
        <w:t>1</w:t>
      </w:r>
      <w:r>
        <w:t>) = 0</w:t>
      </w:r>
      <w:r>
        <w:rPr>
          <w:i/>
        </w:rPr>
        <w:t>.</w:t>
      </w:r>
      <w:r>
        <w:t xml:space="preserve">3627026 and </w:t>
      </w:r>
      <w:r>
        <w:rPr>
          <w:i/>
        </w:rPr>
        <w:t>N</w:t>
      </w:r>
      <w:r>
        <w:t>(</w:t>
      </w:r>
      <w:r>
        <w:rPr>
          <w:i/>
        </w:rPr>
        <w:t>x</w:t>
      </w:r>
      <w:r>
        <w:rPr>
          <w:sz w:val="16"/>
        </w:rPr>
        <w:t>2</w:t>
      </w:r>
      <w:r>
        <w:t>) = 0</w:t>
      </w:r>
      <w:r>
        <w:rPr>
          <w:i/>
        </w:rPr>
        <w:t>.</w:t>
      </w:r>
      <w:r>
        <w:t>2802213 (confirm for yourself if</w:t>
      </w:r>
      <w:r>
        <w:t xml:space="preserve"> you like). What is the Black-Scholes call price?</w:t>
      </w:r>
    </w:p>
    <w:p w:rsidR="009C085D" w:rsidRDefault="00163FBE">
      <w:pPr>
        <w:tabs>
          <w:tab w:val="center" w:pos="669"/>
          <w:tab w:val="center" w:pos="1062"/>
          <w:tab w:val="center" w:pos="2297"/>
        </w:tabs>
        <w:spacing w:after="212" w:line="259" w:lineRule="auto"/>
        <w:ind w:left="0" w:firstLine="0"/>
        <w:jc w:val="left"/>
      </w:pPr>
      <w:r>
        <w:rPr>
          <w:rFonts w:ascii="Calibri" w:eastAsia="Calibri" w:hAnsi="Calibri" w:cs="Calibri"/>
          <w:sz w:val="22"/>
        </w:rPr>
        <w:tab/>
      </w:r>
      <w:r>
        <w:rPr>
          <w:i/>
        </w:rPr>
        <w:t>C</w:t>
      </w:r>
      <w:r>
        <w:rPr>
          <w:i/>
        </w:rPr>
        <w:tab/>
      </w:r>
      <w:r>
        <w:t>=</w:t>
      </w:r>
      <w:r>
        <w:tab/>
      </w:r>
      <w:r>
        <w:rPr>
          <w:i/>
        </w:rPr>
        <w:t>SN</w:t>
      </w:r>
      <w:r>
        <w:t>(</w:t>
      </w:r>
      <w:r>
        <w:rPr>
          <w:i/>
        </w:rPr>
        <w:t>x</w:t>
      </w:r>
      <w:r>
        <w:rPr>
          <w:sz w:val="16"/>
        </w:rPr>
        <w:t>1</w:t>
      </w:r>
      <w:r>
        <w:t xml:space="preserve">) </w:t>
      </w:r>
      <w:r>
        <w:t>−</w:t>
      </w:r>
      <w:r>
        <w:t xml:space="preserve"> </w:t>
      </w:r>
      <w:r>
        <w:rPr>
          <w:i/>
        </w:rPr>
        <w:t>BN</w:t>
      </w:r>
      <w:r>
        <w:t>(</w:t>
      </w:r>
      <w:r>
        <w:rPr>
          <w:i/>
        </w:rPr>
        <w:t>x</w:t>
      </w:r>
      <w:r>
        <w:rPr>
          <w:sz w:val="16"/>
        </w:rPr>
        <w:t>2</w:t>
      </w:r>
      <w:r>
        <w:t>)</w:t>
      </w:r>
    </w:p>
    <w:p w:rsidR="009C085D" w:rsidRDefault="00163FBE">
      <w:pPr>
        <w:tabs>
          <w:tab w:val="center" w:pos="1062"/>
          <w:tab w:val="center" w:pos="3352"/>
        </w:tabs>
        <w:spacing w:after="202"/>
        <w:ind w:left="0" w:firstLine="0"/>
        <w:jc w:val="left"/>
      </w:pPr>
      <w:r>
        <w:rPr>
          <w:rFonts w:ascii="Calibri" w:eastAsia="Calibri" w:hAnsi="Calibri" w:cs="Calibri"/>
          <w:sz w:val="22"/>
        </w:rPr>
        <w:tab/>
      </w:r>
      <w:r>
        <w:t>≈</w:t>
      </w:r>
      <w:r>
        <w:tab/>
      </w:r>
      <w:r>
        <w:t xml:space="preserve">40 </w:t>
      </w:r>
      <w:r>
        <w:t xml:space="preserve">× </w:t>
      </w:r>
      <w:r>
        <w:t>0</w:t>
      </w:r>
      <w:r>
        <w:rPr>
          <w:i/>
        </w:rPr>
        <w:t>.</w:t>
      </w:r>
      <w:r>
        <w:t xml:space="preserve">3627026 </w:t>
      </w:r>
      <w:r>
        <w:t>−</w:t>
      </w:r>
      <w:r>
        <w:t xml:space="preserve"> </w:t>
      </w:r>
      <w:r>
        <w:t>44</w:t>
      </w:r>
      <w:r>
        <w:rPr>
          <w:i/>
        </w:rPr>
        <w:t>.</w:t>
      </w:r>
      <w:r>
        <w:t xml:space="preserve">55224 </w:t>
      </w:r>
      <w:r>
        <w:t xml:space="preserve">× </w:t>
      </w:r>
      <w:r>
        <w:t>0</w:t>
      </w:r>
      <w:r>
        <w:rPr>
          <w:i/>
        </w:rPr>
        <w:t>.</w:t>
      </w:r>
      <w:r>
        <w:t>2802213</w:t>
      </w:r>
    </w:p>
    <w:p w:rsidR="009C085D" w:rsidRDefault="00163FBE">
      <w:pPr>
        <w:tabs>
          <w:tab w:val="center" w:pos="1062"/>
          <w:tab w:val="center" w:pos="1796"/>
        </w:tabs>
        <w:spacing w:after="901"/>
        <w:ind w:left="0" w:firstLine="0"/>
        <w:jc w:val="left"/>
      </w:pPr>
      <w:r>
        <w:rPr>
          <w:rFonts w:ascii="Calibri" w:eastAsia="Calibri" w:hAnsi="Calibri" w:cs="Calibri"/>
          <w:sz w:val="22"/>
        </w:rPr>
        <w:tab/>
      </w:r>
      <w:r>
        <w:t>≈</w:t>
      </w:r>
      <w:r>
        <w:tab/>
      </w:r>
      <w:r>
        <w:t>2</w:t>
      </w:r>
      <w:r>
        <w:rPr>
          <w:i/>
        </w:rPr>
        <w:t>.</w:t>
      </w:r>
      <w:r>
        <w:t>023617</w:t>
      </w:r>
    </w:p>
    <w:p w:rsidR="009C085D" w:rsidRDefault="00163FBE">
      <w:pPr>
        <w:numPr>
          <w:ilvl w:val="0"/>
          <w:numId w:val="1"/>
        </w:numPr>
        <w:ind w:right="29" w:hanging="299"/>
      </w:pPr>
      <w:r>
        <w:lastRenderedPageBreak/>
        <w:t>What is the Blac</w:t>
      </w:r>
      <w:r w:rsidR="00F01F94">
        <w:t>k-Scholes price for the Yara Inc</w:t>
      </w:r>
      <w:r>
        <w:t xml:space="preserve"> put with the same strike and maturity?</w:t>
      </w:r>
    </w:p>
    <w:p w:rsidR="009C085D" w:rsidRDefault="00163FBE">
      <w:pPr>
        <w:spacing w:after="442"/>
        <w:ind w:left="-5" w:right="29"/>
      </w:pPr>
      <w:r>
        <w:t xml:space="preserve">By put-call parity, </w:t>
      </w:r>
      <w:r>
        <w:rPr>
          <w:i/>
        </w:rPr>
        <w:t xml:space="preserve">S </w:t>
      </w:r>
      <w:r>
        <w:t xml:space="preserve">+ </w:t>
      </w:r>
      <w:r>
        <w:rPr>
          <w:i/>
        </w:rPr>
        <w:t xml:space="preserve">P </w:t>
      </w:r>
      <w:r>
        <w:t xml:space="preserve">= </w:t>
      </w:r>
      <w:r>
        <w:rPr>
          <w:i/>
        </w:rPr>
        <w:t xml:space="preserve">B </w:t>
      </w:r>
      <w:r>
        <w:t xml:space="preserve">+ </w:t>
      </w:r>
      <w:r>
        <w:rPr>
          <w:i/>
        </w:rPr>
        <w:t>C</w:t>
      </w:r>
      <w:r>
        <w:t xml:space="preserve">, </w:t>
      </w:r>
      <w:r>
        <w:t>and therefore the price is</w:t>
      </w:r>
    </w:p>
    <w:p w:rsidR="009C085D" w:rsidRDefault="00163FBE">
      <w:pPr>
        <w:tabs>
          <w:tab w:val="center" w:pos="661"/>
          <w:tab w:val="center" w:pos="1061"/>
          <w:tab w:val="center" w:pos="1902"/>
        </w:tabs>
        <w:spacing w:after="212" w:line="259" w:lineRule="auto"/>
        <w:ind w:left="0" w:firstLine="0"/>
        <w:jc w:val="left"/>
      </w:pPr>
      <w:r>
        <w:rPr>
          <w:rFonts w:ascii="Calibri" w:eastAsia="Calibri" w:hAnsi="Calibri" w:cs="Calibri"/>
          <w:sz w:val="22"/>
        </w:rPr>
        <w:tab/>
      </w:r>
      <w:r>
        <w:rPr>
          <w:i/>
        </w:rPr>
        <w:t>P</w:t>
      </w:r>
      <w:r>
        <w:rPr>
          <w:i/>
        </w:rPr>
        <w:tab/>
      </w:r>
      <w:r>
        <w:t>=</w:t>
      </w:r>
      <w:r>
        <w:tab/>
      </w:r>
      <w:r>
        <w:rPr>
          <w:i/>
        </w:rPr>
        <w:t xml:space="preserve">B </w:t>
      </w:r>
      <w:r>
        <w:t xml:space="preserve">+ </w:t>
      </w:r>
      <w:r>
        <w:rPr>
          <w:i/>
        </w:rPr>
        <w:t xml:space="preserve">C </w:t>
      </w:r>
      <w:r>
        <w:t>−</w:t>
      </w:r>
      <w:r>
        <w:t xml:space="preserve"> </w:t>
      </w:r>
      <w:r>
        <w:rPr>
          <w:i/>
        </w:rPr>
        <w:t>S</w:t>
      </w:r>
    </w:p>
    <w:p w:rsidR="009C085D" w:rsidRDefault="00163FBE">
      <w:pPr>
        <w:tabs>
          <w:tab w:val="center" w:pos="1061"/>
          <w:tab w:val="center" w:pos="2644"/>
        </w:tabs>
        <w:spacing w:after="211"/>
        <w:ind w:left="0" w:firstLine="0"/>
        <w:jc w:val="left"/>
      </w:pPr>
      <w:r>
        <w:rPr>
          <w:rFonts w:ascii="Calibri" w:eastAsia="Calibri" w:hAnsi="Calibri" w:cs="Calibri"/>
          <w:sz w:val="22"/>
        </w:rPr>
        <w:tab/>
      </w:r>
      <w:r>
        <w:t>≈</w:t>
      </w:r>
      <w:r>
        <w:tab/>
      </w:r>
      <w:r>
        <w:t>44</w:t>
      </w:r>
      <w:r>
        <w:rPr>
          <w:i/>
        </w:rPr>
        <w:t>.</w:t>
      </w:r>
      <w:r>
        <w:t>55224 + 2</w:t>
      </w:r>
      <w:r>
        <w:rPr>
          <w:i/>
        </w:rPr>
        <w:t>.</w:t>
      </w:r>
      <w:r>
        <w:t xml:space="preserve">023617 </w:t>
      </w:r>
      <w:r>
        <w:t>−</w:t>
      </w:r>
      <w:r>
        <w:t xml:space="preserve"> </w:t>
      </w:r>
      <w:r>
        <w:t>40</w:t>
      </w:r>
    </w:p>
    <w:p w:rsidR="009C085D" w:rsidRDefault="00163FBE">
      <w:pPr>
        <w:tabs>
          <w:tab w:val="center" w:pos="1061"/>
          <w:tab w:val="center" w:pos="1736"/>
        </w:tabs>
        <w:spacing w:after="852"/>
        <w:ind w:left="0" w:firstLine="0"/>
        <w:jc w:val="left"/>
      </w:pPr>
      <w:r>
        <w:rPr>
          <w:rFonts w:ascii="Calibri" w:eastAsia="Calibri" w:hAnsi="Calibri" w:cs="Calibri"/>
          <w:sz w:val="22"/>
        </w:rPr>
        <w:tab/>
      </w:r>
      <w:r>
        <w:t>≈</w:t>
      </w:r>
      <w:r>
        <w:tab/>
      </w:r>
      <w:r>
        <w:t>6</w:t>
      </w:r>
      <w:r>
        <w:rPr>
          <w:i/>
        </w:rPr>
        <w:t>.</w:t>
      </w:r>
      <w:r>
        <w:t>57586</w:t>
      </w:r>
    </w:p>
    <w:p w:rsidR="009C085D" w:rsidRDefault="00163FBE">
      <w:pPr>
        <w:numPr>
          <w:ilvl w:val="0"/>
          <w:numId w:val="1"/>
        </w:numPr>
        <w:spacing w:after="140" w:line="381" w:lineRule="auto"/>
        <w:ind w:right="29" w:hanging="299"/>
      </w:pPr>
      <w:r>
        <w:t xml:space="preserve">Conceptual question: Since the put option is worth more alive than if exercised now (45 </w:t>
      </w:r>
      <w:r>
        <w:t>−</w:t>
      </w:r>
      <w:r>
        <w:t>is worth40 = 5the</w:t>
      </w:r>
      <w:r>
        <w:rPr>
          <w:i/>
        </w:rPr>
        <w:t xml:space="preserve">&lt; </w:t>
      </w:r>
      <w:r>
        <w:t>6same</w:t>
      </w:r>
      <w:r>
        <w:rPr>
          <w:i/>
        </w:rPr>
        <w:t>.</w:t>
      </w:r>
      <w:r w:rsidR="00F01F94">
        <w:t xml:space="preserve">57586)Yara Inc </w:t>
      </w:r>
      <w:r>
        <w:t>we conclude</w:t>
      </w:r>
      <w:r w:rsidR="00F01F94">
        <w:t xml:space="preserve"> </w:t>
      </w:r>
      <w:r>
        <w:t>put?</w:t>
      </w:r>
      <w:r w:rsidR="00F01F94">
        <w:t xml:space="preserve"> </w:t>
      </w:r>
      <w:r>
        <w:t>that an American versio</w:t>
      </w:r>
      <w:r>
        <w:t>n of the put</w:t>
      </w:r>
    </w:p>
    <w:p w:rsidR="009C085D" w:rsidRDefault="00163FBE">
      <w:pPr>
        <w:ind w:left="-5" w:right="29"/>
      </w:pPr>
      <w:r>
        <w:t>No. The value today is enhanced by our option to exercise an American option between now and maturity.</w:t>
      </w:r>
    </w:p>
    <w:p w:rsidR="009C085D" w:rsidRDefault="00163FBE">
      <w:pPr>
        <w:ind w:left="-5" w:right="29"/>
      </w:pPr>
      <w:r>
        <w:t>2. Approximation</w:t>
      </w:r>
    </w:p>
    <w:p w:rsidR="009C085D" w:rsidRDefault="00163FBE">
      <w:pPr>
        <w:spacing w:after="101"/>
        <w:ind w:left="-5" w:right="29"/>
      </w:pPr>
      <w:r>
        <w:t>As noted in class, for near-the-money call options, a good approximation to the option price is</w:t>
      </w:r>
    </w:p>
    <w:p w:rsidR="009C085D" w:rsidRDefault="00163FBE">
      <w:pPr>
        <w:spacing w:after="430" w:line="259" w:lineRule="auto"/>
        <w:ind w:left="583" w:firstLine="0"/>
        <w:jc w:val="left"/>
      </w:pPr>
      <w:r>
        <w:rPr>
          <w:noProof/>
        </w:rPr>
        <w:drawing>
          <wp:inline distT="0" distB="0" distL="0" distR="0">
            <wp:extent cx="1484376" cy="32004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9"/>
                    <a:stretch>
                      <a:fillRect/>
                    </a:stretch>
                  </pic:blipFill>
                  <pic:spPr>
                    <a:xfrm>
                      <a:off x="0" y="0"/>
                      <a:ext cx="1484376" cy="320040"/>
                    </a:xfrm>
                    <a:prstGeom prst="rect">
                      <a:avLst/>
                    </a:prstGeom>
                  </pic:spPr>
                </pic:pic>
              </a:graphicData>
            </a:graphic>
          </wp:inline>
        </w:drawing>
      </w:r>
    </w:p>
    <w:p w:rsidR="009C085D" w:rsidRDefault="00163FBE">
      <w:pPr>
        <w:ind w:left="-5" w:right="29"/>
      </w:pPr>
      <w:r>
        <w:t xml:space="preserve">where </w:t>
      </w:r>
      <w:r>
        <w:rPr>
          <w:i/>
        </w:rPr>
        <w:t xml:space="preserve">S </w:t>
      </w:r>
      <w:r>
        <w:t xml:space="preserve">is the stock price, </w:t>
      </w:r>
      <w:r>
        <w:rPr>
          <w:i/>
        </w:rPr>
        <w:t xml:space="preserve">B </w:t>
      </w:r>
      <w:r>
        <w:t xml:space="preserve">the present value of receiving the strike at maturity, </w:t>
      </w:r>
      <w:r>
        <w:rPr>
          <w:i/>
        </w:rPr>
        <w:t xml:space="preserve">σ </w:t>
      </w:r>
      <w:r>
        <w:t xml:space="preserve">is the local standard deviation, and </w:t>
      </w:r>
      <w:r>
        <w:rPr>
          <w:i/>
        </w:rPr>
        <w:t xml:space="preserve">T </w:t>
      </w:r>
      <w:r>
        <w:t>is the time to maturity.</w:t>
      </w:r>
    </w:p>
    <w:p w:rsidR="009C085D" w:rsidRDefault="00163FBE">
      <w:pPr>
        <w:ind w:left="-5" w:right="29"/>
      </w:pPr>
      <w:r>
        <w:t>Consider an at-the-money call option that is one week to maturity on a stock with a local standard deviation of 3</w:t>
      </w:r>
      <w:r>
        <w:t>5%/year. If the stock is selling for $50 and the continuously-compounded riskfree rate is 1%/year, then the BlackScholes call option price is $0.9727852.</w:t>
      </w:r>
    </w:p>
    <w:p w:rsidR="009C085D" w:rsidRDefault="00163FBE">
      <w:pPr>
        <w:ind w:left="-5" w:right="29"/>
      </w:pPr>
      <w:r>
        <w:lastRenderedPageBreak/>
        <w:t>a. What is the call price from the approximate formula?</w:t>
      </w:r>
    </w:p>
    <w:p w:rsidR="009C085D" w:rsidRDefault="00163FBE">
      <w:pPr>
        <w:spacing w:after="607"/>
        <w:ind w:left="-5" w:right="29"/>
      </w:pPr>
      <w:r>
        <w:rPr>
          <w:i/>
        </w:rPr>
        <w:t xml:space="preserve">T </w:t>
      </w:r>
      <w:r>
        <w:t>= 1</w:t>
      </w:r>
      <w:r>
        <w:rPr>
          <w:i/>
        </w:rPr>
        <w:t>/</w:t>
      </w:r>
      <w:r>
        <w:t xml:space="preserve">52, </w:t>
      </w:r>
      <w:r>
        <w:rPr>
          <w:i/>
        </w:rPr>
        <w:t xml:space="preserve">S </w:t>
      </w:r>
      <w:r>
        <w:t xml:space="preserve">= 50, </w:t>
      </w:r>
      <w:r>
        <w:rPr>
          <w:i/>
        </w:rPr>
        <w:t xml:space="preserve">B </w:t>
      </w:r>
      <w:r>
        <w:t>= 50exp(</w:t>
      </w:r>
      <w:r>
        <w:t>−</w:t>
      </w:r>
      <w:r>
        <w:rPr>
          <w:i/>
        </w:rPr>
        <w:t>.</w:t>
      </w:r>
      <w:r>
        <w:t xml:space="preserve">01 </w:t>
      </w:r>
      <w:r>
        <w:t xml:space="preserve">× </w:t>
      </w:r>
      <w:r>
        <w:t>1</w:t>
      </w:r>
      <w:r>
        <w:rPr>
          <w:i/>
        </w:rPr>
        <w:t>/</w:t>
      </w:r>
      <w:r>
        <w:t xml:space="preserve">52) </w:t>
      </w:r>
      <w:r>
        <w:t xml:space="preserve">≈ </w:t>
      </w:r>
      <w:r>
        <w:t>49</w:t>
      </w:r>
      <w:r>
        <w:rPr>
          <w:i/>
        </w:rPr>
        <w:t>.</w:t>
      </w:r>
      <w:r>
        <w:t xml:space="preserve">9903855, </w:t>
      </w:r>
      <w:r>
        <w:rPr>
          <w:i/>
        </w:rPr>
        <w:t xml:space="preserve">σ </w:t>
      </w:r>
      <w:r>
        <w:t xml:space="preserve">= </w:t>
      </w:r>
      <w:r>
        <w:rPr>
          <w:i/>
        </w:rPr>
        <w:t>.</w:t>
      </w:r>
      <w:r>
        <w:t>35</w:t>
      </w:r>
    </w:p>
    <w:p w:rsidR="009C085D" w:rsidRDefault="00163FBE">
      <w:pPr>
        <w:spacing w:after="816" w:line="259" w:lineRule="auto"/>
        <w:ind w:left="543" w:firstLine="0"/>
        <w:jc w:val="left"/>
      </w:pPr>
      <w:r>
        <w:rPr>
          <w:noProof/>
        </w:rPr>
        <w:drawing>
          <wp:inline distT="0" distB="0" distL="0" distR="0">
            <wp:extent cx="3425952" cy="905256"/>
            <wp:effectExtent l="0" t="0" r="0" b="0"/>
            <wp:docPr id="6318" name="Picture 6318"/>
            <wp:cNvGraphicFramePr/>
            <a:graphic xmlns:a="http://schemas.openxmlformats.org/drawingml/2006/main">
              <a:graphicData uri="http://schemas.openxmlformats.org/drawingml/2006/picture">
                <pic:pic xmlns:pic="http://schemas.openxmlformats.org/drawingml/2006/picture">
                  <pic:nvPicPr>
                    <pic:cNvPr id="6318" name="Picture 6318"/>
                    <pic:cNvPicPr/>
                  </pic:nvPicPr>
                  <pic:blipFill>
                    <a:blip r:embed="rId10"/>
                    <a:stretch>
                      <a:fillRect/>
                    </a:stretch>
                  </pic:blipFill>
                  <pic:spPr>
                    <a:xfrm>
                      <a:off x="0" y="0"/>
                      <a:ext cx="3425952" cy="905256"/>
                    </a:xfrm>
                    <a:prstGeom prst="rect">
                      <a:avLst/>
                    </a:prstGeom>
                  </pic:spPr>
                </pic:pic>
              </a:graphicData>
            </a:graphic>
          </wp:inline>
        </w:drawing>
      </w:r>
    </w:p>
    <w:p w:rsidR="009C085D" w:rsidRDefault="00163FBE">
      <w:pPr>
        <w:numPr>
          <w:ilvl w:val="0"/>
          <w:numId w:val="2"/>
        </w:numPr>
        <w:spacing w:after="485"/>
        <w:ind w:right="29" w:hanging="299"/>
      </w:pPr>
      <w:r>
        <w:t>What is the error from using the approximate price?</w:t>
      </w:r>
    </w:p>
    <w:p w:rsidR="009C085D" w:rsidRDefault="00163FBE">
      <w:pPr>
        <w:spacing w:after="626"/>
        <w:ind w:left="595" w:right="29"/>
      </w:pPr>
      <w:r>
        <w:rPr>
          <w:i/>
        </w:rPr>
        <w:t>.</w:t>
      </w:r>
      <w:r>
        <w:t xml:space="preserve">9754392 </w:t>
      </w:r>
      <w:r>
        <w:t>−</w:t>
      </w:r>
      <w:r>
        <w:t xml:space="preserve"> </w:t>
      </w:r>
      <w:r>
        <w:rPr>
          <w:i/>
        </w:rPr>
        <w:t>.</w:t>
      </w:r>
      <w:r>
        <w:t xml:space="preserve">9727852 </w:t>
      </w:r>
      <w:r>
        <w:t xml:space="preserve">≈ </w:t>
      </w:r>
      <w:r>
        <w:t>$0</w:t>
      </w:r>
      <w:r>
        <w:rPr>
          <w:i/>
        </w:rPr>
        <w:t>.</w:t>
      </w:r>
      <w:r>
        <w:t>00265</w:t>
      </w:r>
    </w:p>
    <w:p w:rsidR="009C085D" w:rsidRDefault="00163FBE">
      <w:pPr>
        <w:ind w:left="-5" w:right="29"/>
      </w:pPr>
      <w:r>
        <w:t>(about a quarter of a cent)</w:t>
      </w:r>
    </w:p>
    <w:p w:rsidR="009C085D" w:rsidRDefault="00163FBE">
      <w:pPr>
        <w:numPr>
          <w:ilvl w:val="0"/>
          <w:numId w:val="2"/>
        </w:numPr>
        <w:ind w:right="29" w:hanging="299"/>
      </w:pPr>
      <w:r>
        <w:t>What is the corresponding European put price using the approximation? (Use put-call parity. The Black-Scholes put price is $0.</w:t>
      </w:r>
      <w:r>
        <w:t>963.)</w:t>
      </w:r>
    </w:p>
    <w:p w:rsidR="009C085D" w:rsidRDefault="00163FBE">
      <w:pPr>
        <w:spacing w:line="402" w:lineRule="auto"/>
        <w:ind w:left="-5" w:right="29"/>
      </w:pPr>
      <w:r>
        <w:t xml:space="preserve">By put-call parity, </w:t>
      </w:r>
      <w:r>
        <w:rPr>
          <w:i/>
        </w:rPr>
        <w:t xml:space="preserve">P </w:t>
      </w:r>
      <w:r>
        <w:t xml:space="preserve">= </w:t>
      </w:r>
      <w:r>
        <w:rPr>
          <w:i/>
        </w:rPr>
        <w:t>B</w:t>
      </w:r>
      <w:r>
        <w:t>+</w:t>
      </w:r>
      <w:r>
        <w:rPr>
          <w:i/>
        </w:rPr>
        <w:t>C</w:t>
      </w:r>
      <w:r>
        <w:t>−</w:t>
      </w:r>
      <w:r>
        <w:rPr>
          <w:i/>
        </w:rPr>
        <w:t>S</w:t>
      </w:r>
      <w:r>
        <w:t>, so the put price is 49</w:t>
      </w:r>
      <w:r>
        <w:rPr>
          <w:i/>
        </w:rPr>
        <w:t>.</w:t>
      </w:r>
      <w:r>
        <w:t>9903855+0</w:t>
      </w:r>
      <w:r>
        <w:rPr>
          <w:i/>
        </w:rPr>
        <w:t>.</w:t>
      </w:r>
      <w:r>
        <w:t>9754392</w:t>
      </w:r>
      <w:r>
        <w:t>−</w:t>
      </w:r>
      <w:r>
        <w:t xml:space="preserve"> </w:t>
      </w:r>
      <w:r>
        <w:t xml:space="preserve">50 </w:t>
      </w:r>
      <w:r>
        <w:t xml:space="preserve">≈ </w:t>
      </w:r>
      <w:r>
        <w:t>$0</w:t>
      </w:r>
      <w:r>
        <w:rPr>
          <w:i/>
        </w:rPr>
        <w:t>.</w:t>
      </w:r>
      <w:r>
        <w:t>9658247</w:t>
      </w:r>
    </w:p>
    <w:p w:rsidR="009C085D" w:rsidRDefault="00163FBE">
      <w:pPr>
        <w:spacing w:after="339" w:line="259" w:lineRule="auto"/>
        <w:ind w:left="0" w:firstLine="0"/>
        <w:jc w:val="left"/>
      </w:pPr>
      <w:r>
        <w:rPr>
          <w:b/>
        </w:rPr>
        <w:t>Useful Formula</w:t>
      </w:r>
    </w:p>
    <w:p w:rsidR="009C085D" w:rsidRDefault="00163FBE">
      <w:pPr>
        <w:spacing w:after="447"/>
        <w:ind w:left="-5" w:right="29"/>
      </w:pPr>
      <w:r>
        <w:t>The Black-Scholes call price is</w:t>
      </w:r>
    </w:p>
    <w:p w:rsidR="009C085D" w:rsidRDefault="00163FBE">
      <w:pPr>
        <w:spacing w:after="212" w:line="259" w:lineRule="auto"/>
        <w:ind w:left="580"/>
        <w:jc w:val="left"/>
      </w:pPr>
      <w:r>
        <w:rPr>
          <w:i/>
        </w:rPr>
        <w:t>C</w:t>
      </w:r>
      <w:r>
        <w:t>(</w:t>
      </w:r>
      <w:r>
        <w:rPr>
          <w:i/>
        </w:rPr>
        <w:t>S,T</w:t>
      </w:r>
      <w:r>
        <w:t xml:space="preserve">) = </w:t>
      </w:r>
      <w:r>
        <w:rPr>
          <w:i/>
        </w:rPr>
        <w:t>SN</w:t>
      </w:r>
      <w:r>
        <w:t>(</w:t>
      </w:r>
      <w:r>
        <w:rPr>
          <w:i/>
        </w:rPr>
        <w:t>x</w:t>
      </w:r>
      <w:r>
        <w:rPr>
          <w:sz w:val="16"/>
        </w:rPr>
        <w:t>1</w:t>
      </w:r>
      <w:r>
        <w:t xml:space="preserve">) </w:t>
      </w:r>
      <w:r>
        <w:t>−</w:t>
      </w:r>
      <w:r>
        <w:t xml:space="preserve"> </w:t>
      </w:r>
      <w:r>
        <w:rPr>
          <w:i/>
        </w:rPr>
        <w:t>BN</w:t>
      </w:r>
      <w:r>
        <w:t>(</w:t>
      </w:r>
      <w:r>
        <w:rPr>
          <w:i/>
        </w:rPr>
        <w:t>x</w:t>
      </w:r>
      <w:r>
        <w:rPr>
          <w:sz w:val="16"/>
        </w:rPr>
        <w:t>2</w:t>
      </w:r>
      <w:r>
        <w:t>)</w:t>
      </w:r>
      <w:r>
        <w:rPr>
          <w:i/>
        </w:rPr>
        <w:t>,</w:t>
      </w:r>
    </w:p>
    <w:p w:rsidR="009C085D" w:rsidRDefault="00163FBE">
      <w:pPr>
        <w:spacing w:after="5" w:line="342" w:lineRule="auto"/>
        <w:ind w:left="-5" w:right="29"/>
      </w:pPr>
      <w:r>
        <w:lastRenderedPageBreak/>
        <w:t xml:space="preserve">where </w:t>
      </w:r>
      <w:r>
        <w:rPr>
          <w:i/>
        </w:rPr>
        <w:t xml:space="preserve">S </w:t>
      </w:r>
      <w:r>
        <w:t xml:space="preserve">is the stock price, </w:t>
      </w:r>
      <w:r>
        <w:rPr>
          <w:i/>
        </w:rPr>
        <w:t>N</w:t>
      </w:r>
      <w:r>
        <w:t>(</w:t>
      </w:r>
      <w:r>
        <w:t>·</w:t>
      </w:r>
      <w:r>
        <w:t xml:space="preserve">) is the cumulative normal distribution function, </w:t>
      </w:r>
      <w:r>
        <w:rPr>
          <w:i/>
        </w:rPr>
        <w:t xml:space="preserve">T </w:t>
      </w:r>
      <w:r>
        <w:t xml:space="preserve">is time-to-maturity, </w:t>
      </w:r>
      <w:r>
        <w:rPr>
          <w:i/>
        </w:rPr>
        <w:t xml:space="preserve">B </w:t>
      </w:r>
      <w:r>
        <w:t xml:space="preserve">is the bond price </w:t>
      </w:r>
      <w:r>
        <w:rPr>
          <w:i/>
        </w:rPr>
        <w:t>Xe</w:t>
      </w:r>
      <w:r>
        <w:rPr>
          <w:sz w:val="16"/>
        </w:rPr>
        <w:t>−</w:t>
      </w:r>
      <w:r>
        <w:rPr>
          <w:i/>
          <w:sz w:val="16"/>
        </w:rPr>
        <w:t>r</w:t>
      </w:r>
      <w:r>
        <w:rPr>
          <w:i/>
          <w:sz w:val="12"/>
        </w:rPr>
        <w:t>f</w:t>
      </w:r>
      <w:r>
        <w:rPr>
          <w:i/>
          <w:sz w:val="16"/>
        </w:rPr>
        <w:t>T</w:t>
      </w:r>
      <w:r>
        <w:t xml:space="preserve">, </w:t>
      </w:r>
      <w:r>
        <w:rPr>
          <w:i/>
        </w:rPr>
        <w:t>r</w:t>
      </w:r>
      <w:r>
        <w:rPr>
          <w:i/>
          <w:sz w:val="16"/>
        </w:rPr>
        <w:t xml:space="preserve">f </w:t>
      </w:r>
      <w:r>
        <w:t>is the continuously</w:t>
      </w:r>
      <w:r w:rsidR="00F01F94">
        <w:t xml:space="preserve"> </w:t>
      </w:r>
      <w:r>
        <w:t xml:space="preserve">compounded riskfree rate, </w:t>
      </w:r>
      <w:r>
        <w:rPr>
          <w:i/>
        </w:rPr>
        <w:t xml:space="preserve">σ </w:t>
      </w:r>
      <w:r>
        <w:t>is the standard deviation of stock returns,</w:t>
      </w:r>
    </w:p>
    <w:p w:rsidR="009C085D" w:rsidRDefault="00163FBE">
      <w:pPr>
        <w:spacing w:after="482" w:line="259" w:lineRule="auto"/>
        <w:ind w:left="543" w:firstLine="0"/>
        <w:jc w:val="left"/>
      </w:pPr>
      <w:r>
        <w:rPr>
          <w:noProof/>
        </w:rPr>
        <w:drawing>
          <wp:inline distT="0" distB="0" distL="0" distR="0">
            <wp:extent cx="1612392" cy="359664"/>
            <wp:effectExtent l="0" t="0" r="0" b="0"/>
            <wp:docPr id="6319" name="Picture 6319"/>
            <wp:cNvGraphicFramePr/>
            <a:graphic xmlns:a="http://schemas.openxmlformats.org/drawingml/2006/main">
              <a:graphicData uri="http://schemas.openxmlformats.org/drawingml/2006/picture">
                <pic:pic xmlns:pic="http://schemas.openxmlformats.org/drawingml/2006/picture">
                  <pic:nvPicPr>
                    <pic:cNvPr id="6319" name="Picture 6319"/>
                    <pic:cNvPicPr/>
                  </pic:nvPicPr>
                  <pic:blipFill>
                    <a:blip r:embed="rId11"/>
                    <a:stretch>
                      <a:fillRect/>
                    </a:stretch>
                  </pic:blipFill>
                  <pic:spPr>
                    <a:xfrm>
                      <a:off x="0" y="0"/>
                      <a:ext cx="1612392" cy="359664"/>
                    </a:xfrm>
                    <a:prstGeom prst="rect">
                      <a:avLst/>
                    </a:prstGeom>
                  </pic:spPr>
                </pic:pic>
              </a:graphicData>
            </a:graphic>
          </wp:inline>
        </w:drawing>
      </w:r>
    </w:p>
    <w:p w:rsidR="009C085D" w:rsidRDefault="00163FBE">
      <w:pPr>
        <w:spacing w:after="41"/>
        <w:ind w:left="-5" w:right="29"/>
      </w:pPr>
      <w:r>
        <w:t>and</w:t>
      </w:r>
    </w:p>
    <w:p w:rsidR="009C085D" w:rsidRDefault="00163FBE">
      <w:pPr>
        <w:spacing w:after="473" w:line="259" w:lineRule="auto"/>
        <w:ind w:left="543" w:firstLine="0"/>
        <w:jc w:val="left"/>
      </w:pPr>
      <w:r>
        <w:rPr>
          <w:noProof/>
        </w:rPr>
        <w:drawing>
          <wp:inline distT="0" distB="0" distL="0" distR="0">
            <wp:extent cx="1612392" cy="359664"/>
            <wp:effectExtent l="0" t="0" r="0" b="0"/>
            <wp:docPr id="6320" name="Picture 6320"/>
            <wp:cNvGraphicFramePr/>
            <a:graphic xmlns:a="http://schemas.openxmlformats.org/drawingml/2006/main">
              <a:graphicData uri="http://schemas.openxmlformats.org/drawingml/2006/picture">
                <pic:pic xmlns:pic="http://schemas.openxmlformats.org/drawingml/2006/picture">
                  <pic:nvPicPr>
                    <pic:cNvPr id="6320" name="Picture 6320"/>
                    <pic:cNvPicPr/>
                  </pic:nvPicPr>
                  <pic:blipFill>
                    <a:blip r:embed="rId12"/>
                    <a:stretch>
                      <a:fillRect/>
                    </a:stretch>
                  </pic:blipFill>
                  <pic:spPr>
                    <a:xfrm>
                      <a:off x="0" y="0"/>
                      <a:ext cx="1612392" cy="359664"/>
                    </a:xfrm>
                    <a:prstGeom prst="rect">
                      <a:avLst/>
                    </a:prstGeom>
                  </pic:spPr>
                </pic:pic>
              </a:graphicData>
            </a:graphic>
          </wp:inline>
        </w:drawing>
      </w:r>
    </w:p>
    <w:p w:rsidR="009C085D" w:rsidRDefault="00163FBE">
      <w:pPr>
        <w:ind w:left="-5" w:right="29"/>
      </w:pPr>
      <w:r>
        <w:t>Note that log(</w:t>
      </w:r>
      <w:r>
        <w:t>·</w:t>
      </w:r>
      <w:r>
        <w:t>) is the natural logorithm.</w:t>
      </w:r>
    </w:p>
    <w:p w:rsidR="007F36E7" w:rsidRDefault="007F36E7" w:rsidP="007F36E7">
      <w:pPr>
        <w:pStyle w:val="hc"/>
        <w:shd w:val="clear" w:color="auto" w:fill="FFFFFF"/>
        <w:spacing w:before="206" w:beforeAutospacing="0" w:after="0" w:afterAutospacing="0" w:line="480" w:lineRule="atLeast"/>
        <w:rPr>
          <w:rFonts w:ascii="Calibri" w:hAnsi="Calibri" w:cs="Calibri"/>
          <w:color w:val="292929"/>
          <w:spacing w:val="-1"/>
        </w:rPr>
      </w:pPr>
      <w:r w:rsidRPr="007F36E7">
        <w:rPr>
          <w:rFonts w:ascii="Calibri" w:hAnsi="Calibri" w:cs="Calibri"/>
          <w:color w:val="292929"/>
          <w:spacing w:val="-1"/>
        </w:rPr>
        <w:t>Bitcoin (BTC) Stock-to-Flow (S2F) model was </w:t>
      </w:r>
      <w:hyperlink r:id="rId13" w:history="1">
        <w:r w:rsidRPr="007F36E7">
          <w:rPr>
            <w:rStyle w:val="Hyperlink"/>
            <w:rFonts w:ascii="Calibri" w:hAnsi="Calibri" w:cs="Calibri"/>
            <w:spacing w:val="-1"/>
          </w:rPr>
          <w:t>published in March 2019</w:t>
        </w:r>
      </w:hyperlink>
      <w:r w:rsidRPr="007F36E7">
        <w:rPr>
          <w:rFonts w:ascii="Calibri" w:hAnsi="Calibri" w:cs="Calibri"/>
          <w:color w:val="292929"/>
          <w:spacing w:val="-1"/>
        </w:rPr>
        <w:t xml:space="preserve">. </w:t>
      </w:r>
      <w:r w:rsidRPr="007F36E7">
        <w:rPr>
          <w:rFonts w:ascii="Calibri" w:hAnsi="Calibri" w:cs="Calibri"/>
          <w:color w:val="292929"/>
          <w:spacing w:val="-1"/>
        </w:rPr>
        <w:t>The original BTC S2F model is a formula based on monthly S2F and price data. Since the data points are indexed in time order, it is a time series model. This model has activated quantitative analysts around the world. Many have verified the non-spurious relationship between S2F and BTC price</w:t>
      </w:r>
    </w:p>
    <w:p w:rsidR="007F36E7" w:rsidRDefault="007F36E7">
      <w:pPr>
        <w:ind w:left="-5" w:right="29"/>
        <w:rPr>
          <w:rFonts w:ascii="Calibri" w:eastAsia="Times New Roman" w:hAnsi="Calibri" w:cs="Calibri"/>
          <w:color w:val="292929"/>
          <w:spacing w:val="-1"/>
          <w:szCs w:val="24"/>
        </w:rPr>
      </w:pPr>
    </w:p>
    <w:p w:rsidR="007F36E7" w:rsidRPr="007F36E7" w:rsidRDefault="007F36E7" w:rsidP="007F36E7">
      <w:pPr>
        <w:shd w:val="clear" w:color="auto" w:fill="FFFFFF"/>
        <w:spacing w:before="468" w:after="0" w:line="600" w:lineRule="atLeast"/>
        <w:ind w:left="0" w:firstLine="0"/>
        <w:jc w:val="left"/>
        <w:outlineLvl w:val="0"/>
        <w:rPr>
          <w:rFonts w:ascii="Calibri" w:eastAsia="Times New Roman" w:hAnsi="Calibri" w:cs="Calibri"/>
          <w:b/>
          <w:bCs/>
          <w:color w:val="292929"/>
          <w:spacing w:val="-5"/>
          <w:kern w:val="36"/>
          <w:szCs w:val="24"/>
        </w:rPr>
      </w:pPr>
      <w:r w:rsidRPr="007F36E7">
        <w:rPr>
          <w:rFonts w:ascii="Calibri" w:eastAsia="Times New Roman" w:hAnsi="Calibri" w:cs="Calibri"/>
          <w:b/>
          <w:bCs/>
          <w:color w:val="292929"/>
          <w:spacing w:val="-5"/>
          <w:kern w:val="36"/>
          <w:szCs w:val="24"/>
        </w:rPr>
        <w:t>Phase Transitions</w:t>
      </w:r>
    </w:p>
    <w:p w:rsidR="007F36E7" w:rsidRPr="007F36E7" w:rsidRDefault="007F36E7" w:rsidP="007F36E7">
      <w:pPr>
        <w:shd w:val="clear" w:color="auto" w:fill="FFFFFF"/>
        <w:spacing w:before="206" w:after="0" w:line="480" w:lineRule="atLeast"/>
        <w:ind w:left="0" w:firstLine="0"/>
        <w:jc w:val="left"/>
        <w:rPr>
          <w:rFonts w:ascii="Calibri" w:eastAsia="Times New Roman" w:hAnsi="Calibri" w:cs="Calibri"/>
          <w:color w:val="292929"/>
          <w:spacing w:val="-1"/>
          <w:szCs w:val="24"/>
        </w:rPr>
      </w:pPr>
      <w:r w:rsidRPr="007F36E7">
        <w:rPr>
          <w:rFonts w:ascii="Calibri" w:eastAsia="Times New Roman" w:hAnsi="Calibri" w:cs="Calibri"/>
          <w:color w:val="292929"/>
          <w:spacing w:val="-1"/>
          <w:szCs w:val="24"/>
        </w:rPr>
        <w:t>Phase transitions are an important perspective in understanding S2FX model. During phase transitions, things get totally different properties. Transitions are often discontinuous. Three examples of phase transitions are:</w:t>
      </w:r>
    </w:p>
    <w:p w:rsidR="007F36E7" w:rsidRPr="007F36E7" w:rsidRDefault="007F36E7" w:rsidP="007F36E7">
      <w:pPr>
        <w:numPr>
          <w:ilvl w:val="0"/>
          <w:numId w:val="3"/>
        </w:numPr>
        <w:shd w:val="clear" w:color="auto" w:fill="FFFFFF"/>
        <w:spacing w:before="480" w:after="0" w:line="480" w:lineRule="atLeast"/>
        <w:ind w:left="450"/>
        <w:jc w:val="left"/>
        <w:rPr>
          <w:rFonts w:ascii="Calibri" w:eastAsia="Times New Roman" w:hAnsi="Calibri" w:cs="Calibri"/>
          <w:color w:val="292929"/>
          <w:spacing w:val="-1"/>
          <w:szCs w:val="24"/>
        </w:rPr>
      </w:pPr>
      <w:r w:rsidRPr="007F36E7">
        <w:rPr>
          <w:rFonts w:ascii="Calibri" w:eastAsia="Times New Roman" w:hAnsi="Calibri" w:cs="Calibri"/>
          <w:color w:val="292929"/>
          <w:spacing w:val="-1"/>
          <w:szCs w:val="24"/>
        </w:rPr>
        <w:t>Water</w:t>
      </w:r>
    </w:p>
    <w:p w:rsidR="007F36E7" w:rsidRPr="007F36E7" w:rsidRDefault="007F36E7" w:rsidP="007F36E7">
      <w:pPr>
        <w:numPr>
          <w:ilvl w:val="0"/>
          <w:numId w:val="3"/>
        </w:numPr>
        <w:shd w:val="clear" w:color="auto" w:fill="FFFFFF"/>
        <w:spacing w:before="252" w:after="0" w:line="480" w:lineRule="atLeast"/>
        <w:ind w:left="450"/>
        <w:jc w:val="left"/>
        <w:rPr>
          <w:rFonts w:ascii="Calibri" w:eastAsia="Times New Roman" w:hAnsi="Calibri" w:cs="Calibri"/>
          <w:color w:val="292929"/>
          <w:spacing w:val="-1"/>
          <w:szCs w:val="24"/>
        </w:rPr>
      </w:pPr>
      <w:r w:rsidRPr="007F36E7">
        <w:rPr>
          <w:rFonts w:ascii="Calibri" w:eastAsia="Times New Roman" w:hAnsi="Calibri" w:cs="Calibri"/>
          <w:color w:val="292929"/>
          <w:spacing w:val="-1"/>
          <w:szCs w:val="24"/>
        </w:rPr>
        <w:lastRenderedPageBreak/>
        <w:t>US Dollar</w:t>
      </w:r>
    </w:p>
    <w:p w:rsidR="007F36E7" w:rsidRPr="007F36E7" w:rsidRDefault="007F36E7" w:rsidP="007F36E7">
      <w:pPr>
        <w:numPr>
          <w:ilvl w:val="0"/>
          <w:numId w:val="3"/>
        </w:numPr>
        <w:shd w:val="clear" w:color="auto" w:fill="FFFFFF"/>
        <w:spacing w:before="252" w:after="0" w:line="480" w:lineRule="atLeast"/>
        <w:ind w:left="450"/>
        <w:jc w:val="left"/>
        <w:rPr>
          <w:rFonts w:ascii="Calibri" w:eastAsia="Times New Roman" w:hAnsi="Calibri" w:cs="Calibri"/>
          <w:color w:val="292929"/>
          <w:spacing w:val="-1"/>
          <w:szCs w:val="24"/>
        </w:rPr>
      </w:pPr>
      <w:r w:rsidRPr="007F36E7">
        <w:rPr>
          <w:rFonts w:ascii="Calibri" w:eastAsia="Times New Roman" w:hAnsi="Calibri" w:cs="Calibri"/>
          <w:color w:val="292929"/>
          <w:spacing w:val="-1"/>
          <w:szCs w:val="24"/>
        </w:rPr>
        <w:t>BTC</w:t>
      </w:r>
    </w:p>
    <w:p w:rsidR="007F36E7" w:rsidRPr="007F36E7" w:rsidRDefault="007F36E7" w:rsidP="007F36E7">
      <w:pPr>
        <w:shd w:val="clear" w:color="auto" w:fill="FFFFFF"/>
        <w:spacing w:before="480" w:after="0" w:line="480" w:lineRule="atLeast"/>
        <w:ind w:left="0" w:firstLine="0"/>
        <w:jc w:val="left"/>
        <w:rPr>
          <w:rFonts w:ascii="Calibri" w:eastAsia="Times New Roman" w:hAnsi="Calibri" w:cs="Calibri"/>
          <w:color w:val="292929"/>
          <w:spacing w:val="-1"/>
          <w:szCs w:val="24"/>
        </w:rPr>
      </w:pPr>
      <w:r w:rsidRPr="007F36E7">
        <w:rPr>
          <w:rFonts w:ascii="Calibri" w:eastAsia="Times New Roman" w:hAnsi="Calibri" w:cs="Calibri"/>
          <w:b/>
          <w:bCs/>
          <w:color w:val="292929"/>
          <w:spacing w:val="-1"/>
          <w:szCs w:val="24"/>
        </w:rPr>
        <w:t>Water</w:t>
      </w:r>
      <w:r w:rsidRPr="007F36E7">
        <w:rPr>
          <w:rFonts w:ascii="Calibri" w:eastAsia="Times New Roman" w:hAnsi="Calibri" w:cs="Calibri"/>
          <w:b/>
          <w:bCs/>
          <w:color w:val="292929"/>
          <w:spacing w:val="-1"/>
          <w:szCs w:val="24"/>
        </w:rPr>
        <w:br/>
      </w:r>
      <w:r w:rsidRPr="007F36E7">
        <w:rPr>
          <w:rFonts w:ascii="Calibri" w:eastAsia="Times New Roman" w:hAnsi="Calibri" w:cs="Calibri"/>
          <w:color w:val="292929"/>
          <w:spacing w:val="-1"/>
          <w:szCs w:val="24"/>
        </w:rPr>
        <w:t>The classic example of phase transitions is water. Water exists in four different phases (states): solid, liquid, gas, ionized. It is all water, but water has totally different properties in each phase.</w:t>
      </w:r>
    </w:p>
    <w:p w:rsidR="00F01F94" w:rsidRPr="00810BEC" w:rsidRDefault="00810BEC" w:rsidP="00810BEC">
      <w:pPr>
        <w:ind w:left="0" w:right="29" w:firstLine="0"/>
        <w:rPr>
          <w:rFonts w:asciiTheme="minorHAnsi" w:eastAsia="Times New Roman" w:hAnsiTheme="minorHAnsi" w:cstheme="minorHAnsi"/>
          <w:color w:val="auto"/>
          <w:szCs w:val="24"/>
        </w:rPr>
      </w:pPr>
      <w:r w:rsidRPr="00810BEC">
        <w:rPr>
          <w:rStyle w:val="Strong"/>
          <w:rFonts w:asciiTheme="minorHAnsi" w:hAnsiTheme="minorHAnsi" w:cstheme="minorHAnsi"/>
          <w:color w:val="292929"/>
          <w:spacing w:val="-1"/>
          <w:szCs w:val="24"/>
          <w:shd w:val="clear" w:color="auto" w:fill="FFFFFF"/>
        </w:rPr>
        <w:t>BTC</w:t>
      </w:r>
      <w:r w:rsidRPr="00810BEC">
        <w:rPr>
          <w:rFonts w:asciiTheme="minorHAnsi" w:hAnsiTheme="minorHAnsi" w:cstheme="minorHAnsi"/>
          <w:color w:val="292929"/>
          <w:spacing w:val="-1"/>
          <w:szCs w:val="24"/>
        </w:rPr>
        <w:br/>
      </w:r>
      <w:r w:rsidRPr="00810BEC">
        <w:rPr>
          <w:rFonts w:asciiTheme="minorHAnsi" w:hAnsiTheme="minorHAnsi" w:cstheme="minorHAnsi"/>
          <w:color w:val="292929"/>
          <w:spacing w:val="-1"/>
          <w:szCs w:val="24"/>
          <w:shd w:val="clear" w:color="auto" w:fill="FFFFFF"/>
        </w:rPr>
        <w:t>Same is true for BTC. Nic Carter and Hasu show in their 2018 study how BTC narratives changed over time</w:t>
      </w:r>
    </w:p>
    <w:p w:rsidR="00810BEC" w:rsidRPr="00810BEC" w:rsidRDefault="00810BEC" w:rsidP="00810BEC">
      <w:pPr>
        <w:pStyle w:val="hc"/>
        <w:shd w:val="clear" w:color="auto" w:fill="FFFFFF"/>
        <w:spacing w:before="480" w:beforeAutospacing="0" w:after="0" w:afterAutospacing="0" w:line="480" w:lineRule="atLeast"/>
        <w:rPr>
          <w:rFonts w:asciiTheme="minorHAnsi" w:hAnsiTheme="minorHAnsi" w:cstheme="minorHAnsi"/>
          <w:color w:val="292929"/>
          <w:spacing w:val="-1"/>
        </w:rPr>
      </w:pPr>
      <w:r w:rsidRPr="00810BEC">
        <w:rPr>
          <w:rFonts w:asciiTheme="minorHAnsi" w:hAnsiTheme="minorHAnsi" w:cstheme="minorHAnsi"/>
        </w:rPr>
        <w:t xml:space="preserve"> </w:t>
      </w:r>
      <w:r w:rsidRPr="00810BEC">
        <w:rPr>
          <w:rFonts w:asciiTheme="minorHAnsi" w:hAnsiTheme="minorHAnsi" w:cstheme="minorHAnsi"/>
          <w:color w:val="292929"/>
          <w:spacing w:val="-1"/>
        </w:rPr>
        <w:t>These BTC narratives seem very continuous in the chart. However, if we combine the narratives with financial milestones (and later S2F and price data), they look very much like phases with more abrupt transitions:</w:t>
      </w:r>
    </w:p>
    <w:p w:rsidR="00810BEC" w:rsidRPr="00810BEC" w:rsidRDefault="00810BEC" w:rsidP="00810BEC">
      <w:pPr>
        <w:numPr>
          <w:ilvl w:val="0"/>
          <w:numId w:val="5"/>
        </w:numPr>
        <w:shd w:val="clear" w:color="auto" w:fill="FFFFFF"/>
        <w:spacing w:before="480" w:after="0" w:line="480" w:lineRule="atLeast"/>
        <w:ind w:left="450"/>
        <w:jc w:val="left"/>
        <w:rPr>
          <w:rFonts w:asciiTheme="minorHAnsi" w:eastAsia="Times New Roman" w:hAnsiTheme="minorHAnsi" w:cstheme="minorHAnsi"/>
          <w:color w:val="292929"/>
          <w:spacing w:val="-1"/>
          <w:szCs w:val="24"/>
        </w:rPr>
      </w:pPr>
      <w:r w:rsidRPr="00810BEC">
        <w:rPr>
          <w:rFonts w:asciiTheme="minorHAnsi" w:eastAsia="Times New Roman" w:hAnsiTheme="minorHAnsi" w:cstheme="minorHAnsi"/>
          <w:color w:val="292929"/>
          <w:spacing w:val="-1"/>
          <w:szCs w:val="24"/>
        </w:rPr>
        <w:t>“Proof of concept” -&gt; after Bitcoin white paper [5]</w:t>
      </w:r>
    </w:p>
    <w:p w:rsidR="00810BEC" w:rsidRPr="00810BEC" w:rsidRDefault="00810BEC" w:rsidP="00810BEC">
      <w:pPr>
        <w:numPr>
          <w:ilvl w:val="0"/>
          <w:numId w:val="5"/>
        </w:numPr>
        <w:shd w:val="clear" w:color="auto" w:fill="FFFFFF"/>
        <w:spacing w:before="252" w:after="0" w:line="480" w:lineRule="atLeast"/>
        <w:ind w:left="450"/>
        <w:jc w:val="left"/>
        <w:rPr>
          <w:rFonts w:asciiTheme="minorHAnsi" w:eastAsia="Times New Roman" w:hAnsiTheme="minorHAnsi" w:cstheme="minorHAnsi"/>
          <w:color w:val="292929"/>
          <w:spacing w:val="-1"/>
          <w:szCs w:val="24"/>
        </w:rPr>
      </w:pPr>
      <w:r w:rsidRPr="00810BEC">
        <w:rPr>
          <w:rFonts w:asciiTheme="minorHAnsi" w:eastAsia="Times New Roman" w:hAnsiTheme="minorHAnsi" w:cstheme="minorHAnsi"/>
          <w:color w:val="292929"/>
          <w:spacing w:val="-1"/>
          <w:szCs w:val="24"/>
        </w:rPr>
        <w:t>“Payments” -&gt; after USD parity (1BTC = $1)</w:t>
      </w:r>
    </w:p>
    <w:p w:rsidR="00810BEC" w:rsidRPr="00810BEC" w:rsidRDefault="00810BEC" w:rsidP="00810BEC">
      <w:pPr>
        <w:numPr>
          <w:ilvl w:val="0"/>
          <w:numId w:val="5"/>
        </w:numPr>
        <w:shd w:val="clear" w:color="auto" w:fill="FFFFFF"/>
        <w:spacing w:before="252" w:after="0" w:line="480" w:lineRule="atLeast"/>
        <w:ind w:left="450"/>
        <w:jc w:val="left"/>
        <w:rPr>
          <w:rFonts w:asciiTheme="minorHAnsi" w:eastAsia="Times New Roman" w:hAnsiTheme="minorHAnsi" w:cstheme="minorHAnsi"/>
          <w:color w:val="292929"/>
          <w:spacing w:val="-1"/>
          <w:szCs w:val="24"/>
        </w:rPr>
      </w:pPr>
      <w:r w:rsidRPr="00810BEC">
        <w:rPr>
          <w:rFonts w:asciiTheme="minorHAnsi" w:eastAsia="Times New Roman" w:hAnsiTheme="minorHAnsi" w:cstheme="minorHAnsi"/>
          <w:color w:val="292929"/>
          <w:spacing w:val="-1"/>
          <w:szCs w:val="24"/>
        </w:rPr>
        <w:t>“E-Gold” -&gt; after 1st halving, almost gold parity (1BTC = 1 ounce of gold)</w:t>
      </w:r>
    </w:p>
    <w:p w:rsidR="00810BEC" w:rsidRPr="00810BEC" w:rsidRDefault="00810BEC" w:rsidP="00810BEC">
      <w:pPr>
        <w:numPr>
          <w:ilvl w:val="0"/>
          <w:numId w:val="5"/>
        </w:numPr>
        <w:shd w:val="clear" w:color="auto" w:fill="FFFFFF"/>
        <w:spacing w:before="252" w:after="0" w:line="480" w:lineRule="atLeast"/>
        <w:ind w:left="450"/>
        <w:jc w:val="left"/>
        <w:rPr>
          <w:rFonts w:asciiTheme="minorHAnsi" w:eastAsia="Times New Roman" w:hAnsiTheme="minorHAnsi" w:cstheme="minorHAnsi"/>
          <w:color w:val="292929"/>
          <w:spacing w:val="-1"/>
          <w:szCs w:val="24"/>
        </w:rPr>
      </w:pPr>
      <w:r w:rsidRPr="00810BEC">
        <w:rPr>
          <w:rFonts w:asciiTheme="minorHAnsi" w:eastAsia="Times New Roman" w:hAnsiTheme="minorHAnsi" w:cstheme="minorHAnsi"/>
          <w:color w:val="292929"/>
          <w:spacing w:val="-1"/>
          <w:szCs w:val="24"/>
        </w:rPr>
        <w:t>“Financial asset” -&gt; after 2nd halving ($1B transactions per day milestone, legal clarity in Japan and Australia, futures markets at CME and Bakkt)</w:t>
      </w:r>
    </w:p>
    <w:p w:rsidR="00810BEC" w:rsidRPr="00810BEC" w:rsidRDefault="00810BEC" w:rsidP="00810BEC">
      <w:pPr>
        <w:shd w:val="clear" w:color="auto" w:fill="FFFFFF"/>
        <w:spacing w:before="480" w:after="0" w:line="480" w:lineRule="atLeast"/>
        <w:ind w:left="0" w:firstLine="0"/>
        <w:jc w:val="left"/>
        <w:rPr>
          <w:rFonts w:asciiTheme="minorHAnsi" w:eastAsia="Times New Roman" w:hAnsiTheme="minorHAnsi" w:cstheme="minorHAnsi"/>
          <w:color w:val="292929"/>
          <w:spacing w:val="-1"/>
          <w:szCs w:val="24"/>
        </w:rPr>
      </w:pPr>
      <w:r w:rsidRPr="00810BEC">
        <w:rPr>
          <w:rFonts w:asciiTheme="minorHAnsi" w:eastAsia="Times New Roman" w:hAnsiTheme="minorHAnsi" w:cstheme="minorHAnsi"/>
          <w:color w:val="292929"/>
          <w:spacing w:val="-1"/>
          <w:szCs w:val="24"/>
        </w:rPr>
        <w:lastRenderedPageBreak/>
        <w:t>These three examples of phase transitions in water, US Dollar and BTC offer a new perspective on BTC and S2F. It is important to not only think in term of continuous time series but also in phases with abrupt transitions. In developing S2FX model, I see BTC in each phase as a new asset, with totally different properties. A logical next step is identifying and quantifying BTC phase transitions.</w:t>
      </w:r>
    </w:p>
    <w:p w:rsidR="00810BEC" w:rsidRPr="00810BEC" w:rsidRDefault="00810BEC" w:rsidP="00810BEC">
      <w:pPr>
        <w:shd w:val="clear" w:color="auto" w:fill="FFFFFF"/>
        <w:spacing w:before="468" w:after="0" w:line="600" w:lineRule="atLeast"/>
        <w:ind w:left="0" w:firstLine="0"/>
        <w:jc w:val="left"/>
        <w:outlineLvl w:val="0"/>
        <w:rPr>
          <w:rFonts w:asciiTheme="minorHAnsi" w:eastAsia="Times New Roman" w:hAnsiTheme="minorHAnsi" w:cstheme="minorHAnsi"/>
          <w:b/>
          <w:bCs/>
          <w:color w:val="292929"/>
          <w:spacing w:val="-5"/>
          <w:kern w:val="36"/>
          <w:szCs w:val="24"/>
        </w:rPr>
      </w:pPr>
      <w:r w:rsidRPr="00810BEC">
        <w:rPr>
          <w:rFonts w:asciiTheme="minorHAnsi" w:eastAsia="Times New Roman" w:hAnsiTheme="minorHAnsi" w:cstheme="minorHAnsi"/>
          <w:b/>
          <w:bCs/>
          <w:color w:val="292929"/>
          <w:spacing w:val="-5"/>
          <w:kern w:val="36"/>
          <w:szCs w:val="24"/>
        </w:rPr>
        <w:t>BTC S2F Cross Asset (S2FX) Model</w:t>
      </w:r>
    </w:p>
    <w:p w:rsidR="00810BEC" w:rsidRDefault="00810BEC" w:rsidP="00810BEC">
      <w:pPr>
        <w:shd w:val="clear" w:color="auto" w:fill="FFFFFF"/>
        <w:spacing w:before="206" w:after="0" w:line="480" w:lineRule="atLeast"/>
        <w:ind w:left="0" w:firstLine="0"/>
        <w:jc w:val="left"/>
        <w:rPr>
          <w:rFonts w:asciiTheme="minorHAnsi" w:eastAsia="Times New Roman" w:hAnsiTheme="minorHAnsi" w:cstheme="minorHAnsi"/>
          <w:color w:val="292929"/>
          <w:spacing w:val="-1"/>
          <w:szCs w:val="24"/>
        </w:rPr>
      </w:pPr>
      <w:r w:rsidRPr="00810BEC">
        <w:rPr>
          <w:rFonts w:asciiTheme="minorHAnsi" w:eastAsia="Times New Roman" w:hAnsiTheme="minorHAnsi" w:cstheme="minorHAnsi"/>
          <w:color w:val="292929"/>
          <w:spacing w:val="-1"/>
          <w:szCs w:val="24"/>
        </w:rPr>
        <w:t xml:space="preserve">The chart below shows the monthly BTC S2F and price data points used in the original S2F model. One can </w:t>
      </w:r>
      <w:r>
        <w:rPr>
          <w:rFonts w:asciiTheme="minorHAnsi" w:eastAsia="Times New Roman" w:hAnsiTheme="minorHAnsi" w:cstheme="minorHAnsi"/>
          <w:color w:val="292929"/>
          <w:spacing w:val="-1"/>
          <w:szCs w:val="24"/>
        </w:rPr>
        <w:t>visually identify four clusters.</w:t>
      </w:r>
    </w:p>
    <w:p w:rsidR="00810BEC" w:rsidRPr="00810BEC" w:rsidRDefault="00810BEC" w:rsidP="00810BEC">
      <w:pPr>
        <w:shd w:val="clear" w:color="auto" w:fill="FFFFFF"/>
        <w:spacing w:before="206" w:after="0" w:line="480" w:lineRule="atLeast"/>
        <w:ind w:left="0" w:firstLine="0"/>
        <w:jc w:val="left"/>
        <w:rPr>
          <w:rFonts w:asciiTheme="minorHAnsi" w:eastAsia="Times New Roman" w:hAnsiTheme="minorHAnsi" w:cstheme="minorHAnsi"/>
          <w:b/>
          <w:color w:val="292929"/>
          <w:spacing w:val="-1"/>
          <w:szCs w:val="24"/>
        </w:rPr>
      </w:pPr>
      <w:r w:rsidRPr="00810BEC">
        <w:rPr>
          <w:rFonts w:asciiTheme="minorHAnsi" w:eastAsia="Times New Roman" w:hAnsiTheme="minorHAnsi" w:cstheme="minorHAnsi"/>
          <w:b/>
          <w:color w:val="292929"/>
          <w:spacing w:val="-1"/>
          <w:szCs w:val="24"/>
        </w:rPr>
        <w:t>WHY IT IS A BAD MODEL</w:t>
      </w:r>
    </w:p>
    <w:p w:rsidR="00810BEC" w:rsidRPr="00810BEC" w:rsidRDefault="00810BEC" w:rsidP="00810BEC">
      <w:pPr>
        <w:pStyle w:val="text"/>
        <w:shd w:val="clear" w:color="auto" w:fill="FFFFFF"/>
        <w:spacing w:before="0" w:beforeAutospacing="0" w:after="0" w:afterAutospacing="0"/>
        <w:rPr>
          <w:rFonts w:asciiTheme="minorHAnsi" w:hAnsiTheme="minorHAnsi" w:cstheme="minorHAnsi"/>
          <w:color w:val="161F36"/>
        </w:rPr>
      </w:pPr>
      <w:r w:rsidRPr="00810BEC">
        <w:rPr>
          <w:rFonts w:asciiTheme="minorHAnsi" w:hAnsiTheme="minorHAnsi" w:cstheme="minorHAnsi"/>
          <w:color w:val="161F36"/>
        </w:rPr>
        <w:t>PlanB’s paper “</w:t>
      </w:r>
      <w:hyperlink r:id="rId14" w:tgtFrame="_blank" w:history="1">
        <w:r w:rsidRPr="00810BEC">
          <w:rPr>
            <w:rStyle w:val="Hyperlink"/>
            <w:rFonts w:asciiTheme="minorHAnsi" w:hAnsiTheme="minorHAnsi" w:cstheme="minorHAnsi"/>
            <w:color w:val="608AD8"/>
            <w:bdr w:val="none" w:sz="0" w:space="0" w:color="auto" w:frame="1"/>
          </w:rPr>
          <w:t>Modeling Bitcoin Value with Scarcity</w:t>
        </w:r>
      </w:hyperlink>
      <w:r w:rsidRPr="00810BEC">
        <w:rPr>
          <w:rFonts w:asciiTheme="minorHAnsi" w:hAnsiTheme="minorHAnsi" w:cstheme="minorHAnsi"/>
          <w:color w:val="161F36"/>
        </w:rPr>
        <w:t>” states that certain precious metals have maintained a monetary role throughout history because of their unforgeable costliness and low rate of supply. For example, gold is valuable both because new supply (mined gold) is insignificant to the current supply and because it is impossible to replicate the vast stores of gold around the globe. PlanB then argues this same logic applies to bitcoin, which becomes more valuable as new supply is reduced every four years, ultimately culminating in a supply of 21 million bitcoin. </w:t>
      </w:r>
    </w:p>
    <w:p w:rsidR="00810BEC" w:rsidRPr="00810BEC" w:rsidRDefault="00810BEC" w:rsidP="00810BEC">
      <w:pPr>
        <w:pStyle w:val="text"/>
        <w:shd w:val="clear" w:color="auto" w:fill="FFFFFF"/>
        <w:spacing w:before="0" w:beforeAutospacing="0" w:after="270" w:afterAutospacing="0"/>
        <w:rPr>
          <w:rFonts w:asciiTheme="minorHAnsi" w:hAnsiTheme="minorHAnsi" w:cstheme="minorHAnsi"/>
          <w:color w:val="161F36"/>
        </w:rPr>
      </w:pPr>
      <w:r w:rsidRPr="00810BEC">
        <w:rPr>
          <w:rFonts w:asciiTheme="minorHAnsi" w:hAnsiTheme="minorHAnsi" w:cstheme="minorHAnsi"/>
          <w:color w:val="161F36"/>
        </w:rPr>
        <w:t>Low rate of supply, which PlanB defines as “scarcity,” can be quantified using a metric called Stock-to-Flow (SF), which is the ratio between current supply and new supply.</w:t>
      </w:r>
    </w:p>
    <w:p w:rsidR="00810BEC" w:rsidRPr="00810BEC" w:rsidRDefault="00810BEC" w:rsidP="00810BEC">
      <w:pPr>
        <w:pStyle w:val="text"/>
        <w:shd w:val="clear" w:color="auto" w:fill="FFFFFF"/>
        <w:spacing w:before="0" w:beforeAutospacing="0" w:after="270" w:afterAutospacing="0"/>
        <w:rPr>
          <w:rFonts w:asciiTheme="minorHAnsi" w:hAnsiTheme="minorHAnsi" w:cstheme="minorHAnsi"/>
          <w:color w:val="161F36"/>
        </w:rPr>
      </w:pPr>
      <w:r w:rsidRPr="00810BEC">
        <w:rPr>
          <w:rFonts w:asciiTheme="minorHAnsi" w:hAnsiTheme="minorHAnsi" w:cstheme="minorHAnsi"/>
          <w:color w:val="161F36"/>
        </w:rPr>
        <w:t>This premise is then translated into the hypothesis, “…that scarcity, as measured by SF, directly drives value.” PlanB then plots bitcoin’s SF against USD market capitalization as well as two arbitrarily chosen SF data points for gold and silver.</w:t>
      </w:r>
      <w:r w:rsidRPr="00810BEC">
        <w:rPr>
          <w:rFonts w:asciiTheme="minorHAnsi" w:hAnsiTheme="minorHAnsi" w:cstheme="minorHAnsi"/>
          <w:color w:val="161F36"/>
        </w:rPr>
        <w:t xml:space="preserve"> PlanB then runs a linear regression using the natural logarithm of bitcoin’s SF metric as the independent variable and the USD market </w:t>
      </w:r>
      <w:r w:rsidRPr="00810BEC">
        <w:rPr>
          <w:rFonts w:asciiTheme="minorHAnsi" w:hAnsiTheme="minorHAnsi" w:cstheme="minorHAnsi"/>
          <w:color w:val="161F36"/>
        </w:rPr>
        <w:lastRenderedPageBreak/>
        <w:t>capitalization as the dependent variable. The paper ends with the conclusion that there is a statistically significant relationship between USD market capitalization and SF values, as evidenced by the linear regression resulting in an R2 (a statistical measure of how close the data fits to a regression line) of ~0.95. The two randomly chosen data points for gold and silver are in line with bitcoin’s trajectory and presented as further evidence of the hypothesis. </w:t>
      </w:r>
    </w:p>
    <w:p w:rsidR="00810BEC" w:rsidRPr="00810BEC" w:rsidRDefault="00810BEC" w:rsidP="00810BEC">
      <w:pPr>
        <w:shd w:val="clear" w:color="auto" w:fill="FFFFFF"/>
        <w:spacing w:after="270" w:line="240" w:lineRule="auto"/>
        <w:ind w:left="0" w:firstLine="0"/>
        <w:jc w:val="left"/>
        <w:rPr>
          <w:rFonts w:asciiTheme="minorHAnsi" w:eastAsia="Times New Roman" w:hAnsiTheme="minorHAnsi" w:cstheme="minorHAnsi"/>
          <w:color w:val="161F36"/>
          <w:szCs w:val="24"/>
        </w:rPr>
      </w:pPr>
      <w:r w:rsidRPr="00810BEC">
        <w:rPr>
          <w:rFonts w:asciiTheme="minorHAnsi" w:eastAsia="Times New Roman" w:hAnsiTheme="minorHAnsi" w:cstheme="minorHAnsi"/>
          <w:color w:val="161F36"/>
          <w:szCs w:val="24"/>
        </w:rPr>
        <w:t>PlanB suggests that investors can forecast the future USD market capitalization of bitcoin using the above formula. This has helped give credence to those $100,000 bitcoin projections.</w:t>
      </w:r>
    </w:p>
    <w:p w:rsidR="00810BEC" w:rsidRPr="00810BEC" w:rsidRDefault="00810BEC" w:rsidP="00810BEC">
      <w:pPr>
        <w:shd w:val="clear" w:color="auto" w:fill="FFFFFF"/>
        <w:spacing w:before="300" w:after="300" w:line="240" w:lineRule="auto"/>
        <w:ind w:left="0" w:firstLine="0"/>
        <w:jc w:val="left"/>
        <w:outlineLvl w:val="1"/>
        <w:rPr>
          <w:rFonts w:asciiTheme="minorHAnsi" w:eastAsia="Times New Roman" w:hAnsiTheme="minorHAnsi" w:cstheme="minorHAnsi"/>
          <w:b/>
          <w:bCs/>
          <w:color w:val="161F36"/>
          <w:szCs w:val="24"/>
        </w:rPr>
      </w:pPr>
      <w:r w:rsidRPr="00810BEC">
        <w:rPr>
          <w:rFonts w:asciiTheme="minorHAnsi" w:eastAsia="Times New Roman" w:hAnsiTheme="minorHAnsi" w:cstheme="minorHAnsi"/>
          <w:b/>
          <w:bCs/>
          <w:color w:val="161F36"/>
          <w:szCs w:val="24"/>
        </w:rPr>
        <w:t>Problems abound</w:t>
      </w:r>
    </w:p>
    <w:p w:rsidR="00810BEC" w:rsidRPr="00810BEC" w:rsidRDefault="00810BEC" w:rsidP="00810BEC">
      <w:pPr>
        <w:shd w:val="clear" w:color="auto" w:fill="FFFFFF"/>
        <w:spacing w:after="270" w:line="240" w:lineRule="auto"/>
        <w:ind w:left="0" w:firstLine="0"/>
        <w:jc w:val="left"/>
        <w:rPr>
          <w:rFonts w:asciiTheme="minorHAnsi" w:eastAsia="Times New Roman" w:hAnsiTheme="minorHAnsi" w:cstheme="minorHAnsi"/>
          <w:color w:val="161F36"/>
          <w:szCs w:val="24"/>
        </w:rPr>
      </w:pPr>
      <w:r w:rsidRPr="00810BEC">
        <w:rPr>
          <w:rFonts w:asciiTheme="minorHAnsi" w:eastAsia="Times New Roman" w:hAnsiTheme="minorHAnsi" w:cstheme="minorHAnsi"/>
          <w:color w:val="161F36"/>
          <w:szCs w:val="24"/>
        </w:rPr>
        <w:t>There are several deficiencies within the paper, both in its theoretical proposition and its empirical foundation.</w:t>
      </w:r>
    </w:p>
    <w:p w:rsidR="00810BEC" w:rsidRPr="00810BEC" w:rsidRDefault="00810BEC" w:rsidP="00810BEC">
      <w:pPr>
        <w:shd w:val="clear" w:color="auto" w:fill="FFFFFF"/>
        <w:spacing w:after="270" w:line="240" w:lineRule="auto"/>
        <w:ind w:left="0" w:firstLine="0"/>
        <w:jc w:val="left"/>
        <w:rPr>
          <w:rFonts w:asciiTheme="minorHAnsi" w:eastAsia="Times New Roman" w:hAnsiTheme="minorHAnsi" w:cstheme="minorHAnsi"/>
          <w:color w:val="161F36"/>
          <w:szCs w:val="24"/>
        </w:rPr>
      </w:pPr>
      <w:r w:rsidRPr="00810BEC">
        <w:rPr>
          <w:rFonts w:asciiTheme="minorHAnsi" w:eastAsia="Times New Roman" w:hAnsiTheme="minorHAnsi" w:cstheme="minorHAnsi"/>
          <w:color w:val="161F36"/>
          <w:szCs w:val="24"/>
        </w:rPr>
        <w:t>From a theoretical point of view, the model is based on the rather strong assertion that the USD market capitalization of a monetary good (e.g. gold and silver) is derived directly from their rate of new supply. No evidence or research is provided to support this idea, other than the singular data points selected to chart gold and silver’s market capitalization against bitcoin’s trajectory. </w:t>
      </w:r>
    </w:p>
    <w:p w:rsidR="00810BEC" w:rsidRPr="00810BEC" w:rsidRDefault="00810BEC" w:rsidP="00810BEC">
      <w:pPr>
        <w:shd w:val="clear" w:color="auto" w:fill="FFFFFF"/>
        <w:spacing w:line="240" w:lineRule="auto"/>
        <w:ind w:left="300" w:firstLine="0"/>
        <w:jc w:val="left"/>
        <w:rPr>
          <w:rFonts w:asciiTheme="minorHAnsi" w:eastAsia="Times New Roman" w:hAnsiTheme="minorHAnsi" w:cstheme="minorHAnsi"/>
          <w:color w:val="19284D"/>
          <w:szCs w:val="24"/>
        </w:rPr>
      </w:pPr>
      <w:r w:rsidRPr="00810BEC">
        <w:rPr>
          <w:rFonts w:asciiTheme="minorHAnsi" w:eastAsia="Times New Roman" w:hAnsiTheme="minorHAnsi" w:cstheme="minorHAnsi"/>
          <w:color w:val="19284D"/>
          <w:szCs w:val="24"/>
        </w:rPr>
        <w:t>THIS BECOMES QUITE OBVIOUS WHEN ONE EXTENDS THE MODEL INTO THE NEAR FUTURE. BY 2045, THE MODEL ESTIMATES EACH BITCOIN WILL BE WORTH $235,000,000,000.</w:t>
      </w:r>
    </w:p>
    <w:p w:rsidR="00810BEC" w:rsidRPr="00810BEC" w:rsidRDefault="00810BEC" w:rsidP="00810BEC">
      <w:pPr>
        <w:shd w:val="clear" w:color="auto" w:fill="FFFFFF"/>
        <w:spacing w:after="270" w:line="240" w:lineRule="auto"/>
        <w:ind w:left="0" w:firstLine="0"/>
        <w:jc w:val="left"/>
        <w:rPr>
          <w:rFonts w:asciiTheme="minorHAnsi" w:eastAsia="Times New Roman" w:hAnsiTheme="minorHAnsi" w:cstheme="minorHAnsi"/>
          <w:color w:val="161F36"/>
          <w:szCs w:val="24"/>
        </w:rPr>
      </w:pPr>
      <w:r w:rsidRPr="00810BEC">
        <w:rPr>
          <w:rFonts w:asciiTheme="minorHAnsi" w:eastAsia="Times New Roman" w:hAnsiTheme="minorHAnsi" w:cstheme="minorHAnsi"/>
          <w:color w:val="161F36"/>
          <w:szCs w:val="24"/>
        </w:rPr>
        <w:t>The second is the naïve application of a linear regression that results in a high probability of a researcher finding spurious results. “Good” statistical results, such as a high R-square, do not constitute a meaningful finding. It is common for researchers to underestimate how often such techniques lead to false results. And particularly in this situation, where there is a large degree of freedom for random data to fit a specific outcome.</w:t>
      </w:r>
    </w:p>
    <w:p w:rsidR="00810BEC" w:rsidRPr="00810BEC" w:rsidRDefault="00810BEC" w:rsidP="00810BEC">
      <w:pPr>
        <w:shd w:val="clear" w:color="auto" w:fill="FFFFFF"/>
        <w:spacing w:before="300" w:after="300" w:line="240" w:lineRule="auto"/>
        <w:ind w:left="0" w:firstLine="0"/>
        <w:jc w:val="left"/>
        <w:outlineLvl w:val="1"/>
        <w:rPr>
          <w:rFonts w:asciiTheme="minorHAnsi" w:eastAsia="Times New Roman" w:hAnsiTheme="minorHAnsi" w:cstheme="minorHAnsi"/>
          <w:b/>
          <w:bCs/>
          <w:color w:val="161F36"/>
          <w:szCs w:val="24"/>
        </w:rPr>
      </w:pPr>
      <w:r w:rsidRPr="00810BEC">
        <w:rPr>
          <w:rFonts w:asciiTheme="minorHAnsi" w:eastAsia="Times New Roman" w:hAnsiTheme="minorHAnsi" w:cstheme="minorHAnsi"/>
          <w:b/>
          <w:bCs/>
          <w:color w:val="161F36"/>
          <w:szCs w:val="24"/>
        </w:rPr>
        <w:t>Gold and the dollar</w:t>
      </w:r>
    </w:p>
    <w:p w:rsidR="00810BEC" w:rsidRPr="00810BEC" w:rsidRDefault="00810BEC" w:rsidP="00810BEC">
      <w:pPr>
        <w:shd w:val="clear" w:color="auto" w:fill="FFFFFF"/>
        <w:spacing w:after="270" w:line="240" w:lineRule="auto"/>
        <w:ind w:left="0" w:firstLine="0"/>
        <w:jc w:val="left"/>
        <w:rPr>
          <w:rFonts w:asciiTheme="minorHAnsi" w:eastAsia="Times New Roman" w:hAnsiTheme="minorHAnsi" w:cstheme="minorHAnsi"/>
          <w:color w:val="161F36"/>
          <w:szCs w:val="24"/>
        </w:rPr>
      </w:pPr>
      <w:r w:rsidRPr="00810BEC">
        <w:rPr>
          <w:rFonts w:asciiTheme="minorHAnsi" w:eastAsia="Times New Roman" w:hAnsiTheme="minorHAnsi" w:cstheme="minorHAnsi"/>
          <w:color w:val="161F36"/>
          <w:szCs w:val="24"/>
        </w:rPr>
        <w:t xml:space="preserve">From a theoretical perspective, what PlanB defines as “scarcity” is not scarcity by definition. PlanB uses “scarcity” to describe an asset’s supply growth rate or </w:t>
      </w:r>
      <w:r w:rsidRPr="00810BEC">
        <w:rPr>
          <w:rFonts w:asciiTheme="minorHAnsi" w:eastAsia="Times New Roman" w:hAnsiTheme="minorHAnsi" w:cstheme="minorHAnsi"/>
          <w:color w:val="161F36"/>
          <w:szCs w:val="24"/>
        </w:rPr>
        <w:lastRenderedPageBreak/>
        <w:t>new production as measured by the SF metric. This assumes that increasing new supply depresses price through increased selling pressure from producers and vice versa. </w:t>
      </w:r>
    </w:p>
    <w:p w:rsidR="00810BEC" w:rsidRPr="00810BEC" w:rsidRDefault="00810BEC" w:rsidP="00810BEC">
      <w:pPr>
        <w:shd w:val="clear" w:color="auto" w:fill="FFFFFF"/>
        <w:spacing w:after="0" w:line="240" w:lineRule="auto"/>
        <w:ind w:left="0" w:firstLine="0"/>
        <w:jc w:val="left"/>
        <w:rPr>
          <w:rFonts w:asciiTheme="minorHAnsi" w:eastAsia="Times New Roman" w:hAnsiTheme="minorHAnsi" w:cstheme="minorHAnsi"/>
          <w:color w:val="161F36"/>
          <w:szCs w:val="24"/>
        </w:rPr>
      </w:pPr>
      <w:r w:rsidRPr="00810BEC">
        <w:rPr>
          <w:rFonts w:asciiTheme="minorHAnsi" w:eastAsia="Times New Roman" w:hAnsiTheme="minorHAnsi" w:cstheme="minorHAnsi"/>
          <w:color w:val="161F36"/>
          <w:szCs w:val="24"/>
        </w:rPr>
        <w:t>This seems reasonable at first glance until one considers that a high SF represents a dynamic where new supply is insignificant to the current supply. PlanB quotes </w:t>
      </w:r>
      <w:hyperlink r:id="rId15" w:tgtFrame="_blank" w:history="1">
        <w:r w:rsidRPr="00810BEC">
          <w:rPr>
            <w:rFonts w:asciiTheme="minorHAnsi" w:eastAsia="Times New Roman" w:hAnsiTheme="minorHAnsi" w:cstheme="minorHAnsi"/>
            <w:color w:val="608AD8"/>
            <w:szCs w:val="24"/>
            <w:u w:val="single"/>
            <w:bdr w:val="none" w:sz="0" w:space="0" w:color="auto" w:frame="1"/>
          </w:rPr>
          <w:t>“Bitcoin Standard”</w:t>
        </w:r>
      </w:hyperlink>
      <w:r w:rsidRPr="00810BEC">
        <w:rPr>
          <w:rFonts w:asciiTheme="minorHAnsi" w:eastAsia="Times New Roman" w:hAnsiTheme="minorHAnsi" w:cstheme="minorHAnsi"/>
          <w:color w:val="161F36"/>
          <w:szCs w:val="24"/>
        </w:rPr>
        <w:t> author Saifedean Ammous saying as much: </w:t>
      </w:r>
      <w:r w:rsidRPr="00810BEC">
        <w:rPr>
          <w:rFonts w:asciiTheme="minorHAnsi" w:eastAsia="Times New Roman" w:hAnsiTheme="minorHAnsi" w:cstheme="minorHAnsi"/>
          <w:i/>
          <w:iCs/>
          <w:color w:val="161F36"/>
          <w:szCs w:val="24"/>
          <w:bdr w:val="none" w:sz="0" w:space="0" w:color="auto" w:frame="1"/>
        </w:rPr>
        <w:t>“For gold, a price spike that causes a doubling of annual production will be insignificant, increasing stockpiles by 3% rather than 1.5%.”</w:t>
      </w:r>
    </w:p>
    <w:p w:rsidR="001507D3" w:rsidRPr="001507D3" w:rsidRDefault="00810BEC" w:rsidP="001507D3">
      <w:pPr>
        <w:pStyle w:val="Heading2"/>
        <w:shd w:val="clear" w:color="auto" w:fill="FFFFFF"/>
        <w:spacing w:before="300" w:after="300"/>
        <w:rPr>
          <w:rFonts w:asciiTheme="minorHAnsi" w:eastAsia="Times New Roman" w:hAnsiTheme="minorHAnsi" w:cstheme="minorHAnsi"/>
          <w:b/>
          <w:bCs/>
          <w:color w:val="161F36"/>
          <w:sz w:val="24"/>
          <w:szCs w:val="24"/>
        </w:rPr>
      </w:pPr>
      <w:r w:rsidRPr="00810BEC">
        <w:rPr>
          <w:rFonts w:asciiTheme="minorHAnsi" w:eastAsia="Times New Roman" w:hAnsiTheme="minorHAnsi" w:cstheme="minorHAnsi"/>
          <w:color w:val="161F36"/>
          <w:sz w:val="24"/>
          <w:szCs w:val="24"/>
        </w:rPr>
        <w:t>Perhaps unsurprisingly then, SF has no direct relationship with gold’s value over the last 115 years, as can be seen in the scatter plot below. Gold’s market capitalization held valuations between ~$60 billion to ~$9 trillion, all at the same SF value of 60. A range of $8 trillion is not very indicative of explanatory power and lends itself to the obvious conclusion that other factors drive gold’s USD valuation.</w:t>
      </w:r>
      <w:r w:rsidR="001507D3">
        <w:rPr>
          <w:rFonts w:asciiTheme="minorHAnsi" w:eastAsia="Times New Roman" w:hAnsiTheme="minorHAnsi" w:cstheme="minorHAnsi"/>
          <w:color w:val="161F36"/>
          <w:szCs w:val="24"/>
        </w:rPr>
        <w:t xml:space="preserve"> </w:t>
      </w:r>
      <w:r w:rsidR="001507D3" w:rsidRPr="001507D3">
        <w:rPr>
          <w:rFonts w:asciiTheme="minorHAnsi" w:eastAsia="Times New Roman" w:hAnsiTheme="minorHAnsi" w:cstheme="minorHAnsi"/>
          <w:b/>
          <w:bCs/>
          <w:color w:val="161F36"/>
          <w:sz w:val="24"/>
          <w:szCs w:val="24"/>
        </w:rPr>
        <w:t>$235 billion bitcoin to infinity</w:t>
      </w:r>
    </w:p>
    <w:p w:rsidR="001507D3" w:rsidRPr="001507D3" w:rsidRDefault="001507D3" w:rsidP="001507D3">
      <w:pPr>
        <w:shd w:val="clear" w:color="auto" w:fill="FFFFFF"/>
        <w:spacing w:after="0" w:line="240" w:lineRule="auto"/>
        <w:ind w:left="0" w:firstLine="0"/>
        <w:jc w:val="left"/>
        <w:rPr>
          <w:rFonts w:asciiTheme="minorHAnsi" w:eastAsia="Times New Roman" w:hAnsiTheme="minorHAnsi" w:cstheme="minorHAnsi"/>
          <w:color w:val="161F36"/>
          <w:szCs w:val="24"/>
        </w:rPr>
      </w:pPr>
      <w:r w:rsidRPr="001507D3">
        <w:rPr>
          <w:rFonts w:asciiTheme="minorHAnsi" w:eastAsia="Times New Roman" w:hAnsiTheme="minorHAnsi" w:cstheme="minorHAnsi"/>
          <w:color w:val="161F36"/>
          <w:szCs w:val="24"/>
        </w:rPr>
        <w:t>An entire overview of linear regression and its mathematical basis is beyond the scope of this analysis. However, there are several implementation errors well-established in the </w:t>
      </w:r>
      <w:hyperlink r:id="rId16" w:tgtFrame="_blank" w:history="1">
        <w:r w:rsidRPr="001507D3">
          <w:rPr>
            <w:rFonts w:asciiTheme="minorHAnsi" w:eastAsia="Times New Roman" w:hAnsiTheme="minorHAnsi" w:cstheme="minorHAnsi"/>
            <w:color w:val="608AD8"/>
            <w:szCs w:val="24"/>
            <w:u w:val="single"/>
            <w:bdr w:val="none" w:sz="0" w:space="0" w:color="auto" w:frame="1"/>
          </w:rPr>
          <w:t>research community</w:t>
        </w:r>
      </w:hyperlink>
      <w:r w:rsidRPr="001507D3">
        <w:rPr>
          <w:rFonts w:asciiTheme="minorHAnsi" w:eastAsia="Times New Roman" w:hAnsiTheme="minorHAnsi" w:cstheme="minorHAnsi"/>
          <w:color w:val="161F36"/>
          <w:szCs w:val="24"/>
        </w:rPr>
        <w:t> that demonstrate why the SF model is likely to be spurious. Obscure math has allowed SF proponents to dismiss all criticism so it may be more intuitive to understand conceptually why the SF model is irrelevant for future price predictions.</w:t>
      </w:r>
    </w:p>
    <w:p w:rsidR="001507D3" w:rsidRPr="001507D3" w:rsidRDefault="001507D3" w:rsidP="001507D3">
      <w:pPr>
        <w:shd w:val="clear" w:color="auto" w:fill="FFFFFF"/>
        <w:spacing w:after="0" w:line="240" w:lineRule="auto"/>
        <w:ind w:left="0" w:firstLine="0"/>
        <w:jc w:val="left"/>
        <w:rPr>
          <w:rFonts w:asciiTheme="minorHAnsi" w:eastAsia="Times New Roman" w:hAnsiTheme="minorHAnsi" w:cstheme="minorHAnsi"/>
          <w:color w:val="161F36"/>
          <w:szCs w:val="24"/>
        </w:rPr>
      </w:pPr>
      <w:r w:rsidRPr="001507D3">
        <w:rPr>
          <w:rFonts w:asciiTheme="minorHAnsi" w:eastAsia="Times New Roman" w:hAnsiTheme="minorHAnsi" w:cstheme="minorHAnsi"/>
          <w:color w:val="161F36"/>
          <w:szCs w:val="24"/>
        </w:rPr>
        <w:t>The model supplied in the SF paper is the same slope-intercept equation everyone learns in 7</w:t>
      </w:r>
      <w:r w:rsidRPr="001507D3">
        <w:rPr>
          <w:rFonts w:asciiTheme="minorHAnsi" w:eastAsia="Times New Roman" w:hAnsiTheme="minorHAnsi" w:cstheme="minorHAnsi"/>
          <w:color w:val="161F36"/>
          <w:szCs w:val="24"/>
          <w:bdr w:val="none" w:sz="0" w:space="0" w:color="auto" w:frame="1"/>
          <w:vertAlign w:val="superscript"/>
        </w:rPr>
        <w:t>th </w:t>
      </w:r>
      <w:r w:rsidRPr="001507D3">
        <w:rPr>
          <w:rFonts w:asciiTheme="minorHAnsi" w:eastAsia="Times New Roman" w:hAnsiTheme="minorHAnsi" w:cstheme="minorHAnsi"/>
          <w:color w:val="161F36"/>
          <w:szCs w:val="24"/>
        </w:rPr>
        <w:t>grade: </w:t>
      </w:r>
      <w:r w:rsidRPr="001507D3">
        <w:rPr>
          <w:rFonts w:asciiTheme="minorHAnsi" w:eastAsia="Times New Roman" w:hAnsiTheme="minorHAnsi" w:cstheme="minorHAnsi"/>
          <w:i/>
          <w:iCs/>
          <w:color w:val="161F36"/>
          <w:szCs w:val="24"/>
          <w:bdr w:val="none" w:sz="0" w:space="0" w:color="auto" w:frame="1"/>
        </w:rPr>
        <w:t>y = mx + b</w:t>
      </w:r>
      <w:r w:rsidRPr="001507D3">
        <w:rPr>
          <w:rFonts w:asciiTheme="minorHAnsi" w:eastAsia="Times New Roman" w:hAnsiTheme="minorHAnsi" w:cstheme="minorHAnsi"/>
          <w:color w:val="161F36"/>
          <w:szCs w:val="24"/>
        </w:rPr>
        <w:t>. An ordinary-least-squares (OLS) regression is not a predictive model but rather an estimation of the </w:t>
      </w:r>
      <w:r w:rsidRPr="001507D3">
        <w:rPr>
          <w:rFonts w:asciiTheme="minorHAnsi" w:eastAsia="Times New Roman" w:hAnsiTheme="minorHAnsi" w:cstheme="minorHAnsi"/>
          <w:i/>
          <w:iCs/>
          <w:color w:val="161F36"/>
          <w:szCs w:val="24"/>
          <w:bdr w:val="none" w:sz="0" w:space="0" w:color="auto" w:frame="1"/>
        </w:rPr>
        <w:t>m</w:t>
      </w:r>
      <w:r w:rsidRPr="001507D3">
        <w:rPr>
          <w:rFonts w:asciiTheme="minorHAnsi" w:eastAsia="Times New Roman" w:hAnsiTheme="minorHAnsi" w:cstheme="minorHAnsi"/>
          <w:color w:val="161F36"/>
          <w:szCs w:val="24"/>
        </w:rPr>
        <w:t> and </w:t>
      </w:r>
      <w:r w:rsidRPr="001507D3">
        <w:rPr>
          <w:rFonts w:asciiTheme="minorHAnsi" w:eastAsia="Times New Roman" w:hAnsiTheme="minorHAnsi" w:cstheme="minorHAnsi"/>
          <w:i/>
          <w:iCs/>
          <w:color w:val="161F36"/>
          <w:szCs w:val="24"/>
          <w:bdr w:val="none" w:sz="0" w:space="0" w:color="auto" w:frame="1"/>
        </w:rPr>
        <w:t>b</w:t>
      </w:r>
      <w:r w:rsidRPr="001507D3">
        <w:rPr>
          <w:rFonts w:asciiTheme="minorHAnsi" w:eastAsia="Times New Roman" w:hAnsiTheme="minorHAnsi" w:cstheme="minorHAnsi"/>
          <w:color w:val="161F36"/>
          <w:szCs w:val="24"/>
        </w:rPr>
        <w:t> values that minimize the difference between the actual </w:t>
      </w:r>
      <w:r w:rsidRPr="001507D3">
        <w:rPr>
          <w:rFonts w:asciiTheme="minorHAnsi" w:eastAsia="Times New Roman" w:hAnsiTheme="minorHAnsi" w:cstheme="minorHAnsi"/>
          <w:i/>
          <w:iCs/>
          <w:color w:val="161F36"/>
          <w:szCs w:val="24"/>
          <w:bdr w:val="none" w:sz="0" w:space="0" w:color="auto" w:frame="1"/>
        </w:rPr>
        <w:t>y</w:t>
      </w:r>
      <w:r w:rsidRPr="001507D3">
        <w:rPr>
          <w:rFonts w:asciiTheme="minorHAnsi" w:eastAsia="Times New Roman" w:hAnsiTheme="minorHAnsi" w:cstheme="minorHAnsi"/>
          <w:color w:val="161F36"/>
          <w:szCs w:val="24"/>
        </w:rPr>
        <w:t> values and the estimated </w:t>
      </w:r>
      <w:r w:rsidRPr="001507D3">
        <w:rPr>
          <w:rFonts w:asciiTheme="minorHAnsi" w:eastAsia="Times New Roman" w:hAnsiTheme="minorHAnsi" w:cstheme="minorHAnsi"/>
          <w:i/>
          <w:iCs/>
          <w:color w:val="161F36"/>
          <w:szCs w:val="24"/>
          <w:bdr w:val="none" w:sz="0" w:space="0" w:color="auto" w:frame="1"/>
        </w:rPr>
        <w:t>y</w:t>
      </w:r>
      <w:r w:rsidRPr="001507D3">
        <w:rPr>
          <w:rFonts w:asciiTheme="minorHAnsi" w:eastAsia="Times New Roman" w:hAnsiTheme="minorHAnsi" w:cstheme="minorHAnsi"/>
          <w:color w:val="161F36"/>
          <w:szCs w:val="24"/>
        </w:rPr>
        <w:t> values given by the equation </w:t>
      </w:r>
      <w:r w:rsidRPr="001507D3">
        <w:rPr>
          <w:rFonts w:asciiTheme="minorHAnsi" w:eastAsia="Times New Roman" w:hAnsiTheme="minorHAnsi" w:cstheme="minorHAnsi"/>
          <w:i/>
          <w:iCs/>
          <w:color w:val="161F36"/>
          <w:szCs w:val="24"/>
          <w:bdr w:val="none" w:sz="0" w:space="0" w:color="auto" w:frame="1"/>
        </w:rPr>
        <w:t>mx+b</w:t>
      </w:r>
      <w:r w:rsidRPr="001507D3">
        <w:rPr>
          <w:rFonts w:asciiTheme="minorHAnsi" w:eastAsia="Times New Roman" w:hAnsiTheme="minorHAnsi" w:cstheme="minorHAnsi"/>
          <w:color w:val="161F36"/>
          <w:szCs w:val="24"/>
        </w:rPr>
        <w:t>. In other words, every change in </w:t>
      </w:r>
      <w:r w:rsidRPr="001507D3">
        <w:rPr>
          <w:rFonts w:asciiTheme="minorHAnsi" w:eastAsia="Times New Roman" w:hAnsiTheme="minorHAnsi" w:cstheme="minorHAnsi"/>
          <w:i/>
          <w:iCs/>
          <w:color w:val="161F36"/>
          <w:szCs w:val="24"/>
          <w:bdr w:val="none" w:sz="0" w:space="0" w:color="auto" w:frame="1"/>
        </w:rPr>
        <w:t>x</w:t>
      </w:r>
      <w:r w:rsidRPr="001507D3">
        <w:rPr>
          <w:rFonts w:asciiTheme="minorHAnsi" w:eastAsia="Times New Roman" w:hAnsiTheme="minorHAnsi" w:cstheme="minorHAnsi"/>
          <w:color w:val="161F36"/>
          <w:szCs w:val="24"/>
        </w:rPr>
        <w:t> equates to a corresponding change in </w:t>
      </w:r>
      <w:r w:rsidRPr="001507D3">
        <w:rPr>
          <w:rFonts w:asciiTheme="minorHAnsi" w:eastAsia="Times New Roman" w:hAnsiTheme="minorHAnsi" w:cstheme="minorHAnsi"/>
          <w:i/>
          <w:iCs/>
          <w:color w:val="161F36"/>
          <w:szCs w:val="24"/>
          <w:bdr w:val="none" w:sz="0" w:space="0" w:color="auto" w:frame="1"/>
        </w:rPr>
        <w:t>y</w:t>
      </w:r>
      <w:r w:rsidRPr="001507D3">
        <w:rPr>
          <w:rFonts w:asciiTheme="minorHAnsi" w:eastAsia="Times New Roman" w:hAnsiTheme="minorHAnsi" w:cstheme="minorHAnsi"/>
          <w:color w:val="161F36"/>
          <w:szCs w:val="24"/>
        </w:rPr>
        <w:t>.</w:t>
      </w:r>
    </w:p>
    <w:p w:rsidR="001507D3" w:rsidRPr="001507D3" w:rsidRDefault="001507D3" w:rsidP="001507D3">
      <w:pPr>
        <w:shd w:val="clear" w:color="auto" w:fill="FFFFFF"/>
        <w:spacing w:before="300" w:after="300" w:line="240" w:lineRule="auto"/>
        <w:ind w:left="0" w:firstLine="0"/>
        <w:jc w:val="left"/>
        <w:outlineLvl w:val="1"/>
        <w:rPr>
          <w:rFonts w:asciiTheme="minorHAnsi" w:eastAsia="Times New Roman" w:hAnsiTheme="minorHAnsi" w:cstheme="minorHAnsi"/>
          <w:b/>
          <w:bCs/>
          <w:color w:val="161F36"/>
          <w:szCs w:val="24"/>
        </w:rPr>
      </w:pPr>
      <w:r w:rsidRPr="001507D3">
        <w:rPr>
          <w:rFonts w:asciiTheme="minorHAnsi" w:eastAsia="Times New Roman" w:hAnsiTheme="minorHAnsi" w:cstheme="minorHAnsi"/>
          <w:b/>
          <w:bCs/>
          <w:color w:val="161F36"/>
          <w:szCs w:val="24"/>
        </w:rPr>
        <w:t>Marketing piece</w:t>
      </w:r>
    </w:p>
    <w:p w:rsidR="001507D3" w:rsidRPr="001507D3" w:rsidRDefault="001507D3" w:rsidP="001507D3">
      <w:pPr>
        <w:shd w:val="clear" w:color="auto" w:fill="FFFFFF"/>
        <w:spacing w:after="0" w:line="240" w:lineRule="auto"/>
        <w:ind w:left="0" w:firstLine="0"/>
        <w:jc w:val="left"/>
        <w:rPr>
          <w:rFonts w:asciiTheme="minorHAnsi" w:eastAsia="Times New Roman" w:hAnsiTheme="minorHAnsi" w:cstheme="minorHAnsi"/>
          <w:color w:val="161F36"/>
          <w:szCs w:val="24"/>
        </w:rPr>
      </w:pPr>
      <w:r w:rsidRPr="001507D3">
        <w:rPr>
          <w:rFonts w:asciiTheme="minorHAnsi" w:eastAsia="Times New Roman" w:hAnsiTheme="minorHAnsi" w:cstheme="minorHAnsi"/>
          <w:color w:val="161F36"/>
          <w:szCs w:val="24"/>
        </w:rPr>
        <w:t>Darrell Huff wrote in “</w:t>
      </w:r>
      <w:hyperlink r:id="rId17" w:tgtFrame="_blank" w:history="1">
        <w:r w:rsidRPr="001507D3">
          <w:rPr>
            <w:rFonts w:asciiTheme="minorHAnsi" w:eastAsia="Times New Roman" w:hAnsiTheme="minorHAnsi" w:cstheme="minorHAnsi"/>
            <w:color w:val="608AD8"/>
            <w:szCs w:val="24"/>
            <w:u w:val="single"/>
            <w:bdr w:val="none" w:sz="0" w:space="0" w:color="auto" w:frame="1"/>
          </w:rPr>
          <w:t>How to Lie with Statistics</w:t>
        </w:r>
      </w:hyperlink>
      <w:r w:rsidRPr="001507D3">
        <w:rPr>
          <w:rFonts w:asciiTheme="minorHAnsi" w:eastAsia="Times New Roman" w:hAnsiTheme="minorHAnsi" w:cstheme="minorHAnsi"/>
          <w:color w:val="161F36"/>
          <w:szCs w:val="24"/>
        </w:rPr>
        <w:t>“: “Many a statistic is false on its face. It gets by only because the magic of numbers brings about a suspension of common sense.” Upon reflection, few would take seriously the idea that gold’s USD price is a function of its own supply rate and therefore so is bitcoin’s.</w:t>
      </w:r>
      <w:bookmarkStart w:id="0" w:name="_GoBack"/>
      <w:bookmarkEnd w:id="0"/>
      <w:r w:rsidRPr="001507D3">
        <w:rPr>
          <w:rFonts w:asciiTheme="minorHAnsi" w:eastAsia="Times New Roman" w:hAnsiTheme="minorHAnsi" w:cstheme="minorHAnsi"/>
          <w:color w:val="161F36"/>
          <w:szCs w:val="24"/>
        </w:rPr>
        <w:t xml:space="preserve"> Yet, </w:t>
      </w:r>
      <w:r w:rsidRPr="001507D3">
        <w:rPr>
          <w:rFonts w:asciiTheme="minorHAnsi" w:eastAsia="Times New Roman" w:hAnsiTheme="minorHAnsi" w:cstheme="minorHAnsi"/>
          <w:color w:val="161F36"/>
          <w:szCs w:val="24"/>
        </w:rPr>
        <w:lastRenderedPageBreak/>
        <w:t>the supposed mathematical precision presented in the paper has resulted in the SF model continuing to be heavily promoted in both retail and professional investment channels. </w:t>
      </w:r>
    </w:p>
    <w:p w:rsidR="001507D3" w:rsidRPr="001507D3" w:rsidRDefault="001507D3" w:rsidP="001507D3">
      <w:pPr>
        <w:shd w:val="clear" w:color="auto" w:fill="FFFFFF"/>
        <w:spacing w:after="270" w:line="240" w:lineRule="auto"/>
        <w:ind w:left="0" w:firstLine="0"/>
        <w:jc w:val="left"/>
        <w:rPr>
          <w:rFonts w:asciiTheme="minorHAnsi" w:eastAsia="Times New Roman" w:hAnsiTheme="minorHAnsi" w:cstheme="minorHAnsi"/>
          <w:color w:val="161F36"/>
          <w:szCs w:val="24"/>
        </w:rPr>
      </w:pPr>
      <w:r w:rsidRPr="001507D3">
        <w:rPr>
          <w:rFonts w:asciiTheme="minorHAnsi" w:eastAsia="Times New Roman" w:hAnsiTheme="minorHAnsi" w:cstheme="minorHAnsi"/>
          <w:color w:val="161F36"/>
          <w:szCs w:val="24"/>
        </w:rPr>
        <w:t>Investors should be highly skeptical of this model even if they believe bitcoin is digital gold. The SF paper is not proper empirical analysis, but more akin to a marketing piece in which the author is trying to convince readers that bitcoin is going to be worth a lot more tomorrow. This may or may not turn out true, but it has little to do with bitcoin’s supply schedule.</w:t>
      </w:r>
    </w:p>
    <w:p w:rsidR="00810BEC" w:rsidRPr="00810BEC" w:rsidRDefault="00810BEC" w:rsidP="00810BEC">
      <w:pPr>
        <w:shd w:val="clear" w:color="auto" w:fill="FFFFFF"/>
        <w:spacing w:after="270" w:line="240" w:lineRule="auto"/>
        <w:ind w:left="0" w:firstLine="0"/>
        <w:jc w:val="left"/>
        <w:rPr>
          <w:rFonts w:asciiTheme="minorHAnsi" w:eastAsia="Times New Roman" w:hAnsiTheme="minorHAnsi" w:cstheme="minorHAnsi"/>
          <w:color w:val="161F36"/>
          <w:szCs w:val="24"/>
        </w:rPr>
      </w:pPr>
    </w:p>
    <w:p w:rsidR="00810BEC" w:rsidRPr="00810BEC" w:rsidRDefault="00810BEC" w:rsidP="00810BEC">
      <w:pPr>
        <w:pStyle w:val="text"/>
        <w:shd w:val="clear" w:color="auto" w:fill="FFFFFF"/>
        <w:spacing w:before="0" w:beforeAutospacing="0" w:after="270" w:afterAutospacing="0"/>
        <w:rPr>
          <w:rFonts w:asciiTheme="minorHAnsi" w:hAnsiTheme="minorHAnsi" w:cstheme="minorHAnsi"/>
          <w:color w:val="161F36"/>
        </w:rPr>
      </w:pPr>
    </w:p>
    <w:p w:rsidR="00810BEC" w:rsidRPr="00810BEC" w:rsidRDefault="00810BEC" w:rsidP="00810BEC">
      <w:pPr>
        <w:shd w:val="clear" w:color="auto" w:fill="FFFFFF"/>
        <w:spacing w:before="206" w:after="0" w:line="480" w:lineRule="atLeast"/>
        <w:ind w:left="0" w:firstLine="0"/>
        <w:jc w:val="left"/>
        <w:rPr>
          <w:rFonts w:asciiTheme="minorHAnsi" w:hAnsiTheme="minorHAnsi" w:cstheme="minorHAnsi"/>
          <w:szCs w:val="24"/>
        </w:rPr>
      </w:pPr>
    </w:p>
    <w:sectPr w:rsidR="00810BEC" w:rsidRPr="00810BEC">
      <w:footerReference w:type="even" r:id="rId18"/>
      <w:footerReference w:type="default" r:id="rId19"/>
      <w:footerReference w:type="first" r:id="rId20"/>
      <w:pgSz w:w="12240" w:h="15840"/>
      <w:pgMar w:top="2576" w:right="2215" w:bottom="2325" w:left="2217"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FBE" w:rsidRDefault="00163FBE">
      <w:pPr>
        <w:spacing w:after="0" w:line="240" w:lineRule="auto"/>
      </w:pPr>
      <w:r>
        <w:separator/>
      </w:r>
    </w:p>
  </w:endnote>
  <w:endnote w:type="continuationSeparator" w:id="0">
    <w:p w:rsidR="00163FBE" w:rsidRDefault="0016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85D" w:rsidRDefault="00163FBE">
    <w:pPr>
      <w:spacing w:after="0" w:line="259" w:lineRule="auto"/>
      <w:ind w:left="0" w:right="37"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85D" w:rsidRDefault="00163FBE">
    <w:pPr>
      <w:spacing w:after="0" w:line="259" w:lineRule="auto"/>
      <w:ind w:left="0" w:right="37" w:firstLine="0"/>
      <w:jc w:val="center"/>
    </w:pPr>
    <w:r>
      <w:fldChar w:fldCharType="begin"/>
    </w:r>
    <w:r>
      <w:instrText xml:space="preserve"> PAGE   \* MERGEFORMAT </w:instrText>
    </w:r>
    <w:r>
      <w:fldChar w:fldCharType="separate"/>
    </w:r>
    <w:r w:rsidR="001507D3">
      <w:rPr>
        <w:noProof/>
      </w:rPr>
      <w:t>9</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85D" w:rsidRDefault="009C085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FBE" w:rsidRDefault="00163FBE">
      <w:pPr>
        <w:spacing w:after="0" w:line="240" w:lineRule="auto"/>
      </w:pPr>
      <w:r>
        <w:separator/>
      </w:r>
    </w:p>
  </w:footnote>
  <w:footnote w:type="continuationSeparator" w:id="0">
    <w:p w:rsidR="00163FBE" w:rsidRDefault="00163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1447E"/>
    <w:multiLevelType w:val="multilevel"/>
    <w:tmpl w:val="C1FA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A3333"/>
    <w:multiLevelType w:val="multilevel"/>
    <w:tmpl w:val="BCE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A1EF5"/>
    <w:multiLevelType w:val="hybridMultilevel"/>
    <w:tmpl w:val="ABA42274"/>
    <w:lvl w:ilvl="0" w:tplc="46EC4C72">
      <w:start w:val="2"/>
      <w:numFmt w:val="lowerLetter"/>
      <w:lvlText w:val="%1."/>
      <w:lvlJc w:val="left"/>
      <w:pPr>
        <w:ind w:left="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D967CD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5CEB97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4AA3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34BEB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D6AF7C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C0EA8F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06C85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4586EA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7F3777"/>
    <w:multiLevelType w:val="hybridMultilevel"/>
    <w:tmpl w:val="3BC44BE2"/>
    <w:lvl w:ilvl="0" w:tplc="AFF8595E">
      <w:start w:val="2"/>
      <w:numFmt w:val="lowerLetter"/>
      <w:lvlText w:val="%1."/>
      <w:lvlJc w:val="left"/>
      <w:pPr>
        <w:ind w:left="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82DA6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7A624C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F2C2BB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52E783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544097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34A47E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C8CC9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A8416D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C72A72"/>
    <w:multiLevelType w:val="multilevel"/>
    <w:tmpl w:val="4786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5D"/>
    <w:rsid w:val="001507D3"/>
    <w:rsid w:val="00163FBE"/>
    <w:rsid w:val="007F36E7"/>
    <w:rsid w:val="00810BEC"/>
    <w:rsid w:val="008D1D96"/>
    <w:rsid w:val="009C085D"/>
    <w:rsid w:val="00F0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0341"/>
  <w15:docId w15:val="{83A0CEAA-5BBA-448E-990B-09F3F10E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0" w:line="265" w:lineRule="auto"/>
      <w:ind w:left="10" w:hanging="10"/>
      <w:jc w:val="both"/>
    </w:pPr>
    <w:rPr>
      <w:rFonts w:ascii="Cambria" w:eastAsia="Cambria" w:hAnsi="Cambria" w:cs="Cambria"/>
      <w:color w:val="000000"/>
      <w:sz w:val="24"/>
    </w:rPr>
  </w:style>
  <w:style w:type="paragraph" w:styleId="Heading2">
    <w:name w:val="heading 2"/>
    <w:basedOn w:val="Normal"/>
    <w:next w:val="Normal"/>
    <w:link w:val="Heading2Char"/>
    <w:uiPriority w:val="9"/>
    <w:semiHidden/>
    <w:unhideWhenUsed/>
    <w:qFormat/>
    <w:rsid w:val="00150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
    <w:name w:val="hc"/>
    <w:basedOn w:val="Normal"/>
    <w:rsid w:val="007F36E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7F36E7"/>
    <w:rPr>
      <w:color w:val="0000FF"/>
      <w:u w:val="single"/>
    </w:rPr>
  </w:style>
  <w:style w:type="character" w:styleId="Strong">
    <w:name w:val="Strong"/>
    <w:basedOn w:val="DefaultParagraphFont"/>
    <w:uiPriority w:val="22"/>
    <w:qFormat/>
    <w:rsid w:val="00810BEC"/>
    <w:rPr>
      <w:b/>
      <w:bCs/>
    </w:rPr>
  </w:style>
  <w:style w:type="paragraph" w:customStyle="1" w:styleId="text">
    <w:name w:val="text"/>
    <w:basedOn w:val="Normal"/>
    <w:rsid w:val="00810BE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semiHidden/>
    <w:rsid w:val="001507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9247">
      <w:bodyDiv w:val="1"/>
      <w:marLeft w:val="0"/>
      <w:marRight w:val="0"/>
      <w:marTop w:val="0"/>
      <w:marBottom w:val="0"/>
      <w:divBdr>
        <w:top w:val="none" w:sz="0" w:space="0" w:color="auto"/>
        <w:left w:val="none" w:sz="0" w:space="0" w:color="auto"/>
        <w:bottom w:val="none" w:sz="0" w:space="0" w:color="auto"/>
        <w:right w:val="none" w:sz="0" w:space="0" w:color="auto"/>
      </w:divBdr>
      <w:divsChild>
        <w:div w:id="1250046171">
          <w:marLeft w:val="0"/>
          <w:marRight w:val="0"/>
          <w:marTop w:val="0"/>
          <w:marBottom w:val="0"/>
          <w:divBdr>
            <w:top w:val="none" w:sz="0" w:space="0" w:color="auto"/>
            <w:left w:val="none" w:sz="0" w:space="0" w:color="auto"/>
            <w:bottom w:val="none" w:sz="0" w:space="0" w:color="auto"/>
            <w:right w:val="none" w:sz="0" w:space="0" w:color="auto"/>
          </w:divBdr>
        </w:div>
        <w:div w:id="1754861375">
          <w:marLeft w:val="0"/>
          <w:marRight w:val="0"/>
          <w:marTop w:val="0"/>
          <w:marBottom w:val="0"/>
          <w:divBdr>
            <w:top w:val="none" w:sz="0" w:space="0" w:color="auto"/>
            <w:left w:val="none" w:sz="0" w:space="0" w:color="auto"/>
            <w:bottom w:val="none" w:sz="0" w:space="0" w:color="auto"/>
            <w:right w:val="none" w:sz="0" w:space="0" w:color="auto"/>
          </w:divBdr>
        </w:div>
        <w:div w:id="1946963582">
          <w:marLeft w:val="0"/>
          <w:marRight w:val="0"/>
          <w:marTop w:val="0"/>
          <w:marBottom w:val="0"/>
          <w:divBdr>
            <w:top w:val="none" w:sz="0" w:space="0" w:color="auto"/>
            <w:left w:val="none" w:sz="0" w:space="0" w:color="auto"/>
            <w:bottom w:val="none" w:sz="0" w:space="0" w:color="auto"/>
            <w:right w:val="none" w:sz="0" w:space="0" w:color="auto"/>
          </w:divBdr>
        </w:div>
        <w:div w:id="1659580263">
          <w:marLeft w:val="0"/>
          <w:marRight w:val="0"/>
          <w:marTop w:val="0"/>
          <w:marBottom w:val="0"/>
          <w:divBdr>
            <w:top w:val="none" w:sz="0" w:space="0" w:color="auto"/>
            <w:left w:val="none" w:sz="0" w:space="0" w:color="auto"/>
            <w:bottom w:val="none" w:sz="0" w:space="0" w:color="auto"/>
            <w:right w:val="none" w:sz="0" w:space="0" w:color="auto"/>
          </w:divBdr>
        </w:div>
        <w:div w:id="493498547">
          <w:marLeft w:val="0"/>
          <w:marRight w:val="0"/>
          <w:marTop w:val="0"/>
          <w:marBottom w:val="0"/>
          <w:divBdr>
            <w:top w:val="none" w:sz="0" w:space="0" w:color="auto"/>
            <w:left w:val="none" w:sz="0" w:space="0" w:color="auto"/>
            <w:bottom w:val="none" w:sz="0" w:space="0" w:color="auto"/>
            <w:right w:val="none" w:sz="0" w:space="0" w:color="auto"/>
          </w:divBdr>
        </w:div>
        <w:div w:id="1662540223">
          <w:marLeft w:val="300"/>
          <w:marRight w:val="0"/>
          <w:marTop w:val="600"/>
          <w:marBottom w:val="675"/>
          <w:divBdr>
            <w:top w:val="none" w:sz="0" w:space="0" w:color="auto"/>
            <w:left w:val="none" w:sz="0" w:space="0" w:color="auto"/>
            <w:bottom w:val="none" w:sz="0" w:space="0" w:color="auto"/>
            <w:right w:val="none" w:sz="0" w:space="0" w:color="auto"/>
          </w:divBdr>
        </w:div>
        <w:div w:id="465781765">
          <w:marLeft w:val="0"/>
          <w:marRight w:val="0"/>
          <w:marTop w:val="0"/>
          <w:marBottom w:val="0"/>
          <w:divBdr>
            <w:top w:val="none" w:sz="0" w:space="0" w:color="auto"/>
            <w:left w:val="none" w:sz="0" w:space="0" w:color="auto"/>
            <w:bottom w:val="none" w:sz="0" w:space="0" w:color="auto"/>
            <w:right w:val="none" w:sz="0" w:space="0" w:color="auto"/>
          </w:divBdr>
        </w:div>
        <w:div w:id="479201690">
          <w:marLeft w:val="0"/>
          <w:marRight w:val="0"/>
          <w:marTop w:val="0"/>
          <w:marBottom w:val="0"/>
          <w:divBdr>
            <w:top w:val="none" w:sz="0" w:space="0" w:color="auto"/>
            <w:left w:val="none" w:sz="0" w:space="0" w:color="auto"/>
            <w:bottom w:val="none" w:sz="0" w:space="0" w:color="auto"/>
            <w:right w:val="none" w:sz="0" w:space="0" w:color="auto"/>
          </w:divBdr>
        </w:div>
        <w:div w:id="1748459713">
          <w:marLeft w:val="0"/>
          <w:marRight w:val="0"/>
          <w:marTop w:val="0"/>
          <w:marBottom w:val="0"/>
          <w:divBdr>
            <w:top w:val="none" w:sz="0" w:space="0" w:color="auto"/>
            <w:left w:val="none" w:sz="0" w:space="0" w:color="auto"/>
            <w:bottom w:val="none" w:sz="0" w:space="0" w:color="auto"/>
            <w:right w:val="none" w:sz="0" w:space="0" w:color="auto"/>
          </w:divBdr>
        </w:div>
        <w:div w:id="2115437843">
          <w:marLeft w:val="0"/>
          <w:marRight w:val="0"/>
          <w:marTop w:val="0"/>
          <w:marBottom w:val="0"/>
          <w:divBdr>
            <w:top w:val="none" w:sz="0" w:space="0" w:color="auto"/>
            <w:left w:val="none" w:sz="0" w:space="0" w:color="auto"/>
            <w:bottom w:val="none" w:sz="0" w:space="0" w:color="auto"/>
            <w:right w:val="none" w:sz="0" w:space="0" w:color="auto"/>
          </w:divBdr>
        </w:div>
        <w:div w:id="842627087">
          <w:marLeft w:val="0"/>
          <w:marRight w:val="0"/>
          <w:marTop w:val="0"/>
          <w:marBottom w:val="0"/>
          <w:divBdr>
            <w:top w:val="none" w:sz="0" w:space="0" w:color="auto"/>
            <w:left w:val="none" w:sz="0" w:space="0" w:color="auto"/>
            <w:bottom w:val="none" w:sz="0" w:space="0" w:color="auto"/>
            <w:right w:val="none" w:sz="0" w:space="0" w:color="auto"/>
          </w:divBdr>
        </w:div>
      </w:divsChild>
    </w:div>
    <w:div w:id="204950336">
      <w:bodyDiv w:val="1"/>
      <w:marLeft w:val="0"/>
      <w:marRight w:val="0"/>
      <w:marTop w:val="0"/>
      <w:marBottom w:val="0"/>
      <w:divBdr>
        <w:top w:val="none" w:sz="0" w:space="0" w:color="auto"/>
        <w:left w:val="none" w:sz="0" w:space="0" w:color="auto"/>
        <w:bottom w:val="none" w:sz="0" w:space="0" w:color="auto"/>
        <w:right w:val="none" w:sz="0" w:space="0" w:color="auto"/>
      </w:divBdr>
    </w:div>
    <w:div w:id="305285255">
      <w:bodyDiv w:val="1"/>
      <w:marLeft w:val="0"/>
      <w:marRight w:val="0"/>
      <w:marTop w:val="0"/>
      <w:marBottom w:val="0"/>
      <w:divBdr>
        <w:top w:val="none" w:sz="0" w:space="0" w:color="auto"/>
        <w:left w:val="none" w:sz="0" w:space="0" w:color="auto"/>
        <w:bottom w:val="none" w:sz="0" w:space="0" w:color="auto"/>
        <w:right w:val="none" w:sz="0" w:space="0" w:color="auto"/>
      </w:divBdr>
    </w:div>
    <w:div w:id="486215125">
      <w:bodyDiv w:val="1"/>
      <w:marLeft w:val="0"/>
      <w:marRight w:val="0"/>
      <w:marTop w:val="0"/>
      <w:marBottom w:val="0"/>
      <w:divBdr>
        <w:top w:val="none" w:sz="0" w:space="0" w:color="auto"/>
        <w:left w:val="none" w:sz="0" w:space="0" w:color="auto"/>
        <w:bottom w:val="none" w:sz="0" w:space="0" w:color="auto"/>
        <w:right w:val="none" w:sz="0" w:space="0" w:color="auto"/>
      </w:divBdr>
      <w:divsChild>
        <w:div w:id="1856920504">
          <w:marLeft w:val="0"/>
          <w:marRight w:val="0"/>
          <w:marTop w:val="0"/>
          <w:marBottom w:val="0"/>
          <w:divBdr>
            <w:top w:val="none" w:sz="0" w:space="0" w:color="auto"/>
            <w:left w:val="none" w:sz="0" w:space="0" w:color="auto"/>
            <w:bottom w:val="none" w:sz="0" w:space="0" w:color="auto"/>
            <w:right w:val="none" w:sz="0" w:space="0" w:color="auto"/>
          </w:divBdr>
        </w:div>
        <w:div w:id="1336810802">
          <w:marLeft w:val="0"/>
          <w:marRight w:val="0"/>
          <w:marTop w:val="0"/>
          <w:marBottom w:val="0"/>
          <w:divBdr>
            <w:top w:val="none" w:sz="0" w:space="0" w:color="auto"/>
            <w:left w:val="none" w:sz="0" w:space="0" w:color="auto"/>
            <w:bottom w:val="none" w:sz="0" w:space="0" w:color="auto"/>
            <w:right w:val="none" w:sz="0" w:space="0" w:color="auto"/>
          </w:divBdr>
        </w:div>
        <w:div w:id="480658878">
          <w:marLeft w:val="0"/>
          <w:marRight w:val="0"/>
          <w:marTop w:val="0"/>
          <w:marBottom w:val="0"/>
          <w:divBdr>
            <w:top w:val="none" w:sz="0" w:space="0" w:color="auto"/>
            <w:left w:val="none" w:sz="0" w:space="0" w:color="auto"/>
            <w:bottom w:val="none" w:sz="0" w:space="0" w:color="auto"/>
            <w:right w:val="none" w:sz="0" w:space="0" w:color="auto"/>
          </w:divBdr>
        </w:div>
      </w:divsChild>
    </w:div>
    <w:div w:id="1015307352">
      <w:bodyDiv w:val="1"/>
      <w:marLeft w:val="0"/>
      <w:marRight w:val="0"/>
      <w:marTop w:val="0"/>
      <w:marBottom w:val="0"/>
      <w:divBdr>
        <w:top w:val="none" w:sz="0" w:space="0" w:color="auto"/>
        <w:left w:val="none" w:sz="0" w:space="0" w:color="auto"/>
        <w:bottom w:val="none" w:sz="0" w:space="0" w:color="auto"/>
        <w:right w:val="none" w:sz="0" w:space="0" w:color="auto"/>
      </w:divBdr>
      <w:divsChild>
        <w:div w:id="456948632">
          <w:marLeft w:val="0"/>
          <w:marRight w:val="0"/>
          <w:marTop w:val="0"/>
          <w:marBottom w:val="0"/>
          <w:divBdr>
            <w:top w:val="none" w:sz="0" w:space="0" w:color="auto"/>
            <w:left w:val="none" w:sz="0" w:space="0" w:color="auto"/>
            <w:bottom w:val="none" w:sz="0" w:space="0" w:color="auto"/>
            <w:right w:val="none" w:sz="0" w:space="0" w:color="auto"/>
          </w:divBdr>
        </w:div>
        <w:div w:id="601231053">
          <w:marLeft w:val="0"/>
          <w:marRight w:val="0"/>
          <w:marTop w:val="0"/>
          <w:marBottom w:val="0"/>
          <w:divBdr>
            <w:top w:val="none" w:sz="0" w:space="0" w:color="auto"/>
            <w:left w:val="none" w:sz="0" w:space="0" w:color="auto"/>
            <w:bottom w:val="none" w:sz="0" w:space="0" w:color="auto"/>
            <w:right w:val="none" w:sz="0" w:space="0" w:color="auto"/>
          </w:divBdr>
        </w:div>
        <w:div w:id="1704136740">
          <w:marLeft w:val="0"/>
          <w:marRight w:val="0"/>
          <w:marTop w:val="0"/>
          <w:marBottom w:val="0"/>
          <w:divBdr>
            <w:top w:val="none" w:sz="0" w:space="0" w:color="auto"/>
            <w:left w:val="none" w:sz="0" w:space="0" w:color="auto"/>
            <w:bottom w:val="none" w:sz="0" w:space="0" w:color="auto"/>
            <w:right w:val="none" w:sz="0" w:space="0" w:color="auto"/>
          </w:divBdr>
        </w:div>
      </w:divsChild>
    </w:div>
    <w:div w:id="1061904029">
      <w:bodyDiv w:val="1"/>
      <w:marLeft w:val="0"/>
      <w:marRight w:val="0"/>
      <w:marTop w:val="0"/>
      <w:marBottom w:val="0"/>
      <w:divBdr>
        <w:top w:val="none" w:sz="0" w:space="0" w:color="auto"/>
        <w:left w:val="none" w:sz="0" w:space="0" w:color="auto"/>
        <w:bottom w:val="none" w:sz="0" w:space="0" w:color="auto"/>
        <w:right w:val="none" w:sz="0" w:space="0" w:color="auto"/>
      </w:divBdr>
      <w:divsChild>
        <w:div w:id="523634079">
          <w:marLeft w:val="0"/>
          <w:marRight w:val="0"/>
          <w:marTop w:val="0"/>
          <w:marBottom w:val="0"/>
          <w:divBdr>
            <w:top w:val="none" w:sz="0" w:space="0" w:color="auto"/>
            <w:left w:val="none" w:sz="0" w:space="0" w:color="auto"/>
            <w:bottom w:val="none" w:sz="0" w:space="0" w:color="auto"/>
            <w:right w:val="none" w:sz="0" w:space="0" w:color="auto"/>
          </w:divBdr>
        </w:div>
        <w:div w:id="605967625">
          <w:marLeft w:val="0"/>
          <w:marRight w:val="0"/>
          <w:marTop w:val="0"/>
          <w:marBottom w:val="0"/>
          <w:divBdr>
            <w:top w:val="none" w:sz="0" w:space="0" w:color="auto"/>
            <w:left w:val="none" w:sz="0" w:space="0" w:color="auto"/>
            <w:bottom w:val="none" w:sz="0" w:space="0" w:color="auto"/>
            <w:right w:val="none" w:sz="0" w:space="0" w:color="auto"/>
          </w:divBdr>
        </w:div>
        <w:div w:id="1695961192">
          <w:marLeft w:val="0"/>
          <w:marRight w:val="0"/>
          <w:marTop w:val="0"/>
          <w:marBottom w:val="0"/>
          <w:divBdr>
            <w:top w:val="none" w:sz="0" w:space="0" w:color="auto"/>
            <w:left w:val="none" w:sz="0" w:space="0" w:color="auto"/>
            <w:bottom w:val="none" w:sz="0" w:space="0" w:color="auto"/>
            <w:right w:val="none" w:sz="0" w:space="0" w:color="auto"/>
          </w:divBdr>
        </w:div>
      </w:divsChild>
    </w:div>
    <w:div w:id="1405952691">
      <w:bodyDiv w:val="1"/>
      <w:marLeft w:val="0"/>
      <w:marRight w:val="0"/>
      <w:marTop w:val="0"/>
      <w:marBottom w:val="0"/>
      <w:divBdr>
        <w:top w:val="none" w:sz="0" w:space="0" w:color="auto"/>
        <w:left w:val="none" w:sz="0" w:space="0" w:color="auto"/>
        <w:bottom w:val="none" w:sz="0" w:space="0" w:color="auto"/>
        <w:right w:val="none" w:sz="0" w:space="0" w:color="auto"/>
      </w:divBdr>
    </w:div>
    <w:div w:id="2133204981">
      <w:bodyDiv w:val="1"/>
      <w:marLeft w:val="0"/>
      <w:marRight w:val="0"/>
      <w:marTop w:val="0"/>
      <w:marBottom w:val="0"/>
      <w:divBdr>
        <w:top w:val="none" w:sz="0" w:space="0" w:color="auto"/>
        <w:left w:val="none" w:sz="0" w:space="0" w:color="auto"/>
        <w:bottom w:val="none" w:sz="0" w:space="0" w:color="auto"/>
        <w:right w:val="none" w:sz="0" w:space="0" w:color="auto"/>
      </w:divBdr>
      <w:divsChild>
        <w:div w:id="627855455">
          <w:marLeft w:val="0"/>
          <w:marRight w:val="0"/>
          <w:marTop w:val="0"/>
          <w:marBottom w:val="0"/>
          <w:divBdr>
            <w:top w:val="none" w:sz="0" w:space="0" w:color="auto"/>
            <w:left w:val="none" w:sz="0" w:space="0" w:color="auto"/>
            <w:bottom w:val="none" w:sz="0" w:space="0" w:color="auto"/>
            <w:right w:val="none" w:sz="0" w:space="0" w:color="auto"/>
          </w:divBdr>
          <w:divsChild>
            <w:div w:id="649791723">
              <w:marLeft w:val="0"/>
              <w:marRight w:val="0"/>
              <w:marTop w:val="0"/>
              <w:marBottom w:val="0"/>
              <w:divBdr>
                <w:top w:val="none" w:sz="0" w:space="0" w:color="auto"/>
                <w:left w:val="none" w:sz="0" w:space="0" w:color="auto"/>
                <w:bottom w:val="none" w:sz="0" w:space="0" w:color="auto"/>
                <w:right w:val="none" w:sz="0" w:space="0" w:color="auto"/>
              </w:divBdr>
              <w:divsChild>
                <w:div w:id="686564953">
                  <w:marLeft w:val="0"/>
                  <w:marRight w:val="0"/>
                  <w:marTop w:val="100"/>
                  <w:marBottom w:val="100"/>
                  <w:divBdr>
                    <w:top w:val="none" w:sz="0" w:space="0" w:color="auto"/>
                    <w:left w:val="none" w:sz="0" w:space="0" w:color="auto"/>
                    <w:bottom w:val="none" w:sz="0" w:space="0" w:color="auto"/>
                    <w:right w:val="none" w:sz="0" w:space="0" w:color="auto"/>
                  </w:divBdr>
                  <w:divsChild>
                    <w:div w:id="1270745673">
                      <w:marLeft w:val="0"/>
                      <w:marRight w:val="0"/>
                      <w:marTop w:val="0"/>
                      <w:marBottom w:val="0"/>
                      <w:divBdr>
                        <w:top w:val="none" w:sz="0" w:space="0" w:color="auto"/>
                        <w:left w:val="none" w:sz="0" w:space="0" w:color="auto"/>
                        <w:bottom w:val="none" w:sz="0" w:space="0" w:color="auto"/>
                        <w:right w:val="none" w:sz="0" w:space="0" w:color="auto"/>
                      </w:divBdr>
                      <w:divsChild>
                        <w:div w:id="10998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100trillionUSD/modeling-bitcoins-value-with-scarcity-91fa0fc03e2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aculty.neu.edu.cn/cc/zhangyf/papers/How-to-Lie-with-Statistics.pdf" TargetMode="External"/><Relationship Id="rId2" Type="http://schemas.openxmlformats.org/officeDocument/2006/relationships/styles" Target="styles.xml"/><Relationship Id="rId16" Type="http://schemas.openxmlformats.org/officeDocument/2006/relationships/hyperlink" Target="https://www.hindawi.com/journals/jps/2009/802975/"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mazon.com/Bitcoin-Standard-Decentralized-Alternative-Central/dp/1119473861"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100trillionUSD/modeling-bitcoins-value-with-scarcity-91fa0fc03e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YUNGACE</dc:creator>
  <cp:keywords/>
  <cp:lastModifiedBy>YUNGACE</cp:lastModifiedBy>
  <cp:revision>2</cp:revision>
  <dcterms:created xsi:type="dcterms:W3CDTF">2020-09-22T18:35:00Z</dcterms:created>
  <dcterms:modified xsi:type="dcterms:W3CDTF">2020-09-22T18:35:00Z</dcterms:modified>
</cp:coreProperties>
</file>