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FE5BAB">
      <w:pPr>
        <w:pStyle w:val="36"/>
      </w:pPr>
      <w:r>
        <w:t>Agro‑Export Performance Report</w:t>
      </w:r>
    </w:p>
    <w:p w14:paraId="16F6807B">
      <w:r>
        <w:t>Sunday Abdulsalam — Data Analyst</w:t>
      </w:r>
      <w:r>
        <w:br w:type="textWrapping"/>
      </w:r>
    </w:p>
    <w:p w14:paraId="307D73B2">
      <w:r>
        <w:t>A concise, data‑driven review of export performance, key drivers, and improvement opportunities.</w:t>
      </w:r>
    </w:p>
    <w:p w14:paraId="496D9000">
      <w:pPr>
        <w:pStyle w:val="2"/>
      </w:pPr>
      <w:r>
        <w:t>Executive Summary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1228AA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D0CC2DC">
            <w:r>
              <w:t>Metric</w:t>
            </w:r>
          </w:p>
        </w:tc>
        <w:tc>
          <w:tcPr>
            <w:tcW w:w="2880" w:type="dxa"/>
          </w:tcPr>
          <w:p w14:paraId="2F25EEC2">
            <w:r>
              <w:t>Value</w:t>
            </w:r>
          </w:p>
        </w:tc>
        <w:tc>
          <w:tcPr>
            <w:tcW w:w="2880" w:type="dxa"/>
          </w:tcPr>
          <w:p w14:paraId="48CF077F">
            <w:r>
              <w:t>Δ vs LY</w:t>
            </w:r>
          </w:p>
        </w:tc>
      </w:tr>
      <w:tr w14:paraId="1128A0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A0FC027">
            <w:r>
              <w:t>Total Revenue</w:t>
            </w:r>
          </w:p>
        </w:tc>
        <w:tc>
          <w:tcPr>
            <w:tcW w:w="2880" w:type="dxa"/>
          </w:tcPr>
          <w:p w14:paraId="23936158">
            <w:r>
              <w:t>₦16.32B</w:t>
            </w:r>
          </w:p>
        </w:tc>
        <w:tc>
          <w:tcPr>
            <w:tcW w:w="2880" w:type="dxa"/>
          </w:tcPr>
          <w:p w14:paraId="29E548F4">
            <w:r>
              <w:t>+11%</w:t>
            </w:r>
          </w:p>
        </w:tc>
      </w:tr>
      <w:tr w14:paraId="634DF2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C8C3AA8">
            <w:r>
              <w:t>Total Cost</w:t>
            </w:r>
          </w:p>
        </w:tc>
        <w:tc>
          <w:tcPr>
            <w:tcW w:w="2880" w:type="dxa"/>
          </w:tcPr>
          <w:p w14:paraId="6BA95F20">
            <w:r>
              <w:t>₦13.03B</w:t>
            </w:r>
          </w:p>
        </w:tc>
        <w:tc>
          <w:tcPr>
            <w:tcW w:w="2880" w:type="dxa"/>
          </w:tcPr>
          <w:p w14:paraId="49706C9E">
            <w:r>
              <w:t>+11%</w:t>
            </w:r>
          </w:p>
        </w:tc>
      </w:tr>
      <w:tr w14:paraId="2433F2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815B199">
            <w:r>
              <w:t>Total Profit</w:t>
            </w:r>
          </w:p>
        </w:tc>
        <w:tc>
          <w:tcPr>
            <w:tcW w:w="2880" w:type="dxa"/>
          </w:tcPr>
          <w:p w14:paraId="65EDFFFA">
            <w:r>
              <w:t>₦3.29B</w:t>
            </w:r>
          </w:p>
        </w:tc>
        <w:tc>
          <w:tcPr>
            <w:tcW w:w="2880" w:type="dxa"/>
          </w:tcPr>
          <w:p w14:paraId="6D2B073D">
            <w:r>
              <w:t>+5%</w:t>
            </w:r>
          </w:p>
        </w:tc>
      </w:tr>
      <w:tr w14:paraId="7810B2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B25D810">
            <w:r>
              <w:t>Units Sold</w:t>
            </w:r>
          </w:p>
        </w:tc>
        <w:tc>
          <w:tcPr>
            <w:tcW w:w="2880" w:type="dxa"/>
          </w:tcPr>
          <w:p w14:paraId="4ABB8BB9">
            <w:r>
              <w:t>536,804</w:t>
            </w:r>
          </w:p>
        </w:tc>
        <w:tc>
          <w:tcPr>
            <w:tcW w:w="2880" w:type="dxa"/>
          </w:tcPr>
          <w:p w14:paraId="19436EAE">
            <w:r>
              <w:t>+8%</w:t>
            </w:r>
          </w:p>
        </w:tc>
      </w:tr>
      <w:tr w14:paraId="314E6E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21509A2">
            <w:r>
              <w:t>Average Unit Price</w:t>
            </w:r>
          </w:p>
        </w:tc>
        <w:tc>
          <w:tcPr>
            <w:tcW w:w="2880" w:type="dxa"/>
          </w:tcPr>
          <w:p w14:paraId="2FA13ADC">
            <w:r>
              <w:t>₦30,010</w:t>
            </w:r>
          </w:p>
        </w:tc>
        <w:tc>
          <w:tcPr>
            <w:tcW w:w="2880" w:type="dxa"/>
          </w:tcPr>
          <w:p w14:paraId="0C77D66A">
            <w:r>
              <w:t>+6%</w:t>
            </w:r>
          </w:p>
        </w:tc>
      </w:tr>
      <w:tr w14:paraId="3CB980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9F906FC">
            <w:r>
              <w:t>Profit per Unit</w:t>
            </w:r>
          </w:p>
        </w:tc>
        <w:tc>
          <w:tcPr>
            <w:tcW w:w="2880" w:type="dxa"/>
          </w:tcPr>
          <w:p w14:paraId="786E52BB">
            <w:r>
              <w:t>₦6.13M</w:t>
            </w:r>
          </w:p>
        </w:tc>
        <w:tc>
          <w:tcPr>
            <w:tcW w:w="2880" w:type="dxa"/>
          </w:tcPr>
          <w:p w14:paraId="3A018D02">
            <w:r>
              <w:t>+0.16%</w:t>
            </w:r>
          </w:p>
        </w:tc>
      </w:tr>
    </w:tbl>
    <w:p w14:paraId="7FD5891E">
      <w:r>
        <w:br w:type="textWrapping"/>
      </w:r>
      <w:r>
        <w:t>Key Takeaways:</w:t>
      </w:r>
    </w:p>
    <w:p w14:paraId="2D50AE98">
      <w:pPr>
        <w:pStyle w:val="23"/>
      </w:pPr>
      <w:r>
        <w:t>Revenue and profit grew despite lower prior‑year volume comparables; pricing and mix supported margins.</w:t>
      </w:r>
    </w:p>
    <w:p w14:paraId="7F9C61D0">
      <w:pPr>
        <w:pStyle w:val="23"/>
      </w:pPr>
      <w:r>
        <w:t>Units sold increased by 8% YoY to 536,804, reinforcing demand recovery.</w:t>
      </w:r>
    </w:p>
    <w:p w14:paraId="47325367">
      <w:pPr>
        <w:pStyle w:val="23"/>
      </w:pPr>
      <w:r>
        <w:t>Concentration at Lagos Port (≈60% of export revenue) increases operational exposure; diversification is advised.</w:t>
      </w:r>
    </w:p>
    <w:p w14:paraId="7E5FFA6B">
      <w:r>
        <w:br w:type="page"/>
      </w:r>
    </w:p>
    <w:p w14:paraId="62A6ED14">
      <w:pPr>
        <w:pStyle w:val="2"/>
      </w:pPr>
      <w:r>
        <w:t>Detailed Insights</w:t>
      </w:r>
    </w:p>
    <w:p w14:paraId="6FE9DFEB">
      <w:pPr>
        <w:pStyle w:val="3"/>
      </w:pPr>
      <w:r>
        <w:t>Product Performance</w:t>
      </w:r>
    </w:p>
    <w:p w14:paraId="73241526">
      <w:pPr>
        <w:pStyle w:val="23"/>
      </w:pPr>
      <w:r>
        <w:t>Top revenue drivers: Cocoa (₦2.38B), Sesame (₦2.27B), Rubber (₦2.12B), and Cashew (₦2.11B).</w:t>
      </w:r>
    </w:p>
    <w:p w14:paraId="6F88147B">
      <w:pPr>
        <w:pStyle w:val="23"/>
      </w:pPr>
      <w:r>
        <w:t>Most exported by volume: Sesame (76,132), Cocoa (76,129), and Cashew (70,833).</w:t>
      </w:r>
    </w:p>
    <w:p w14:paraId="3DE4EFB8">
      <w:pPr>
        <w:pStyle w:val="23"/>
      </w:pPr>
      <w:r>
        <w:t>Implication: Cocoa and Sesame are strategic for both growth and scale; maintain supply reliability and quality standards.</w:t>
      </w:r>
    </w:p>
    <w:p w14:paraId="79C2049B">
      <w:pPr>
        <w:pStyle w:val="3"/>
      </w:pPr>
      <w:r>
        <w:t>Geographical &amp; Logistics Insights</w:t>
      </w:r>
    </w:p>
    <w:p w14:paraId="27C5BAD7">
      <w:pPr>
        <w:pStyle w:val="23"/>
      </w:pPr>
      <w:r>
        <w:t>Lagos Port accounts for ~60% of export revenue; Warri, Port Harcourt, and Calabar collectively contribute ~40%.</w:t>
      </w:r>
    </w:p>
    <w:p w14:paraId="4311011F">
      <w:pPr>
        <w:pStyle w:val="23"/>
      </w:pPr>
      <w:r>
        <w:t>Key destination markets include France, Spain, Italy, and Germany with sustained demand across 2020–2023.</w:t>
      </w:r>
    </w:p>
    <w:p w14:paraId="64363772">
      <w:pPr>
        <w:pStyle w:val="23"/>
      </w:pPr>
      <w:r>
        <w:t>Recommendation: Mitigate single‑port risk by improving throughput capacity and developing redundancy across other ports.</w:t>
      </w:r>
    </w:p>
    <w:p w14:paraId="22E1D214">
      <w:pPr>
        <w:pStyle w:val="3"/>
      </w:pPr>
      <w:r>
        <w:t>Company Performance</w:t>
      </w:r>
    </w:p>
    <w:p w14:paraId="0E88D9B0">
      <w:pPr>
        <w:pStyle w:val="23"/>
      </w:pPr>
      <w:r>
        <w:t>Top revenue contributors: Agro Export Nigeria Ltd (₦1.87B), Golden Farms Nigeria Ltd (₦1.73B), Prime Agro Exports Nigeria Ltd (₦1.71B).</w:t>
      </w:r>
    </w:p>
    <w:p w14:paraId="5A390CFA">
      <w:pPr>
        <w:pStyle w:val="23"/>
      </w:pPr>
      <w:r>
        <w:t>Top cost‑incurring companies: Agro Export Nigeria Ltd (₦1.48B), Prime Agro Exports Nigeria Ltd (₦1.39B), Nigeria Agro Export Company (₦1.38B).</w:t>
      </w:r>
    </w:p>
    <w:p w14:paraId="0E9CE4B0">
      <w:pPr>
        <w:pStyle w:val="23"/>
      </w:pPr>
      <w:r>
        <w:t>Action: Pursue targeted cost reviews with leading partners to preserve scale advantages while improving unit economics.</w:t>
      </w:r>
    </w:p>
    <w:p w14:paraId="4DBA1434">
      <w:pPr>
        <w:pStyle w:val="3"/>
      </w:pPr>
      <w:r>
        <w:t>Trends</w:t>
      </w:r>
    </w:p>
    <w:p w14:paraId="781A77C0">
      <w:pPr>
        <w:pStyle w:val="23"/>
      </w:pPr>
      <w:r>
        <w:t>Revenue shows a generally upward trajectory with periodic volatility; seasonality and supply bottlenecks likely drivers.</w:t>
      </w:r>
    </w:p>
    <w:p w14:paraId="0C4849B6">
      <w:pPr>
        <w:pStyle w:val="23"/>
      </w:pPr>
      <w:r>
        <w:t>Profit trend strengthens into 2023; pricing discipline and mix improvements support margins.</w:t>
      </w:r>
    </w:p>
    <w:p w14:paraId="6D951520">
      <w:r>
        <w:t>Recommendations</w:t>
      </w:r>
    </w:p>
    <w:p w14:paraId="50C90E4B">
      <w:pPr>
        <w:pStyle w:val="23"/>
      </w:pPr>
      <w:r>
        <w:t>Prioritize Cocoa and Sesame as growth pillars; hedge supply and secure long‑term contracts.</w:t>
      </w:r>
    </w:p>
    <w:p w14:paraId="0A6600D0">
      <w:pPr>
        <w:pStyle w:val="23"/>
      </w:pPr>
      <w:r>
        <w:t>Reduce concentration risk at Lagos Port by shifting 10–15% volume to Port Harcourt and Warri in the next planning cycle.</w:t>
      </w:r>
    </w:p>
    <w:p w14:paraId="786D8584">
      <w:pPr>
        <w:pStyle w:val="23"/>
      </w:pPr>
      <w:r>
        <w:t>Launch a cost‑to‑serve program with top partn</w:t>
      </w:r>
      <w:bookmarkStart w:id="0" w:name="_GoBack"/>
      <w:bookmarkEnd w:id="0"/>
      <w:r>
        <w:t>ers to identify logistics and processing efficiencies.</w:t>
      </w:r>
    </w:p>
    <w:p w14:paraId="5FDCCBBE">
      <w:pPr>
        <w:pStyle w:val="23"/>
      </w:pPr>
      <w:r>
        <w:t>Deepen penetration in France, Spain, Italy, and Germany with targeted account plans and service‑level commitments.</w:t>
      </w:r>
    </w:p>
    <w:p w14:paraId="2E5502A9">
      <w:pPr>
        <w:pStyle w:val="23"/>
        <w:numPr>
          <w:numId w:val="0"/>
        </w:numPr>
        <w:ind w:leftChars="0"/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E10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HP</cp:lastModifiedBy>
  <dcterms:modified xsi:type="dcterms:W3CDTF">2025-09-09T09:35:05Z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3126B03A4EB2434482300BEDF2040FED_12</vt:lpwstr>
  </property>
</Properties>
</file>