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4"/>
          <w:szCs w:val="44"/>
        </w:rPr>
        <w:t xml:space="preserve">Task 2 — Advanced EDA &amp; Text Mining</w:t>
      </w:r>
    </w:p>
    <w:p>
      <w:pPr>
        <w:spacing w:after="60"/>
      </w:pPr>
      <w:r>
        <w:rPr>
          <w:color w:val="2F5D8C"/>
          <w:sz w:val="26"/>
          <w:szCs w:val="26"/>
        </w:rPr>
        <w:t xml:space="preserve">Vehicle infotainment warranty events: what fails, why, and what to do about it</w:t>
      </w:r>
    </w:p>
    <w:p>
      <w:pPr>
        <w:pBdr>
          <w:bottom w:val="single" w:color="2F5D8C" w:sz="8" w:space="4"/>
        </w:pBdr>
        <w:spacing w:after="200"/>
      </w:pPr>
      <w:r>
        <w:rPr>
          <w:color w:val="595959"/>
          <w:sz w:val="18"/>
          <w:szCs w:val="18"/>
        </w:rPr>
        <w:t xml:space="preserve">Stakeholder report  |  Dataset: Hanuai_task2_assignment.csv (1,000 events)  |  Prepared 25 October 2026</w:t>
      </w:r>
    </w:p>
    <w:p>
      <w:pPr>
        <w:pStyle w:val="Heading1"/>
        <w:keepNext/>
      </w:pPr>
      <w:r>
        <w:t xml:space="preserve">1. Executive summary</w:t>
      </w:r>
    </w:p>
    <w:p>
      <w:pPr>
        <w:spacing w:after="100" w:before="0" w:line="270"/>
      </w:pPr>
      <w:r>
        <w:t xml:space="preserve">We analysed </w:t>
      </w:r>
      <w:r>
        <w:rPr>
          <w:b/>
          <w:bCs/>
        </w:rPr>
        <w:t xml:space="preserve">1,000 infotainment warranty events</w:t>
      </w:r>
      <w:r>
        <w:t xml:space="preserve"> (radio, display, rear camera, satellite radio, phone and navigation) on 2020-model-year vehicles: 4 makes, 23 models, 8 build plants, claims opened between August 2019 and June 2021. Each event carries three free-text narratives (customer complaint, technician diagnosis, repair). We cleaned the data, converted roughly 68,000 words of narrative into structured tags, grouped them into issue categories and used clustering / topic modelling to propose root causes.</w:t>
      </w:r>
    </w:p>
    <w:p>
      <w:pPr>
        <w:spacing w:after="60"/>
      </w:pP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89%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of events end in a radio replacement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38% / 37%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component failure / communication fault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20%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of claims within 90 days of in-service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7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F3A5F"/>
                <w:sz w:val="40"/>
                <w:szCs w:val="40"/>
              </w:rPr>
              <w:t xml:space="preserve">30%</w:t>
            </w:r>
          </w:p>
          <w:p>
            <w:pPr>
              <w:jc w:val="center"/>
            </w:pPr>
            <w:r>
              <w:rPr>
                <w:color w:val="595959"/>
                <w:sz w:val="16"/>
                <w:szCs w:val="16"/>
              </w:rPr>
              <w:t xml:space="preserve">needed TAC / engineering escalation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The radio (head unit) is where the cost concentrates.</w:t>
      </w:r>
      <w:r>
        <w:t xml:space="preserve"> 89% of events are fixed by replacing it; 66% by replacing *and* reprogramming. Only 8% were fixed by reprogramming alone.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Two mechanisms dominate:</w:t>
      </w:r>
      <w:r>
        <w:t xml:space="preserve"> internal hardware failure (38%) and communication / network faults (37%), followed by software / calibration (12%), electrical / wiring (10%) and assembly quality (3%). Internal fault or failure is stated in 34% of technician narratives; shorted modules account for 24% of coded causes.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Customers experience it as a dead or black screen:</w:t>
      </w:r>
      <w:r>
        <w:t xml:space="preserve"> inoperative (32%), black / blank screen (25%), random shutdown or reboot (12%), no sound (11%). One in five complaints is intermittent, which makes diagnosis harder.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The pattern looks systemic rather than local.</w:t>
      </w:r>
      <w:r>
        <w:t xml:space="preserve"> The category mix is stable over the claim window (p = 0.30) and plant, make and model explain very little of it (Cramér’s V ≤ 0.11), which is consistent with a design or supplier issue rather than a single plant excursion. This needs production volumes to confirm.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Diagnosis is expensive.</w:t>
      </w:r>
      <w:r>
        <w:t xml:space="preserve"> 30% of events needed TAC or engineering support, and 18% explicitly record that no fault code was found.</w:t>
      </w:r>
    </w:p>
    <w:p>
      <w:pPr>
        <w:spacing w:after="100" w:before="80" w:line="270"/>
      </w:pPr>
      <w:r>
        <w:t xml:space="preserve"/>
      </w:r>
      <w:r>
        <w:rPr>
          <w:b/>
          <w:bCs/>
        </w:rPr>
        <w:t xml:space="preserve">Recommended focus:</w:t>
      </w:r>
      <w:r>
        <w:t xml:space="preserve"> (1) failure analysis and supplier corrective action on radio internal electronics, (2) hardening of the Ethernet / CAN communication interface, (3) moving recurring reprogramming fixes to bulletin / OTA, and (4) a guided diagnostic path that reduces escalations. Details and sizing are in section 5.</w:t>
      </w:r>
    </w:p>
    <w:p>
      <w:pPr>
        <w:pStyle w:val="Heading1"/>
        <w:keepNext/>
      </w:pPr>
      <w:r>
        <w:t xml:space="preserve">2. Understanding of the data</w:t>
      </w:r>
    </w:p>
    <w:p>
      <w:pPr>
        <w:pStyle w:val="Heading2"/>
        <w:keepNext/>
      </w:pPr>
      <w:r>
        <w:t xml:space="preserve">2.1 What the dataset contains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42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group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Identification &amp; timing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id, Opened date, Build date, In-service date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ids unique. Three different date formats (text) were parsed.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Product &amp; plant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MAKE (4), MODEL (23), MODLYR, PLANT / BUILD_PLANT_DESC (8)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MODLYR is constant (2020); PLANT duplicates BUILD_PLANT_DESC. Each model maps to a single make.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Coded complaint &amp; cause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COMPLAINT_CD_DESC (9 levels), CAUSAL_CD_DESC (38 levels)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Complaint is 94% Audio / Entertainment / Navigation. Causal code is “system – failure mode”.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Free text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CUSTOMER_, CAUSAL_, CORRECTION_VERBATIM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Avg. 17 / 22 / 29 words. ALL-CAPS, typos, shorthand (C/S, R&amp;R, SPS, TAC, DTC); 1.3% Spanish or French.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Example tag columns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Trigger, Failure Component, Failure Condition, Additional Context, Fix Component, Fix Condition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Filled for only 5 rows by design. Used as the target schema and a mini validation set, then populated for all rows.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2.2 Data-quality issues found and how they were handled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Causal code 3, causal text 1, in-service date 1; two placeholder verbatims (“#”)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Causal code → “Unknown” (resolved from text rules). Placeholders → missing. In-service date imputed as build date + median lag (91 days) and flagged.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Impossible dates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76 events (7.6%) have a claim opened before the in-service date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Flagged; days-in-service left blank (not imputed, to avoid distorting time-to-failure).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Duplicates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None: no duplicate rows, ids or verbatim triples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action.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Inconsistent formats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Stray leading space in one complaint level; irregular whitespace; mixed languages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Trimmed and normalised; small ES/FR → EN lexicon applied before tagging.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Constant / redundant columns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MODLYR (one value), PLANT (duplicate of plant description)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Dropped from analysis, kept in export.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Masked fault codes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raw DTC strings (P/U/B/C codes) survive in the text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Captured only whether codes were mentioned, found or absent.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2.3 Possible analysis outcomes and value for customers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OEM quality and engineering:</w:t>
      </w:r>
      <w:r>
        <w:t xml:space="preserve"> a ranked, evidence-based list of failure mechanisms and early-life failure signals, built from narrative that is normally unusable at scale.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Suppliers (Tier-1):</w:t>
      </w:r>
      <w:r>
        <w:t xml:space="preserve"> a data-backed case for corrective action, with failure categories and cause codes to focus teardown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Service and warranty:</w:t>
      </w:r>
      <w:r>
        <w:t xml:space="preserve"> guided diagnostics, fewer escalations and repeat visits, and clearer rules for when to replace versus reprogram.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Software and connected-vehicle teams:</w:t>
      </w:r>
      <w:r>
        <w:t xml:space="preserve"> identification of failures that can be fixed by update instead of hardware swap.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Analytics and IT:</w:t>
      </w:r>
      <w:r>
        <w:t xml:space="preserve"> a reusable tagging schema and pipeline that turns each new claim into structured, searchable data.</w:t>
      </w:r>
    </w:p>
    <w:p>
      <w:pPr>
        <w:pStyle w:val="Heading1"/>
        <w:keepNext/>
      </w:pPr>
      <w:r>
        <w:t xml:space="preserve">3. Approach in brief</w:t>
      </w:r>
    </w:p>
    <w:p>
      <w:pPr>
        <w:spacing w:after="100" w:before="0" w:line="270"/>
      </w:pPr>
      <w:r>
        <w:t xml:space="preserve">The notebook (Hanuai_Task2_EDA_TextMining.ipynb) is annotated step by step. The workflow has four stages: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EDA:</w:t>
      </w:r>
      <w:r>
        <w:t xml:space="preserve"> schema and quality assessment, cleaning, summary statistics and distributions of the critical columns (complaint code, causal code, plant / make / model, build and in-service timing, days in service).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Text mining:</w:t>
      </w:r>
      <w:r>
        <w:t xml:space="preserve"> normalisation (case, accents, shorthand, Spanish / French key terms), then dictionary-and-regex entity extraction into the same six entity types as the example columns, plus symptoms, technician findings, process flags and fault-code status. Extraction is source-aware: customer text first for what failed, causal and correction text for findings and fixes, so test steps (“tested display – OK”) are not mistaken for failures.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Issue categorisation:</w:t>
      </w:r>
      <w:r>
        <w:t xml:space="preserve"> the coded cause drives the category when informative; mined tags resolve vague codes (“Registers Incorrectly”, “Follow operation”, missing). A separate symptom-area label (camera, XM, phone, display …) describes what the customer sees.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Clustering:</w:t>
      </w:r>
      <w:r>
        <w:t xml:space="preserve"> K-Means on TF-IDF of customer complaints (10 clusters) and LDA on technician narrative (6 topics), each profiled against coded fields.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3600"/>
        <w:gridCol w:w="24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 type (output column)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Tags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Failure Component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Radio, Display, Backup Camera, Satellite Radio (XM), Bluetooth / Phone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 71%, Display 37%, XM 12%, Camera 12%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Failure Condition (symptom + finding)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+ 9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Inoperative, Black Screen, No Sound, Internal Fault, Lost Communication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Symptom tagged in 81% of events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Trigger / Additional Context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Reversing, At Start-up / Intermittent, While Driving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Trigger found in 12%, context in 24%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Fix Component / Fix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Radio, SPS, USB / Replaced, Programmed, Repaired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Fix condition tagged in 98%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Process flags, DTC 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 + 3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TAC contacted, TSB referenced, Repeat visit / No DTC found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TAC 30%, no DTC 18%</w:t>
            </w:r>
          </w:p>
        </w:tc>
      </w:tr>
    </w:tbl>
    <w:p>
      <w:pPr>
        <w:spacing w:after="80"/>
      </w:pPr>
    </w:p>
    <w:p>
      <w:pPr>
        <w:spacing w:after="100" w:before="0" w:line="270"/>
      </w:pPr>
      <w:r>
        <w:t xml:space="preserve"/>
      </w:r>
      <w:r>
        <w:rPr>
          <w:b/>
          <w:bCs/>
        </w:rPr>
        <w:t xml:space="preserve">Validation.</w:t>
      </w:r>
      <w:r>
        <w:t xml:space="preserve"> The five example rows were used as a small gold set (n = 5, so this is a sanity check, not an accuracy estimate). Trigger tags matched fully, failing components scored precision 0.88 / recall 0.78, and fix tags 0.67–0.75. </w:t>
      </w:r>
      <w:r>
        <w:rPr>
          <w:b/>
          <w:bCs/>
        </w:rPr>
        <w:t xml:space="preserve">Failure Condition is the weakest field</w:t>
      </w:r>
      <w:r>
        <w:t xml:space="preserve"> (precision 0.33, recall 0.67): the examples’ labels often come from deep inside the repair narrative, and our output also records technician findings the examples omit. Overall (excluding the symptoms-only variant) precision is 0.62 and recall 0.75.</w:t>
      </w:r>
    </w:p>
    <w:p>
      <w:pPr>
        <w:pStyle w:val="Heading1"/>
        <w:keepNext/>
      </w:pPr>
      <w:r>
        <w:t xml:space="preserve">4. What the data says</w:t>
      </w:r>
    </w:p>
    <w:p>
      <w:pPr>
        <w:pStyle w:val="Heading2"/>
        <w:keepNext/>
      </w:pPr>
      <w:r>
        <w:t xml:space="preserve">4.1 Most frequent failures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04_pareto_component.png" descr="Figure 1. Failing components mentioned (multi-label; bars = events, line = cumulative %)." title="Figure 1. Failing components mentioned (multi-label; bars = events, line = cumulative 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1. Failing components mentioned (multi-label; bars = events, line = cumulative %).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05_pareto_symptom.png" descr="Figure 2. Reported symptoms. A further 19% of events had no recognisable symptom wording." title="Figure 2. Reported symptoms. A further 19% of events had no recognisable symptom word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2. Reported symptoms. A further 19% of events had no recognisable symptom wording.</w:t>
      </w:r>
    </w:p>
    <w:p>
      <w:pPr>
        <w:spacing w:after="100" w:before="0" w:line="270"/>
      </w:pPr>
      <w:r>
        <w:t xml:space="preserve">The radio and display are involved in most events, so the product question is less “which part” than “why does the head unit stop working or communicating”. Rear-camera loss (12%) is a safety-relevant function and appears as a “when reversing” trigger in 4% of events.</w:t>
      </w:r>
    </w:p>
    <w:p>
      <w:pPr>
        <w:pStyle w:val="Heading2"/>
        <w:keepNext/>
      </w:pPr>
      <w:r>
        <w:t xml:space="preserve">4.2 Types of issue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096000" cy="1590675"/>
            <wp:effectExtent t="0" r="0" b="0" l="0"/>
            <wp:docPr id="1" name="03_categories.png" descr="Figure 3. Issue category (cause-driven), customer-facing symptom area and mined failure conditions." title="Figure 3. Issue category (cause-driven), customer-facing symptom area and mined failure condi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3. Issue category (cause-driven), customer-facing symptom area and mined failure conditions.</w:t>
      </w:r>
    </w:p>
    <w:p>
      <w:pPr>
        <w:spacing w:after="100" w:before="0" w:line="270"/>
      </w:pPr>
      <w:r>
        <w:t xml:space="preserve">Component failure (38%) and communication / network faults (37%) account for three of four events. Software / calibration (12%) is the next largest group and the one most amenable to a non-hardware fix. Assembly / build quality is small (3%, 26 events) but concentrated in specific cause codes (loose, not clipped, routing).</w:t>
      </w:r>
    </w:p>
    <w:p>
      <w:pPr>
        <w:pStyle w:val="Heading2"/>
        <w:keepNext/>
      </w:pPr>
      <w:r>
        <w:t xml:space="preserve">4.3 Trends and significant changes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096000" cy="1714500"/>
            <wp:effectExtent t="0" r="0" b="0" l="0"/>
            <wp:docPr id="1" name="06_trend_category.png" descr="Figure 4. Monthly claims by issue category (partial first and last months excluded) and category mix by period." title="Figure 4. Monthly claims by issue category (partial first and last months excluded) and category mix by perio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4. Monthly claims by issue category (partial first and last months excluded) and category mix by period.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Monthly volume peaks in early 2020 (about 65–70 claims per month) and declines through 2021. This is not evidence of improvement: there are no sales or production denominators, and the most recent months are right-censored (vehicles have not had time to fail).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category mix is </w:t>
      </w:r>
      <w:r>
        <w:rPr>
          <w:b/>
          <w:bCs/>
        </w:rPr>
        <w:t xml:space="preserve">statistically stable</w:t>
      </w:r>
      <w:r>
        <w:t xml:space="preserve"> across three equal-volume periods (χ² p = 0.30). The only notable drift is communication / network share falling 7.6 points (39.8% → 32.2%, p = 0.052) while software / calibration rose 3.0 points (not significant).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 to claim does not differ by category (Kruskal–Wallis p = 0.35). Overall, 20% of claims occur within 90 days of in-service and 39% within 180 days (median 228 days), pointing to early-life failure.</w:t>
      </w:r>
    </w:p>
    <w:p>
      <w:pPr>
        <w:pStyle w:val="Heading2"/>
        <w:keepNext/>
      </w:pPr>
      <w:r>
        <w:t xml:space="preserve">4.4 Plant, make and model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096000" cy="1514475"/>
            <wp:effectExtent t="0" r="0" b="0" l="0"/>
            <wp:docPr id="1" name="07_segment_heatmaps.png" descr="Figure 5. Category mix by plant, make and the eight largest models (row %; n shown per row)." title="Figure 5. Category mix by plant, make and the eight largest models (row %; n shown per row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5. Category mix by plant, make and the eight largest models (row %; n shown per row).</w:t>
      </w:r>
    </w:p>
    <w:p>
      <w:pPr>
        <w:spacing w:after="100" w:before="0" w:line="270"/>
      </w:pPr>
      <w:r>
        <w:t xml:space="preserve">Association with issue category is weak: plant p = 0.49 (V = 0.08), make p = 0.15 (V = 0.08), model p = 0.07 (V = 0.11). Small segments such as Fairfax II (n = 16) and Lansing LGR (n = 10) look extreme only because of low volume. Model-level hints worth watching are HyperFury X electrical / wiring (1.4× expected, n = 20) and NebulaJet communication faults (1.3×, n = 37). These are watch-list items, not conclusions.</w:t>
      </w:r>
    </w:p>
    <w:p>
      <w:pPr>
        <w:pStyle w:val="Heading2"/>
        <w:keepNext/>
      </w:pPr>
      <w:r>
        <w:t xml:space="preserve">4.5 Clusters, topics and potential root causes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6096000" cy="1762125"/>
            <wp:effectExtent t="0" r="0" b="0" l="0"/>
            <wp:docPr id="1" name="11_cluster_heatmaps.png" descr="Figure 6. Complaint clusters (K-Means) and root-cause topics (LDA) against issue category (row %)." title="Figure 6. Complaint clusters (K-Means) and root-cause topics (LDA) against issue category (row 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6. Complaint clusters (K-Means) and root-cause topics (LDA) against issue category (row 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600"/>
        <w:gridCol w:w="3238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Complaint cluster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 days in service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Mixed audio / phone / power-cycle complaints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299 (30%)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Broad catch-all of general audio, phone and shutdown complaints.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Black screen / touchscreen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 (15%)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Largest well-defined screen-failure group.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Software-type glitches (demo mode, freezes, errors)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108 (11%)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Slowest to surface; over-indexes at Lansing Delta (1.4×). Candidate for software fix.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XM / SiriusXM signal &amp; streaming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82 (8%)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Earliest to surface; 48% communication faults.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Backup camera inoperative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78 (8%)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238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Safety-relevant; over-indexes at Spring Hill Truck 1.4× (small n).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Screen intermittently blank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73 (7%)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Intermittent; hardest to reproduce.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Generic “not working” (camera, nav, speaker)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71 (7%)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Low-information complaints.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Display inoperative / flashing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60 (6%)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Fails early in service.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Terse “radio inoperative” reports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51 (5%)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96% resolved by replacement.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SD card / media errors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28 (3%)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Small, distinct cluster; half are component failures.</w:t>
            </w:r>
          </w:p>
        </w:tc>
      </w:tr>
    </w:tbl>
    <w:p>
      <w:pPr>
        <w:spacing w:after="80"/>
      </w:pPr>
    </w:p>
    <w:p>
      <w:pPr>
        <w:spacing w:after="100" w:before="0" w:line="270"/>
      </w:pPr>
      <w:r>
        <w:t xml:space="preserve"/>
      </w:r>
      <w:r>
        <w:rPr>
          <w:b/>
          <w:bCs/>
        </w:rPr>
        <w:t xml:space="preserve">Reading the clusters.</w:t>
      </w:r>
      <w:r>
        <w:t xml:space="preserve"> Complaint clusters align well with the customer-facing symptom area (NMI 0.40) but almost not at all with issue category (NMI 0.01): the same visible symptom is produced by different mechanisms, so symptom wording alone cannot triage root cause. Structure is soft (silhouette ≤ 0.10, seed-to-seed ARI 0.45–0.57), so clusters are descriptive groupings rather than sharply separated classes.</w:t>
      </w:r>
    </w:p>
    <w:p>
      <w:pPr>
        <w:spacing w:after="100" w:before="0" w:line="270"/>
      </w:pPr>
      <w:r>
        <w:t xml:space="preserve">LDA on technician text yields six interpretable topics: internal radio hardware failure (22%), software update / USB reprogramming for XM and antenna (19%), power / ground / data-line diagnostics (19%), shorted module and Ethernet communication faults (15%), camera / video and coax cabling (12%) and media (SD / USB / navigation) programming errors (12%).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Potential root cause (hypothesis)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in the data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confirm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Radio internal electronics / power-stage short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Shorted code 24%; internal fault in 34% of narratives; 89% replaced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Teardown and failure analysis of returned radios; supplier 8D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Ethernet / CAN communication interface failure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“No / incorrect communication” 38% of coded causes; ethernet, data-link or lost-comm text in 17%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Bus-level diagnostics on returned units; link to hardware / firmware revision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Software defects or outdated calibration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8% fixed by reprogramming alone; software category 12%; demo-mode / freeze cluster; bulletins in 5%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software versions before and after update; OTA pilot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Wiring, connector, antenna / coax faults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Wiring / electrical code 9%; camera / coax topic; technician notes cite fretting corrosion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Harness and terminal inspection; dielectric-grease check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Assembly or handling quality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3% of events (loose, not clipped, routing)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Line audit at build plants once volumes are available</w:t>
            </w:r>
          </w:p>
        </w:tc>
      </w:tr>
    </w:tbl>
    <w:p>
      <w:pPr>
        <w:pStyle w:val="Heading1"/>
        <w:keepNext/>
      </w:pPr>
      <w:r>
        <w:t xml:space="preserve">5. Actionable recommendations and business impact</w:t>
      </w:r>
    </w:p>
    <w:p>
      <w:pPr>
        <w:spacing w:after="100" w:before="0" w:line="270"/>
      </w:pPr>
      <w:r>
        <w:t xml:space="preserve">The extract has no cost data, so impact is sized in </w:t>
      </w:r>
      <w:r>
        <w:rPr>
          <w:b/>
          <w:bCs/>
        </w:rPr>
        <w:t xml:space="preserve">events per 1,000 claims</w:t>
      </w:r>
      <w:r>
        <w:t xml:space="preserve"> that finance can multiply by unit cost (parts, labour, TAC time, loan vehicles).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900"/>
        <w:gridCol w:w="29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 (owner, horizon)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P1. Failure analysis and supplier corrective action on radio internal electronics</w:t>
            </w:r>
            <w:r>
              <w:rPr>
                <w:sz w:val="18"/>
                <w:szCs w:val="18"/>
              </w:rPr>
              <w:t xml:space="preserve"> (Quality / Supplier, 0–3 months)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89% replaced; Shorted code 24%; internal fault in 34% of narratives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Targets about 890 replacements per 1,000 claims; each 10% reduction avoids about 89 replacements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P1. Harden the Ethernet / CAN interface:</w:t>
            </w:r>
            <w:r>
              <w:rPr>
                <w:sz w:val="18"/>
                <w:szCs w:val="18"/>
              </w:rPr>
              <w:t xml:space="preserve"> bus fault-injection tests, firmware / hardware revision traceability (Engineering, 3–9 months)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/ incorrect communication 38% of coded causes; lost-comm text 17%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Addresses about 370 events per 1,000 and a common mechanism behind black-screen and inoperative symptoms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P2. Move recurring reprogramming fixes to bulletin / OTA</w:t>
            </w:r>
            <w:r>
              <w:rPr>
                <w:sz w:val="18"/>
                <w:szCs w:val="18"/>
              </w:rPr>
              <w:t xml:space="preserve"> and track repeat visits after update (Software / Service, 3–6 months)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8% fixed by reprogramming only; software category 12%; slowest-surfacing cluster (median 303 days)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 to about 120 events per 1,000 could avoid a hardware swap or extra dealer visit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P2. Guided diagnostic tree</w:t>
            </w:r>
            <w:r>
              <w:rPr>
                <w:sz w:val="18"/>
                <w:szCs w:val="18"/>
              </w:rPr>
              <w:t xml:space="preserve"> for “no communication / black screen”, with mandatory capture of fault codes and bus status before calling TAC (Service engineering, 1–3 months)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30% TAC escalations; 18% no fault code found; 20% intermittent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About 295 escalations per 1,000: shorter repair time, fewer repeat visits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P2. Early-life quality gate:</w:t>
            </w:r>
            <w:r>
              <w:rPr>
                <w:sz w:val="18"/>
                <w:szCs w:val="18"/>
              </w:rPr>
              <w:t xml:space="preserve"> end-of-line communication and boot test, burn-in sampling (Manufacturing, 3–6 months)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20% of claims within 90 days, 39% within 180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About 195 early-life events per 1,000; protects customer satisfaction in the first months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P2. Safety review of rear-camera loss</w:t>
            </w:r>
            <w:r>
              <w:rPr>
                <w:sz w:val="18"/>
                <w:szCs w:val="18"/>
              </w:rPr>
              <w:t xml:space="preserve"> (Product safety / Compliance, immediate)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Camera in 12% of events; “when reversing” trigger in 4%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Reduces customer-risk exposure; rear-visibility rules apply in several markets (verify applicability)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P3. Watch-list monitoring</w:t>
            </w:r>
            <w:r>
              <w:rPr>
                <w:sz w:val="18"/>
                <w:szCs w:val="18"/>
              </w:rPr>
              <w:t xml:space="preserve"> of model / plant hot spots with control charts once production volumes are added (Quality analytics, 3 months)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HyperFury X electrical 1.4×, NebulaJet communication 1.3×; overall segment effects weak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Avoids false alarms and enables early warning on a true rate basis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P3. Fix data capture:</w:t>
            </w:r>
            <w:r>
              <w:rPr>
                <w:sz w:val="18"/>
                <w:szCs w:val="18"/>
              </w:rPr>
              <w:t xml:space="preserve"> date validation, retain fault codes, pick-lists for symptom / trigger / fix, language tag (IT / dealer systems, 3–6 months)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7.6% impossible date pairs; fault codes masked; 19% of events with no symptom wording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Makes monitoring automatic and improves tagging accuracy over time</w:t>
            </w:r>
          </w:p>
        </w:tc>
      </w:tr>
    </w:tbl>
    <w:p>
      <w:pPr>
        <w:pStyle w:val="Heading1"/>
        <w:keepNext/>
      </w:pPr>
      <w:r>
        <w:t xml:space="preserve">6. Key learnings and further improvements</w:t>
      </w:r>
    </w:p>
    <w:p>
      <w:pPr>
        <w:pStyle w:val="Heading2"/>
        <w:keepNext/>
      </w:pPr>
      <w:r>
        <w:t xml:space="preserve">Technical learnings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Coded fields beat text for category assignment, text beats codes for nuance.</w:t>
      </w:r>
      <w:r>
        <w:t xml:space="preserve"> Combining them (coded cause first, mined tags for vague codes) gave the most defensible categories.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Source-aware extraction matters.</w:t>
      </w:r>
      <w:r>
        <w:t xml:space="preserve"> Technician narratives contain long test procedures; taking components from customer text first and findings from diagnosis text avoided most false tags.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Short, noisy, multilingual text gives weak clusters.</w:t>
      </w:r>
      <w:r>
        <w:t xml:space="preserve"> Silhouette stayed below 0.10 at every k, so clusters were used for description and hypothesis generation, always profiled against coded fields.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/>
      </w:r>
      <w:r>
        <w:rPr>
          <w:b/>
          <w:bCs/>
        </w:rPr>
        <w:t xml:space="preserve">Gold-set validation was only possible on 5 rows,</w:t>
      </w:r>
      <w:r>
        <w:t xml:space="preserve"> so reported tagging accuracy is directional.</w:t>
      </w:r>
    </w:p>
    <w:p>
      <w:pPr>
        <w:pStyle w:val="Heading2"/>
        <w:keepNext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Label about 300 events and fine-tune a small transformer NER model, or prompt an open-source LLM with a JSON schema; compare F1 against this dictionary baseline.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 multilingual sentence embeddings with BERTopic / HDBSCAN for sharper topics, keeping K-Means / LDA as interpretable baselines.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production volumes and build-lot / supplier-lot data to convert counts to rates per 1,000 vehicles; apply survival (Weibull) analysis and p-chart / CUSUM monitoring.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cost per claim to turn the event-based sizing above into a financial business case.</w:t>
      </w:r>
    </w:p>
    <w:p>
      <w:pPr>
        <w:pStyle w:val="Heading2"/>
        <w:keepNext/>
      </w:pPr>
      <w:r>
        <w:t xml:space="preserve">Limitations</w:t>
      </w:r>
    </w:p>
    <w:p>
      <w:pPr>
        <w:spacing w:after="100" w:before="0" w:line="270"/>
      </w:pPr>
      <w:r>
        <w:t xml:space="preserve">No denominators or costs; one model year; recent months right-censored; 7.6% invalid date pairs; the tag dictionary is not exhaustive; weak cluster separation. Findings are directional and should be confirmed with failure analysis before large investments.</w:t>
      </w:r>
    </w:p>
    <w:p>
      <w:pPr>
        <w:pStyle w:val="Heading1"/>
        <w:keepNext/>
      </w:pPr>
      <w:r>
        <w:t xml:space="preserve">Appendix.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D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Hanuai_Task2_EDA_TextMining.ipynb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Annotated, fully executed notebook: EDA, text mining, entity extraction, categorisation, clustering and export.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Hanuai_task2_tagged.csv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1,000 events with the six example columns populated plus symptoms, findings, process flags, DTC status, issue category, symptom area, cluster and topic.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Hanuai_task2_tagged.xlsx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data with colour-coded headers (grey = original, green = extracted tags, blue = classification), example rows highlighted, and sheets for tag dictionary, tag frequency, category / cluster / topic profiles and gold-set validation.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Hanuai_Task2_Report (this document)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Synthesis, actionable points with business impact, and learnings.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Task 2 — Advanced EDA &amp; Text Mining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F5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25d3ff5faf40c40adbcde7580c793f6fa40e08.png"/><Relationship Id="rId9" Type="http://schemas.openxmlformats.org/officeDocument/2006/relationships/image" Target="media/64adb1d71d854d78822e4b5e8e79f38cc830e2cd.png"/><Relationship Id="rId10" Type="http://schemas.openxmlformats.org/officeDocument/2006/relationships/image" Target="media/74c7448aaeec9b72505efac3f0469de9e9bee559.png"/><Relationship Id="rId11" Type="http://schemas.openxmlformats.org/officeDocument/2006/relationships/image" Target="media/3b9916b2934813e653525f92b119e40c9d20e205.png"/><Relationship Id="rId12" Type="http://schemas.openxmlformats.org/officeDocument/2006/relationships/image" Target="media/759fcb22e3972ffbf8c254ccfe0ab4ee1fc05217.png"/><Relationship Id="rId13" Type="http://schemas.openxmlformats.org/officeDocument/2006/relationships/image" Target="media/fe05b7e35d5975eb5d1999edf122053542bf7c7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2 — Advanced EDA &amp; Text Mining</dc:title>
  <dc:creator>Task 2 analysis</dc:creator>
  <cp:lastModifiedBy>Un-named</cp:lastModifiedBy>
  <cp:revision>1</cp:revision>
  <dcterms:created xsi:type="dcterms:W3CDTF">2026-10-26T05:01:58.694Z</dcterms:created>
  <dcterms:modified xsi:type="dcterms:W3CDTF">2026-10-26T05:01:58.694Z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