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close all; clear all;clc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disp('Convert the grayscale image to the pseudo-color image1');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X=imread('parrots.jpeg','jpeg'); % Read image, provided by the instructor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Y=rgb2gray(X); %color image to the grayscale conversion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Apply pseudo-color functions using sinusoids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C_r=10; % period for the red channel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P_r=0; % Phase change for the red channel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C_b=100; % period for the blue channel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P_b=60; % Phase change for the blue channel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C_g=900; % period for the green channel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P_g=30; % Phase change for the green channel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r=abs(sin(2*pi*[-P_r:255-P_r]/C_r));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b=abs(sin(2*pi*[-P_b:255-P_b]/C_b));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g=abs(sin(2*pi*[-P_g:255-P_g]/C_g));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figure, subplot(3,1,1);plot(r,'r');grid;ylabel('R value')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subplot(3,1,2);plot(g,'g');grid;ylabel('G value');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subplot(3,1,3);plot(b,'b');grid;ylabel('B value');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%%%%%%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map=[r;g;b;]'; % Construct the color map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%%%%%%%%%%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figure,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imshow(X);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title('Original RGB image');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imshow(Y);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title('The Grayscale version');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figure,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imshow(Y,map); % Display the pseudo-color 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title('The Pseudo-color version');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