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Aircraft Engine Remaining Useful Life Prediction</w:t>
      </w:r>
    </w:p>
    <w:p>
      <w:pPr>
        <w:pStyle w:val="Subtitle"/>
      </w:pPr>
      <w:r>
        <w:t>Project Proposal for Parallel Processing of Large Sensor Data</w:t>
      </w:r>
    </w:p>
    <w:p>
      <w:r>
        <w:rPr>
          <w:sz w:val="19"/>
        </w:rPr>
        <w:t>김성현  |  Student ID 2021271250  |  Proposal due 21 October 2026</w:t>
      </w:r>
    </w:p>
    <w:p>
      <w:pPr>
        <w:pStyle w:val="Heading1"/>
      </w:pPr>
      <w:r>
        <w:t>Research objective</w:t>
      </w:r>
    </w:p>
    <w:p>
      <w:r>
        <w:t>Predict remaining useful life (RUL), measured in flight cycles until failure, from NASA N-CMAPSS DS02. Build a reproducible analysis and inference pipeline that compares regression on statistical features with a compact 1D CNN, while measuring reading, feature-extraction and parallel-processing costs.</w:t>
      </w:r>
    </w:p>
    <w:p>
      <w:pPr>
        <w:pStyle w:val="Heading1"/>
      </w:pPr>
      <w:r>
        <w:t>Data and prediction methods</w:t>
      </w:r>
    </w:p>
    <w:p>
      <w:r>
        <w:t>DS02 has 6,517,190 rows from nine simulated engines [1, 2]. Inputs contain only 18 operating-condition and measured-sensor channels (W and Xs), excluding degradation variables T, health state hs and virtual sensors Xv. Engine and flight-cycle boundaries are preserved. Mean, standard deviation, minimum, maximum and slope provide 90 features for a mean baseline, Ridge and histogram gradient boosting. A 1D CNN uses raw sensor windows. Six window/stride settings and raw/nonnegative prediction policies are also evaluated.</w:t>
      </w:r>
    </w:p>
    <w:p>
      <w:pPr>
        <w:pStyle w:val="Heading1"/>
      </w:pPr>
      <w:r>
        <w:t>Evaluation and computing experiments</w:t>
      </w:r>
    </w:p>
    <w:p>
      <w:r>
        <w:t>Select settings using three-fold engine-grouped validation on development engines 2, 5, 10, 16, 18 and 20. Average window predictions at flight end, then report cycle-level MAE and RMSE per engine and their unweighted means. Test engines 11, 14 and 15 were inspected in the original experiment; extensions are explicitly exploratory re-evaluations of this same test split. Compare 1, 2, 4 and 8 workers and HDF5 chunk sizes for time, throughput, memory and output agreement. Three simulated test engines do not establish real-aircraft operational performance.</w:t>
      </w:r>
    </w:p>
    <w:p>
      <w:pPr>
        <w:pStyle w:val="Heading1"/>
      </w:pPr>
      <w:r>
        <w:t>Implementation record and submission dates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fill="F0F0F0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Dates in 2026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fill="F0F0F0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Work and deliverables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 October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Data, pipeline, baselines, sensitivity study, CNN, inference and experiments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 October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Submit separate one-page Korean and English proposals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 December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Five-minute presentation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 December 23:59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Submit report and source code</w:t>
            </w:r>
          </w:p>
        </w:tc>
      </w:tr>
    </w:tbl>
    <w:p>
      <w:pPr>
        <w:pStyle w:val="Heading1"/>
      </w:pPr>
      <w:r>
        <w:t>References</w:t>
      </w:r>
    </w:p>
    <w:p>
      <w:pPr>
        <w:spacing w:after="40" w:line="240" w:lineRule="auto"/>
      </w:pPr>
      <w:hyperlink r:id="rId9">
        <w:r>
          <w:rPr>
            <w:rFonts w:ascii="Malgun Gothic" w:hAnsi="Malgun Gothic" w:eastAsia="Malgun Gothic" w:cs="Malgun Gothic"/>
            <w:color w:val="000000"/>
            <w:sz w:val="16"/>
          </w:rPr>
          <w:t>[1] NASA PCoE Data Set Repository, Dataset 17, Turbofan Engine Degradation Simulation-2.</w:t>
        </w:r>
      </w:hyperlink>
    </w:p>
    <w:p>
      <w:pPr>
        <w:spacing w:after="40" w:line="240" w:lineRule="auto"/>
      </w:pPr>
      <w:hyperlink r:id="rId10">
        <w:r>
          <w:rPr>
            <w:rFonts w:ascii="Malgun Gothic" w:hAnsi="Malgun Gothic" w:eastAsia="Malgun Gothic" w:cs="Malgun Gothic"/>
            <w:color w:val="000000"/>
            <w:sz w:val="16"/>
          </w:rPr>
          <w:t>[2] Arias Chao et al. (2021). Aircraft Engine Run-to-Failure Dataset under Real Flight Conditions for Prognostics and Diagnostics. Data, 6(1), 5. doi:10.3390/data6010005.</w:t>
        </w:r>
      </w:hyperlink>
    </w:p>
    <w:p>
      <w:pPr>
        <w:spacing w:after="40" w:line="240" w:lineRule="auto"/>
      </w:pPr>
      <w:r>
        <w:rPr>
          <w:sz w:val="16"/>
          <w:sz w:val="16"/>
        </w:rPr>
        <w:t>NASA is the original source; DS02 was acquired through the Figshare third-party mirror (doi:10.6084/m9.figshare.20436504.v1). The NASA full bundle is 15.76 GB; the DS02 file is 2.45 GB.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Malgun Gothic" w:hAnsi="Malgun Gothic" w:eastAsia="Malgun Gothic" w:cs="Malgun Gothi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 w:cs="Malgun Gothic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Malgun Gothic" w:hAnsi="Malgun Gothic" w:eastAsia="Malgun Gothic" w:cs="Malgun Gothic"/>
      <w:b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asa.gov/intelligent-systems-division/discovery-and-systems-health/pcoe/pcoe-data-set-repository/" TargetMode="External"/><Relationship Id="rId10" Type="http://schemas.openxmlformats.org/officeDocument/2006/relationships/hyperlink" Target="https://doi.org/10.3390/data6010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Aircraft Engine Remaining Useful Life Prediction</dc:title>
  <dc:subject>N-CMAPSS DS02 remaining useful life project proposal</dc:subject>
  <dc:creator>김성현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