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항공기 엔진 잔여수명 예측</w:t>
      </w:r>
    </w:p>
    <w:p>
      <w:pPr>
        <w:pStyle w:val="Subtitle"/>
      </w:pPr>
      <w:r>
        <w:t>대용량 센서 데이터 병렬 처리 프로젝트 제안서</w:t>
      </w:r>
    </w:p>
    <w:p>
      <w:r>
        <w:rPr>
          <w:sz w:val="19"/>
        </w:rPr>
        <w:t>김성현  |  학번 2021271250  |  제안서 제출 2026년 10월 21일</w:t>
      </w:r>
    </w:p>
    <w:p>
      <w:pPr>
        <w:pStyle w:val="Heading1"/>
      </w:pPr>
      <w:r>
        <w:t>연구 목표</w:t>
      </w:r>
    </w:p>
    <w:p>
      <w:r>
        <w:t>NASA N-CMAPSS DS02의 센서 시계열로 고장까지 남은 비행 사이클 수인 잔여수명(RUL)을 예측한다. 예측 정확도와 함께 데이터 읽기·특징 추출·병렬 처리 비용을 측정하고, 통계 특징 기반 회귀와 소형 1D CNN을 비교하는 재현 가능한 분석·추론 파이프라인을 구현한다.</w:t>
      </w:r>
    </w:p>
    <w:p>
      <w:pPr>
        <w:pStyle w:val="Heading1"/>
      </w:pPr>
      <w:r>
        <w:t>데이터와 예측 방법</w:t>
      </w:r>
    </w:p>
    <w:p>
      <w:r>
        <w:t>DS02는 모의 엔진 9대의 6,517,190행이다[1, 2]. 운항 조건 W와 측정 센서 Xs의 18개 채널만 입력으로 사용하며, 열화 변수 T·건강 상태 hs·가상 센서 Xv는 제외한다. 엔진·비행 사이클 경계를 보존한 윈도에서 평균·표준편차·최솟값·최댓값·기울기의 90개 특징을 만든다. 평균 기준모델·Ridge·히스토그램 그래디언트 부스팅과 원시 시계열 1D CNN을 비교한다. 6가지 윈도·간격 설정과 원시/비음수 예측 정책도 평가한다.</w:t>
      </w:r>
    </w:p>
    <w:p>
      <w:pPr>
        <w:pStyle w:val="Heading1"/>
      </w:pPr>
      <w:r>
        <w:t>평가와 빅데이터 실험</w:t>
      </w:r>
    </w:p>
    <w:p>
      <w:r>
        <w:t>개발 엔진 2, 5, 10, 16, 18, 20의 엔진별 3분할 교차검증으로 설정을 선택한다. 윈도 예측을 비행 종료 시점에 평균하고 엔진별 사이클 MAE·RMSE와 엔진 간 단순평균을 보고한다. 시험 엔진 11, 14, 15는 최초 실험에서 이미 열람했으므로 확장 결과는 동일 시험 자료의 탐색적 재평가로 명시한다. 작업자 1·2·4·8개와 HDF5 청크 크기를 바꾸어 시간·처리량·메모리·결과 일치를 측정한다. 엔진 3대의 시험 결과를 실제 항공기 운용 성능으로 일반화하지 않는다.</w:t>
      </w:r>
    </w:p>
    <w:p>
      <w:pPr>
        <w:pStyle w:val="Heading1"/>
      </w:pPr>
      <w:r>
        <w:t>구현 기록과 제출 일정</w:t>
      </w:r>
    </w:p>
    <w:tbl>
      <w:tblPr>
        <w:tblW w:type="auto" w:w="0"/>
        <w:jc w:val="center"/>
        <w:tblLayout w:type="fixed"/>
        <w:tblLook w:firstColumn="1" w:firstRow="1" w:lastColumn="0" w:lastRow="0" w:noHBand="0" w:noVBand="1" w:val="04A0"/>
      </w:tblPr>
      <w:tblGrid>
        <w:gridCol w:w="4819"/>
        <w:gridCol w:w="4819"/>
      </w:tblGrid>
      <w:tr>
        <w:tc>
          <w:tcPr>
            <w:tcW w:type="dxa" w:w="2381"/>
            <w:vAlign w:val="center"/>
            <w:tcBorders>
              <w:top w:val="single" w:sz="4" w:color="D9D9D9"/>
              <w:left w:val="single" w:sz="4" w:color="D9D9D9"/>
              <w:bottom w:val="single" w:sz="4" w:color="D9D9D9"/>
              <w:right w:val="single" w:sz="4" w:color="D9D9D9"/>
            </w:tcBorders>
            <w:tcMar>
              <w:top w:w="50" w:type="dxa"/>
              <w:bottom w:w="50" w:type="dxa"/>
              <w:left w:w="80" w:type="dxa"/>
              <w:right w:w="80" w:type="dxa"/>
            </w:tcMar>
            <w:shd w:fill="F0F0F0"/>
          </w:tcPr>
          <w:p>
            <w:pPr>
              <w:spacing w:after="0" w:line="252" w:lineRule="auto"/>
            </w:pPr>
            <w:r>
              <w:rPr>
                <w:b/>
                <w:sz w:val="18"/>
              </w:rPr>
              <w:t>기간</w:t>
            </w:r>
          </w:p>
        </w:tc>
        <w:tc>
          <w:tcPr>
            <w:tcW w:type="dxa" w:w="7257"/>
            <w:vAlign w:val="center"/>
            <w:tcBorders>
              <w:top w:val="single" w:sz="4" w:color="D9D9D9"/>
              <w:left w:val="single" w:sz="4" w:color="D9D9D9"/>
              <w:bottom w:val="single" w:sz="4" w:color="D9D9D9"/>
              <w:right w:val="single" w:sz="4" w:color="D9D9D9"/>
            </w:tcBorders>
            <w:tcMar>
              <w:top w:w="50" w:type="dxa"/>
              <w:bottom w:w="50" w:type="dxa"/>
              <w:left w:w="80" w:type="dxa"/>
              <w:right w:w="80" w:type="dxa"/>
            </w:tcMar>
            <w:shd w:fill="F0F0F0"/>
          </w:tcPr>
          <w:p>
            <w:pPr>
              <w:spacing w:after="0" w:line="252" w:lineRule="auto"/>
            </w:pPr>
            <w:r>
              <w:rPr>
                <w:b/>
                <w:sz w:val="18"/>
              </w:rPr>
              <w:t>수행 내용과 제출물</w:t>
            </w:r>
          </w:p>
        </w:tc>
      </w:tr>
      <w:tr>
        <w:tc>
          <w:tcPr>
            <w:tcW w:type="dxa" w:w="2381"/>
            <w:vAlign w:val="center"/>
            <w:tcBorders>
              <w:top w:val="single" w:sz="4" w:color="D9D9D9"/>
              <w:left w:val="single" w:sz="4" w:color="D9D9D9"/>
              <w:bottom w:val="single" w:sz="4" w:color="D9D9D9"/>
              <w:right w:val="single" w:sz="4" w:color="D9D9D9"/>
            </w:tcBorders>
            <w:tcMar>
              <w:top w:w="50" w:type="dxa"/>
              <w:bottom w:w="50" w:type="dxa"/>
              <w:left w:w="80" w:type="dxa"/>
              <w:right w:w="80" w:type="dxa"/>
            </w:tcMar>
          </w:tcPr>
          <w:p>
            <w:pPr>
              <w:spacing w:after="0" w:line="252" w:lineRule="auto"/>
            </w:pPr>
            <w:r>
              <w:rPr>
                <w:b w:val="0"/>
                <w:sz w:val="18"/>
              </w:rPr>
              <w:t>10월 2일</w:t>
            </w:r>
          </w:p>
        </w:tc>
        <w:tc>
          <w:tcPr>
            <w:tcW w:type="dxa" w:w="7257"/>
            <w:vAlign w:val="center"/>
            <w:tcBorders>
              <w:top w:val="single" w:sz="4" w:color="D9D9D9"/>
              <w:left w:val="single" w:sz="4" w:color="D9D9D9"/>
              <w:bottom w:val="single" w:sz="4" w:color="D9D9D9"/>
              <w:right w:val="single" w:sz="4" w:color="D9D9D9"/>
            </w:tcBorders>
            <w:tcMar>
              <w:top w:w="50" w:type="dxa"/>
              <w:bottom w:w="50" w:type="dxa"/>
              <w:left w:w="80" w:type="dxa"/>
              <w:right w:w="80" w:type="dxa"/>
            </w:tcMar>
          </w:tcPr>
          <w:p>
            <w:pPr>
              <w:spacing w:after="0" w:line="252" w:lineRule="auto"/>
            </w:pPr>
            <w:r>
              <w:rPr>
                <w:b w:val="0"/>
                <w:sz w:val="18"/>
              </w:rPr>
              <w:t>데이터·파이프라인·기준모델·민감도·CNN·추론 구현 및 실험</w:t>
            </w:r>
          </w:p>
        </w:tc>
      </w:tr>
      <w:tr>
        <w:tc>
          <w:tcPr>
            <w:tcW w:type="dxa" w:w="2381"/>
            <w:vAlign w:val="center"/>
            <w:tcBorders>
              <w:top w:val="single" w:sz="4" w:color="D9D9D9"/>
              <w:left w:val="single" w:sz="4" w:color="D9D9D9"/>
              <w:bottom w:val="single" w:sz="4" w:color="D9D9D9"/>
              <w:right w:val="single" w:sz="4" w:color="D9D9D9"/>
            </w:tcBorders>
            <w:tcMar>
              <w:top w:w="50" w:type="dxa"/>
              <w:bottom w:w="50" w:type="dxa"/>
              <w:left w:w="80" w:type="dxa"/>
              <w:right w:w="80" w:type="dxa"/>
            </w:tcMar>
          </w:tcPr>
          <w:p>
            <w:pPr>
              <w:spacing w:after="0" w:line="252" w:lineRule="auto"/>
            </w:pPr>
            <w:r>
              <w:rPr>
                <w:b w:val="0"/>
                <w:sz w:val="18"/>
              </w:rPr>
              <w:t>10월 21일</w:t>
            </w:r>
          </w:p>
        </w:tc>
        <w:tc>
          <w:tcPr>
            <w:tcW w:type="dxa" w:w="7257"/>
            <w:vAlign w:val="center"/>
            <w:tcBorders>
              <w:top w:val="single" w:sz="4" w:color="D9D9D9"/>
              <w:left w:val="single" w:sz="4" w:color="D9D9D9"/>
              <w:bottom w:val="single" w:sz="4" w:color="D9D9D9"/>
              <w:right w:val="single" w:sz="4" w:color="D9D9D9"/>
            </w:tcBorders>
            <w:tcMar>
              <w:top w:w="50" w:type="dxa"/>
              <w:bottom w:w="50" w:type="dxa"/>
              <w:left w:w="80" w:type="dxa"/>
              <w:right w:w="80" w:type="dxa"/>
            </w:tcMar>
          </w:tcPr>
          <w:p>
            <w:pPr>
              <w:spacing w:after="0" w:line="252" w:lineRule="auto"/>
            </w:pPr>
            <w:r>
              <w:rPr>
                <w:b w:val="0"/>
                <w:sz w:val="18"/>
              </w:rPr>
              <w:t>한국어 및 영어 각 1쪽 제안서 제출</w:t>
            </w:r>
          </w:p>
        </w:tc>
      </w:tr>
      <w:tr>
        <w:tc>
          <w:tcPr>
            <w:tcW w:type="dxa" w:w="2381"/>
            <w:vAlign w:val="center"/>
            <w:tcBorders>
              <w:top w:val="single" w:sz="4" w:color="D9D9D9"/>
              <w:left w:val="single" w:sz="4" w:color="D9D9D9"/>
              <w:bottom w:val="single" w:sz="4" w:color="D9D9D9"/>
              <w:right w:val="single" w:sz="4" w:color="D9D9D9"/>
            </w:tcBorders>
            <w:tcMar>
              <w:top w:w="50" w:type="dxa"/>
              <w:bottom w:w="50" w:type="dxa"/>
              <w:left w:w="80" w:type="dxa"/>
              <w:right w:w="80" w:type="dxa"/>
            </w:tcMar>
          </w:tcPr>
          <w:p>
            <w:pPr>
              <w:spacing w:after="0" w:line="252" w:lineRule="auto"/>
            </w:pPr>
            <w:r>
              <w:rPr>
                <w:b w:val="0"/>
                <w:sz w:val="18"/>
              </w:rPr>
              <w:t>12월 8일</w:t>
            </w:r>
          </w:p>
        </w:tc>
        <w:tc>
          <w:tcPr>
            <w:tcW w:type="dxa" w:w="7257"/>
            <w:vAlign w:val="center"/>
            <w:tcBorders>
              <w:top w:val="single" w:sz="4" w:color="D9D9D9"/>
              <w:left w:val="single" w:sz="4" w:color="D9D9D9"/>
              <w:bottom w:val="single" w:sz="4" w:color="D9D9D9"/>
              <w:right w:val="single" w:sz="4" w:color="D9D9D9"/>
            </w:tcBorders>
            <w:tcMar>
              <w:top w:w="50" w:type="dxa"/>
              <w:bottom w:w="50" w:type="dxa"/>
              <w:left w:w="80" w:type="dxa"/>
              <w:right w:w="80" w:type="dxa"/>
            </w:tcMar>
          </w:tcPr>
          <w:p>
            <w:pPr>
              <w:spacing w:after="0" w:line="252" w:lineRule="auto"/>
            </w:pPr>
            <w:r>
              <w:rPr>
                <w:b w:val="0"/>
                <w:sz w:val="18"/>
              </w:rPr>
              <w:t>5분 발표</w:t>
            </w:r>
          </w:p>
        </w:tc>
      </w:tr>
      <w:tr>
        <w:tc>
          <w:tcPr>
            <w:tcW w:type="dxa" w:w="2381"/>
            <w:vAlign w:val="center"/>
            <w:tcBorders>
              <w:top w:val="single" w:sz="4" w:color="D9D9D9"/>
              <w:left w:val="single" w:sz="4" w:color="D9D9D9"/>
              <w:bottom w:val="single" w:sz="4" w:color="D9D9D9"/>
              <w:right w:val="single" w:sz="4" w:color="D9D9D9"/>
            </w:tcBorders>
            <w:tcMar>
              <w:top w:w="50" w:type="dxa"/>
              <w:bottom w:w="50" w:type="dxa"/>
              <w:left w:w="80" w:type="dxa"/>
              <w:right w:w="80" w:type="dxa"/>
            </w:tcMar>
          </w:tcPr>
          <w:p>
            <w:pPr>
              <w:spacing w:after="0" w:line="252" w:lineRule="auto"/>
            </w:pPr>
            <w:r>
              <w:rPr>
                <w:b w:val="0"/>
                <w:sz w:val="18"/>
              </w:rPr>
              <w:t>12월 16일 23:59</w:t>
            </w:r>
          </w:p>
        </w:tc>
        <w:tc>
          <w:tcPr>
            <w:tcW w:type="dxa" w:w="7257"/>
            <w:vAlign w:val="center"/>
            <w:tcBorders>
              <w:top w:val="single" w:sz="4" w:color="D9D9D9"/>
              <w:left w:val="single" w:sz="4" w:color="D9D9D9"/>
              <w:bottom w:val="single" w:sz="4" w:color="D9D9D9"/>
              <w:right w:val="single" w:sz="4" w:color="D9D9D9"/>
            </w:tcBorders>
            <w:tcMar>
              <w:top w:w="50" w:type="dxa"/>
              <w:bottom w:w="50" w:type="dxa"/>
              <w:left w:w="80" w:type="dxa"/>
              <w:right w:w="80" w:type="dxa"/>
            </w:tcMar>
          </w:tcPr>
          <w:p>
            <w:pPr>
              <w:spacing w:after="0" w:line="252" w:lineRule="auto"/>
            </w:pPr>
            <w:r>
              <w:rPr>
                <w:b w:val="0"/>
                <w:sz w:val="18"/>
              </w:rPr>
              <w:t>보고서와 소스 코드 제출</w:t>
            </w:r>
          </w:p>
        </w:tc>
      </w:tr>
    </w:tbl>
    <w:p>
      <w:pPr>
        <w:pStyle w:val="Heading1"/>
      </w:pPr>
      <w:r>
        <w:t>참고문헌</w:t>
      </w:r>
    </w:p>
    <w:p>
      <w:pPr>
        <w:spacing w:after="40" w:line="240" w:lineRule="auto"/>
      </w:pPr>
      <w:hyperlink r:id="rId9">
        <w:r>
          <w:rPr>
            <w:rFonts w:ascii="Malgun Gothic" w:hAnsi="Malgun Gothic" w:eastAsia="Malgun Gothic" w:cs="Malgun Gothic"/>
            <w:color w:val="000000"/>
            <w:sz w:val="16"/>
          </w:rPr>
          <w:t>[1] NASA PCoE Data Set Repository, Dataset 17, Turbofan Engine Degradation Simulation-2.</w:t>
        </w:r>
      </w:hyperlink>
    </w:p>
    <w:p>
      <w:pPr>
        <w:spacing w:after="40" w:line="240" w:lineRule="auto"/>
      </w:pPr>
      <w:hyperlink r:id="rId10">
        <w:r>
          <w:rPr>
            <w:rFonts w:ascii="Malgun Gothic" w:hAnsi="Malgun Gothic" w:eastAsia="Malgun Gothic" w:cs="Malgun Gothic"/>
            <w:color w:val="000000"/>
            <w:sz w:val="16"/>
          </w:rPr>
          <w:t>[2] Arias Chao et al. (2021). Aircraft Engine Run-to-Failure Dataset under Real Flight Conditions for Prognostics and Diagnostics. Data, 6(1), 5. doi:10.3390/data6010005.</w:t>
        </w:r>
      </w:hyperlink>
    </w:p>
    <w:p>
      <w:pPr>
        <w:spacing w:after="40" w:line="240" w:lineRule="auto"/>
      </w:pPr>
      <w:r>
        <w:rPr>
          <w:sz w:val="16"/>
          <w:sz w:val="16"/>
        </w:rPr>
        <w:t>원출처는 NASA이며 실제 DS02 수집은 Figshare 제3자 미러(doi:10.6084/m9.figshare.20436504.v1)를 사용했다. NASA 전체 묶음 15.76 GB와 DS02 파일 2.45 GB를 구별한다.</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Malgun Gothic" w:hAnsi="Malgun Gothic" w:eastAsia="Malgun Gothic" w:cs="Malgun Gothi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Malgun Gothic" w:hAnsi="Malgun Gothic" w:eastAsia="Malgun Gothic" w:cs="Malgun Gothic"/>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Malgun Gothic" w:hAnsi="Malgun Gothic" w:eastAsia="Malgun Gothic" w:cs="Malgun Gothic"/>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Malgun Gothic" w:hAnsi="Malgun Gothic" w:eastAsia="Malgun Gothic" w:cs="Malgun Gothic"/>
      <w:b/>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sa.gov/intelligent-systems-division/discovery-and-systems-health/pcoe/pcoe-data-set-repository/" TargetMode="External"/><Relationship Id="rId10" Type="http://schemas.openxmlformats.org/officeDocument/2006/relationships/hyperlink" Target="https://doi.org/10.3390/data6010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항공기 엔진 잔여수명 예측</dc:title>
  <dc:subject>N-CMAPSS DS02 remaining useful life project proposal</dc:subject>
  <dc:creator>김성현</dc:creator>
  <cp:keywords/>
  <dc:description>generated by python-docx</dc:description>
  <cp:lastModifiedBy/>
  <cp:revision>1</cp:revision>
  <dcterms:created xsi:type="dcterms:W3CDTF">2013-12-23T23:15:00Z</dcterms:created>
  <dcterms:modified xsi:type="dcterms:W3CDTF">2013-12-23T23:15:00Z</dcterms:modified>
  <cp:category/>
</cp:coreProperties>
</file>