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2524" w:rsidRPr="00142524" w:rsidRDefault="00142524" w:rsidP="00142524">
      <w:pPr>
        <w:wordWrap/>
        <w:snapToGrid w:val="0"/>
        <w:spacing w:line="432" w:lineRule="auto"/>
        <w:jc w:val="left"/>
        <w:textAlignment w:val="baseline"/>
        <w:rPr>
          <w:rFonts w:ascii="NanumGothic" w:eastAsia="NanumGothic" w:hAnsi="NanumGothic" w:cs="굴림"/>
          <w:color w:val="000000"/>
          <w:kern w:val="0"/>
          <w:sz w:val="28"/>
          <w:szCs w:val="28"/>
        </w:rPr>
      </w:pPr>
      <w:r w:rsidRPr="00142524">
        <w:rPr>
          <w:rFonts w:ascii="NanumGothic" w:eastAsia="NanumGothic" w:hAnsi="NanumGothic" w:cs="굴림" w:hint="eastAsia"/>
          <w:b/>
          <w:bCs/>
          <w:color w:val="000000"/>
          <w:kern w:val="0"/>
          <w:szCs w:val="28"/>
        </w:rPr>
        <w:t>별첨3</w:t>
      </w:r>
      <w:r w:rsidRPr="00142524">
        <w:rPr>
          <w:rFonts w:ascii="NanumGothic" w:eastAsia="NanumGothic" w:hAnsi="NanumGothic" w:cs="굴림"/>
          <w:b/>
          <w:bCs/>
          <w:color w:val="000000"/>
          <w:kern w:val="0"/>
          <w:szCs w:val="28"/>
        </w:rPr>
        <w:t xml:space="preserve">. </w:t>
      </w:r>
      <w:r w:rsidRPr="00142524">
        <w:rPr>
          <w:rFonts w:ascii="NanumGothic" w:eastAsia="NanumGothic" w:hAnsi="NanumGothic" w:cs="굴림"/>
          <w:b/>
          <w:bCs/>
          <w:color w:val="000000"/>
          <w:kern w:val="0"/>
          <w:sz w:val="28"/>
          <w:szCs w:val="28"/>
        </w:rPr>
        <w:t xml:space="preserve">의약품 조사자료 </w:t>
      </w:r>
      <w:r w:rsidRPr="00142524">
        <w:rPr>
          <w:rFonts w:ascii="NanumGothic" w:eastAsia="NanumGothic" w:hAnsi="NanumGothic" w:cs="굴림" w:hint="eastAsia"/>
          <w:b/>
          <w:bCs/>
          <w:color w:val="000000"/>
          <w:kern w:val="0"/>
          <w:sz w:val="28"/>
          <w:szCs w:val="28"/>
        </w:rPr>
        <w:t>1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596"/>
        <w:gridCol w:w="56"/>
        <w:gridCol w:w="756"/>
        <w:gridCol w:w="2907"/>
        <w:gridCol w:w="1903"/>
        <w:gridCol w:w="2758"/>
      </w:tblGrid>
      <w:tr w:rsidR="00142524" w:rsidRPr="00142524" w:rsidTr="00FA7223">
        <w:trPr>
          <w:trHeight w:val="680"/>
        </w:trPr>
        <w:tc>
          <w:tcPr>
            <w:tcW w:w="122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상 품 명</w:t>
            </w: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한글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6C1C7A">
              <w:rPr>
                <w:rFonts w:ascii="맑은 고딕" w:eastAsia="맑은 고딕" w:hAnsi="맑은 고딕" w:cs="맑은 고딕"/>
                <w:color w:val="000000"/>
              </w:rPr>
              <w:t>폴라이비주</w:t>
            </w:r>
            <w:proofErr w:type="spellEnd"/>
          </w:p>
        </w:tc>
        <w:tc>
          <w:tcPr>
            <w:tcW w:w="46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774034">
            <w:pPr>
              <w:snapToGrid w:val="0"/>
              <w:ind w:firstLineChars="100" w:firstLine="188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전문 </w:t>
            </w:r>
          </w:p>
        </w:tc>
      </w:tr>
      <w:tr w:rsidR="00142524" w:rsidRPr="00142524" w:rsidTr="00FA7223">
        <w:trPr>
          <w:trHeight w:val="680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FA7223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영문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774034">
            <w:pPr>
              <w:wordWrap/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501650">
              <w:rPr>
                <w:rFonts w:ascii="맑은 고딕" w:eastAsia="맑은 고딕" w:hAnsi="맑은 고딕"/>
              </w:rPr>
              <w:t>Polivy</w:t>
            </w:r>
            <w:proofErr w:type="spellEnd"/>
          </w:p>
        </w:tc>
        <w:tc>
          <w:tcPr>
            <w:tcW w:w="1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허가 </w:t>
            </w: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년월일</w:t>
            </w:r>
            <w:proofErr w:type="spellEnd"/>
          </w:p>
        </w:tc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2020년 10월 27일</w:t>
            </w:r>
          </w:p>
        </w:tc>
      </w:tr>
      <w:tr w:rsidR="00142524" w:rsidRPr="00142524" w:rsidTr="00FA7223">
        <w:trPr>
          <w:trHeight w:val="680"/>
        </w:trPr>
        <w:tc>
          <w:tcPr>
            <w:tcW w:w="12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일 반 명</w:t>
            </w:r>
          </w:p>
        </w:tc>
        <w:tc>
          <w:tcPr>
            <w:tcW w:w="36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>
              <w:t>폴라투주맙</w:t>
            </w:r>
            <w:proofErr w:type="spellEnd"/>
            <w:r>
              <w:t xml:space="preserve"> </w:t>
            </w:r>
            <w:proofErr w:type="spellStart"/>
            <w:r>
              <w:t>베도틴</w:t>
            </w:r>
            <w:proofErr w:type="spellEnd"/>
            <w:r>
              <w:t xml:space="preserve"> (</w:t>
            </w:r>
            <w:proofErr w:type="spellStart"/>
            <w:r>
              <w:t>Polatuzumab</w:t>
            </w:r>
            <w:proofErr w:type="spellEnd"/>
            <w:r>
              <w:t xml:space="preserve"> </w:t>
            </w:r>
            <w:proofErr w:type="spellStart"/>
            <w:r>
              <w:t>vedotin</w:t>
            </w:r>
            <w:proofErr w:type="spellEnd"/>
            <w:r>
              <w:t>)</w:t>
            </w:r>
          </w:p>
        </w:tc>
        <w:tc>
          <w:tcPr>
            <w:tcW w:w="1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발매 </w:t>
            </w: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년월일</w:t>
            </w:r>
            <w:proofErr w:type="spellEnd"/>
          </w:p>
        </w:tc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2021년 1월 11일</w:t>
            </w:r>
          </w:p>
        </w:tc>
      </w:tr>
      <w:tr w:rsidR="00142524" w:rsidRPr="00142524" w:rsidTr="00FA7223">
        <w:trPr>
          <w:trHeight w:val="680"/>
        </w:trPr>
        <w:tc>
          <w:tcPr>
            <w:tcW w:w="12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제약회사</w:t>
            </w:r>
          </w:p>
        </w:tc>
        <w:tc>
          <w:tcPr>
            <w:tcW w:w="36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kern w:val="0"/>
                <w:sz w:val="24"/>
              </w:rPr>
            </w:pPr>
            <w:r w:rsidRPr="00AA5C5D">
              <w:rPr>
                <w:rFonts w:ascii="맑은 고딕" w:eastAsia="맑은 고딕" w:hAnsi="맑은 고딕" w:hint="eastAsia"/>
              </w:rPr>
              <w:t>(주)</w:t>
            </w:r>
            <w:proofErr w:type="spellStart"/>
            <w:r w:rsidRPr="00AA5C5D">
              <w:rPr>
                <w:rFonts w:ascii="맑은 고딕" w:eastAsia="맑은 고딕" w:hAnsi="맑은 고딕" w:hint="eastAsia"/>
              </w:rPr>
              <w:t>한국로슈</w:t>
            </w:r>
            <w:proofErr w:type="spellEnd"/>
          </w:p>
        </w:tc>
        <w:tc>
          <w:tcPr>
            <w:tcW w:w="1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원료 </w:t>
            </w: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수입처</w:t>
            </w:r>
            <w:proofErr w:type="spellEnd"/>
          </w:p>
        </w:tc>
        <w:tc>
          <w:tcPr>
            <w:tcW w:w="2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7D7D21">
              <w:rPr>
                <w:rFonts w:ascii="맑은 고딕" w:eastAsia="맑은 고딕" w:hAnsi="맑은 고딕" w:hint="eastAsia"/>
              </w:rPr>
              <w:t>Genentech Inc, USA 2. SAFC Inc, USA 3. Lonza Ltd, Switzerland</w:t>
            </w:r>
          </w:p>
        </w:tc>
      </w:tr>
      <w:tr w:rsidR="00142524" w:rsidRPr="00142524" w:rsidTr="00142524">
        <w:trPr>
          <w:trHeight w:val="2061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화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학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구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조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 w:val="18"/>
                <w:szCs w:val="20"/>
              </w:rPr>
              <w:t>․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함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량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제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형</w:t>
            </w:r>
          </w:p>
        </w:tc>
        <w:tc>
          <w:tcPr>
            <w:tcW w:w="89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A6491">
              <w:rPr>
                <w:rFonts w:ascii="맑은 고딕" w:eastAsia="맑은 고딕" w:hAnsi="맑은 고딕" w:cs="궁서"/>
                <w:color w:val="000000"/>
              </w:rPr>
              <w:t xml:space="preserve">140mg/ vial 백색 내지 회백색의 동결건조물이 충전된 무색 바이알의 </w:t>
            </w:r>
            <w:proofErr w:type="spellStart"/>
            <w:r w:rsidRPr="000A6491">
              <w:rPr>
                <w:rFonts w:ascii="맑은 고딕" w:eastAsia="맑은 고딕" w:hAnsi="맑은 고딕" w:cs="궁서"/>
                <w:color w:val="000000"/>
              </w:rPr>
              <w:t>주사제</w:t>
            </w:r>
            <w:proofErr w:type="spellEnd"/>
          </w:p>
        </w:tc>
      </w:tr>
      <w:tr w:rsidR="00142524" w:rsidRPr="00142524" w:rsidTr="00FA7223">
        <w:trPr>
          <w:trHeight w:val="6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약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리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작</w:t>
            </w:r>
          </w:p>
          <w:p w:rsidR="00142524" w:rsidRPr="00142524" w:rsidRDefault="00142524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용</w:t>
            </w:r>
          </w:p>
        </w:tc>
        <w:tc>
          <w:tcPr>
            <w:tcW w:w="89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774034" w:rsidP="00FA7223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CD79b를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표적하는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항체-약물 접합체로 B세포에 강력한 항 세포 분열 제제(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모노메틸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오리스타틴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E, MMAE)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를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우선적으로 전달하여 B세포 악성종양에 대한 항암 활성을 야기한다. 이 약 분자는 절단 가능한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링커를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통해 인간화 면역글로불린 G1(IgG1)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단일클론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항체에 공유 결합한 MMAE로 이루어진다. 이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단일클론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항체는 B세포 수용체의 세포 표면 성분인 CD79b에 높은 친화도와 선택성으로 결합한다. CD79b 발현은 B세포 계통 내 정상 세포(혈장 세포 제외) 및 악성 B세포에만 국한된다. 이는 95%가 넘는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미만성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거대 B세포 림프종에서 발현된다. CD79b에 결합되면 이 약은 신속하게 내재화되고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링커는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리소좀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프로테아제에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의해 절단되어 MMAE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를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세포 내로 전달한다. MMAE는 미세소관에 결합하여 세포 분할을 억제하고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세포자멸을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유도하여 분할 세포를 </w:t>
            </w:r>
            <w:proofErr w:type="spellStart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사멸시킨다</w:t>
            </w:r>
            <w:proofErr w:type="spellEnd"/>
            <w:r w:rsidRPr="00083DE9">
              <w:rPr>
                <w:rFonts w:ascii="맑은 고딕" w:eastAsia="맑은 고딕" w:hAnsi="맑은 고딕" w:hint="eastAsia"/>
                <w:sz w:val="18"/>
                <w:szCs w:val="18"/>
              </w:rPr>
              <w:t>.</w:t>
            </w:r>
          </w:p>
        </w:tc>
      </w:tr>
      <w:tr w:rsidR="00774034" w:rsidRPr="00142524" w:rsidTr="00FA7223">
        <w:trPr>
          <w:trHeight w:val="6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적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응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증</w:t>
            </w:r>
          </w:p>
        </w:tc>
        <w:tc>
          <w:tcPr>
            <w:tcW w:w="89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11200" w:rsidRDefault="00774034" w:rsidP="00774034">
            <w:pPr>
              <w:widowControl/>
              <w:wordWrap/>
              <w:autoSpaceDE/>
              <w:autoSpaceDN/>
              <w:snapToGrid w:val="0"/>
              <w:spacing w:line="440" w:lineRule="atLeast"/>
              <w:jc w:val="left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이전에 치료받은 적이 없는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미만성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거대 B세포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림프종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(DLBCL) 성인 환자에서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리툭시맙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시클로포스파미드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독소루비신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및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프레드니손/프레드니솔론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(R-CHP)과 병용투여</w:t>
            </w:r>
          </w:p>
          <w:p w:rsidR="00774034" w:rsidRPr="00E96EB8" w:rsidRDefault="00774034" w:rsidP="00774034">
            <w:pPr>
              <w:widowControl/>
              <w:wordWrap/>
              <w:autoSpaceDE/>
              <w:autoSpaceDN/>
              <w:snapToGrid w:val="0"/>
              <w:spacing w:line="440" w:lineRule="atLeast"/>
              <w:jc w:val="left"/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</w:pP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조혈모세포이식이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적합하지 않고 한 가지 이상의 이전 치료에 실패한 재발성 또는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불응성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미만성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거대 B세포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림프종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(DLBCL) 성인 환자에서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벤다무스틴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및 </w:t>
            </w:r>
            <w:proofErr w:type="spellStart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>리툭시맙과의</w:t>
            </w:r>
            <w:proofErr w:type="spellEnd"/>
            <w:r w:rsidRPr="00111200">
              <w:rPr>
                <w:rFonts w:ascii="맑은 고딕" w:eastAsia="맑은 고딕" w:hAnsi="맑은 고딕" w:cs="Arial" w:hint="eastAsia"/>
                <w:color w:val="000000"/>
                <w:kern w:val="0"/>
                <w:szCs w:val="20"/>
              </w:rPr>
              <w:t xml:space="preserve"> 병용요법</w:t>
            </w:r>
          </w:p>
        </w:tc>
      </w:tr>
      <w:tr w:rsidR="00774034" w:rsidRPr="00142524" w:rsidTr="00FA7223">
        <w:trPr>
          <w:trHeight w:val="6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본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제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의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특</w:t>
            </w:r>
            <w:proofErr w:type="spellEnd"/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징</w:t>
            </w:r>
          </w:p>
        </w:tc>
        <w:tc>
          <w:tcPr>
            <w:tcW w:w="89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폴라이비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>(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폴라투주맙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베도틴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>)의 경우 POLARIX 연구결과를 토대로, DLBCL 1차치료 시 표준치료법인 R-CHOP 대비 질병 악화 혹은 사망 가능성이 27% 감소하여 유의한 개선을 보였습니다. 또한, BR(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Bendamustin+Rituximab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 xml:space="preserve">) 병용 요법을 통해 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조혈모세포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 xml:space="preserve"> 이식이 적합하지 않은 재발, 불응 DLBCL 환자의 2차 이상 치료에서 BR 요법 대비 2배 이상 증가 된 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완전반응률을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 xml:space="preserve"> 보였으며, 전체 </w:t>
            </w:r>
            <w:proofErr w:type="spellStart"/>
            <w:r w:rsidRPr="003E7B1E">
              <w:rPr>
                <w:rFonts w:ascii="맑은 고딕" w:eastAsia="맑은 고딕" w:hAnsi="맑은 고딕" w:hint="eastAsia"/>
                <w:szCs w:val="20"/>
              </w:rPr>
              <w:t>반응률</w:t>
            </w:r>
            <w:proofErr w:type="spellEnd"/>
            <w:r w:rsidRPr="003E7B1E">
              <w:rPr>
                <w:rFonts w:ascii="맑은 고딕" w:eastAsia="맑은 고딕" w:hAnsi="맑은 고딕" w:hint="eastAsia"/>
                <w:szCs w:val="20"/>
              </w:rPr>
              <w:t xml:space="preserve"> 또한 2배 증가하는 유의한 개선을 보였습니다</w:t>
            </w:r>
          </w:p>
        </w:tc>
      </w:tr>
      <w:tr w:rsidR="00774034" w:rsidRPr="00142524" w:rsidTr="00FA7223">
        <w:trPr>
          <w:trHeight w:val="680"/>
        </w:trPr>
        <w:tc>
          <w:tcPr>
            <w:tcW w:w="5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용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법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.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용</w:t>
            </w:r>
          </w:p>
          <w:p w:rsidR="00774034" w:rsidRPr="00142524" w:rsidRDefault="00774034" w:rsidP="0077403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량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성인</w:t>
            </w:r>
          </w:p>
        </w:tc>
        <w:tc>
          <w:tcPr>
            <w:tcW w:w="8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kern w:val="0"/>
                <w:sz w:val="24"/>
              </w:rPr>
            </w:pPr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이 약은 1.8 mg/kg의 용량을 6주기 동안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벤다무스틴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및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리툭시맙과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병용하여 21일 간격으로 정맥 내 투여한다. 이 약과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벤다무스틴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및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리툭시맙은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각 주기의 제1일에 </w:t>
            </w:r>
            <w:r w:rsidRPr="000A6491">
              <w:rPr>
                <w:rFonts w:ascii="맑은 고딕" w:eastAsia="맑은 고딕" w:hAnsi="맑은 고딕" w:cs="맑은 고딕"/>
                <w:color w:val="000000"/>
              </w:rPr>
              <w:lastRenderedPageBreak/>
              <w:t xml:space="preserve">순서와 무관하게 투여할 수 있다. 이 약을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리툭시맙과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함께 투여 할 때 </w:t>
            </w:r>
            <w:proofErr w:type="spellStart"/>
            <w:r w:rsidRPr="000A6491">
              <w:rPr>
                <w:rFonts w:ascii="맑은 고딕" w:eastAsia="맑은 고딕" w:hAnsi="맑은 고딕" w:cs="맑은 고딕"/>
                <w:color w:val="000000"/>
              </w:rPr>
              <w:t>벤다무스틴의</w:t>
            </w:r>
            <w:proofErr w:type="spellEnd"/>
            <w:r w:rsidRPr="000A6491">
              <w:rPr>
                <w:rFonts w:ascii="맑은 고딕" w:eastAsia="맑은 고딕" w:hAnsi="맑은 고딕" w:cs="맑은 고딕"/>
                <w:color w:val="000000"/>
              </w:rPr>
              <w:t xml:space="preserve"> 권장 용량은 제1일 및 제2일에 90 mg/m</w:t>
            </w:r>
            <w:r w:rsidRPr="000A6491">
              <w:rPr>
                <w:rFonts w:ascii="맑은 고딕" w:eastAsia="맑은 고딕" w:hAnsi="맑은 고딕" w:cs="맑은 고딕"/>
                <w:color w:val="000000"/>
                <w:vertAlign w:val="superscript"/>
              </w:rPr>
              <w:t>2</w:t>
            </w:r>
            <w:r w:rsidRPr="000A6491">
              <w:rPr>
                <w:rFonts w:ascii="맑은 고딕" w:eastAsia="맑은 고딕" w:hAnsi="맑은 고딕" w:cs="맑은 고딕"/>
                <w:color w:val="000000"/>
              </w:rPr>
              <w:t>/day이다</w:t>
            </w:r>
          </w:p>
        </w:tc>
      </w:tr>
      <w:tr w:rsidR="00774034" w:rsidRPr="00142524" w:rsidTr="00FA7223">
        <w:trPr>
          <w:trHeight w:val="68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8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최대용량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 1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회 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( ) 1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일 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( ) </w:t>
            </w:r>
          </w:p>
        </w:tc>
      </w:tr>
      <w:tr w:rsidR="00774034" w:rsidRPr="00142524" w:rsidTr="00142524">
        <w:trPr>
          <w:trHeight w:val="4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소아 </w:t>
            </w:r>
          </w:p>
        </w:tc>
        <w:tc>
          <w:tcPr>
            <w:tcW w:w="8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>
              <w:t>해당 약물의 소아에 대한 안전성과 유효성은 확립되지 않았습니다.</w:t>
            </w:r>
            <w:r w:rsidRPr="00142524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774034" w:rsidRPr="00142524" w:rsidTr="00FA7223">
        <w:trPr>
          <w:trHeight w:val="68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8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최대용량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 1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회 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( ) 1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일 용량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( ) </w:t>
            </w:r>
          </w:p>
        </w:tc>
      </w:tr>
      <w:tr w:rsidR="00774034" w:rsidRPr="00142524" w:rsidTr="00FA7223">
        <w:trPr>
          <w:trHeight w:val="68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74034" w:rsidRPr="00142524" w:rsidRDefault="00774034" w:rsidP="0077403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89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74034" w:rsidRPr="00142524" w:rsidRDefault="00774034" w:rsidP="0077403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약용량</w:t>
            </w:r>
            <w:proofErr w:type="spellEnd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 조절이 필요한 경우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신부전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간부전</w:t>
            </w:r>
            <w:proofErr w:type="spellEnd"/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투석시등</w:t>
            </w:r>
            <w:proofErr w:type="spellEnd"/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): </w:t>
            </w:r>
          </w:p>
        </w:tc>
      </w:tr>
    </w:tbl>
    <w:p w:rsidR="00142524" w:rsidRPr="00142524" w:rsidRDefault="00142524" w:rsidP="00142524">
      <w:pPr>
        <w:snapToGrid w:val="0"/>
        <w:spacing w:line="312" w:lineRule="auto"/>
        <w:jc w:val="left"/>
        <w:textAlignment w:val="baseline"/>
        <w:rPr>
          <w:rFonts w:ascii="NanumGothic" w:eastAsia="NanumGothic" w:hAnsi="NanumGothic" w:cs="굴림"/>
          <w:color w:val="000000"/>
          <w:kern w:val="0"/>
          <w:sz w:val="28"/>
          <w:szCs w:val="28"/>
        </w:rPr>
      </w:pPr>
      <w:r w:rsidRPr="00142524">
        <w:rPr>
          <w:rFonts w:ascii="NanumGothic" w:eastAsia="NanumGothic" w:hAnsi="NanumGothic" w:cs="굴림" w:hint="eastAsia"/>
          <w:b/>
          <w:bCs/>
          <w:color w:val="000000"/>
          <w:kern w:val="0"/>
          <w:szCs w:val="28"/>
        </w:rPr>
        <w:t>별첨3</w:t>
      </w:r>
      <w:r w:rsidRPr="00142524">
        <w:rPr>
          <w:rFonts w:ascii="NanumGothic" w:eastAsia="NanumGothic" w:hAnsi="NanumGothic" w:cs="굴림"/>
          <w:b/>
          <w:bCs/>
          <w:color w:val="000000"/>
          <w:kern w:val="0"/>
          <w:szCs w:val="28"/>
        </w:rPr>
        <w:t xml:space="preserve">. </w:t>
      </w:r>
      <w:r w:rsidRPr="00142524">
        <w:rPr>
          <w:rFonts w:ascii="NanumGothic" w:eastAsia="NanumGothic" w:hAnsi="NanumGothic" w:cs="굴림"/>
          <w:b/>
          <w:bCs/>
          <w:color w:val="000000"/>
          <w:kern w:val="0"/>
          <w:sz w:val="28"/>
          <w:szCs w:val="28"/>
        </w:rPr>
        <w:t xml:space="preserve">의약품 조사자료 </w:t>
      </w:r>
      <w:r w:rsidRPr="00142524">
        <w:rPr>
          <w:rFonts w:ascii="NanumGothic" w:eastAsia="NanumGothic" w:hAnsi="NanumGothic" w:cs="굴림" w:hint="eastAsia"/>
          <w:b/>
          <w:bCs/>
          <w:color w:val="000000"/>
          <w:kern w:val="0"/>
          <w:sz w:val="28"/>
          <w:szCs w:val="28"/>
        </w:rPr>
        <w:t>2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068"/>
        <w:gridCol w:w="1132"/>
        <w:gridCol w:w="188"/>
        <w:gridCol w:w="1580"/>
        <w:gridCol w:w="635"/>
        <w:gridCol w:w="475"/>
        <w:gridCol w:w="3358"/>
      </w:tblGrid>
      <w:tr w:rsidR="00142524" w:rsidRPr="00142524" w:rsidTr="00142524">
        <w:trPr>
          <w:trHeight w:val="1974"/>
        </w:trPr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부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작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용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및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금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기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사</w:t>
            </w:r>
          </w:p>
          <w:p w:rsidR="00142524" w:rsidRPr="00142524" w:rsidRDefault="00142524" w:rsidP="00142524">
            <w:pPr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항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부작용 발생시 대처방법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  <w:p w:rsidR="00142524" w:rsidRPr="00142524" w:rsidRDefault="00774034" w:rsidP="00774034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</w:pPr>
            <w:r>
              <w:t xml:space="preserve">주요 부작용으로 </w:t>
            </w:r>
            <w:proofErr w:type="spellStart"/>
            <w:r>
              <w:t>호중구</w:t>
            </w:r>
            <w:proofErr w:type="spellEnd"/>
            <w:r>
              <w:t xml:space="preserve"> </w:t>
            </w:r>
            <w:proofErr w:type="spellStart"/>
            <w:r>
              <w:t>감소증</w:t>
            </w:r>
            <w:proofErr w:type="spellEnd"/>
            <w:r>
              <w:t xml:space="preserve">, 혈소판 </w:t>
            </w:r>
            <w:proofErr w:type="spellStart"/>
            <w:r>
              <w:t>감소증</w:t>
            </w:r>
            <w:proofErr w:type="spellEnd"/>
            <w:r>
              <w:t>, 말초신경병증 및 주입 관련 반응이 나타날 수 있습니다. 본제의 주성분이나 첨가제에 과민증이 있는 환자에게는 투여를 금지합니다.</w:t>
            </w:r>
          </w:p>
          <w:p w:rsidR="00142524" w:rsidRPr="00142524" w:rsidRDefault="00142524" w:rsidP="00FA7223">
            <w:pPr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</w:tr>
      <w:tr w:rsidR="00142524" w:rsidRPr="00142524" w:rsidTr="00142524">
        <w:trPr>
          <w:trHeight w:val="1142"/>
        </w:trPr>
        <w:tc>
          <w:tcPr>
            <w:tcW w:w="12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흡</w:t>
            </w:r>
            <w:proofErr w:type="spellEnd"/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수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와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분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포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74034" w:rsidRPr="00774034" w:rsidRDefault="00774034" w:rsidP="0077403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774034">
              <w:rPr>
                <w:rFonts w:ascii="NanumGothic" w:eastAsia="NanumGothic" w:hAnsi="NanumGothic" w:cs="맑은 고딕"/>
                <w:color w:val="000000"/>
              </w:rPr>
              <w:t>이 약은 정맥 주입으로 투여한다. 다른 투여 경로로 수행된 시험은 없다.</w:t>
            </w:r>
            <w:r w:rsidRPr="00774034">
              <w:rPr>
                <w:rFonts w:ascii="NanumGothic" w:eastAsia="NanumGothic" w:hAnsi="NanumGothic" w:cs="맑은 고딕"/>
                <w:color w:val="000000"/>
              </w:rPr>
              <w:t xml:space="preserve"> </w:t>
            </w:r>
            <w:proofErr w:type="spellStart"/>
            <w:r w:rsidRPr="00774034">
              <w:rPr>
                <w:rFonts w:ascii="NanumGothic" w:eastAsia="NanumGothic" w:hAnsi="NanumGothic" w:cs="맑은 고딕"/>
                <w:color w:val="000000"/>
              </w:rPr>
              <w:t>acMMAE</w:t>
            </w:r>
            <w:proofErr w:type="spellEnd"/>
            <w:r w:rsidRPr="00774034">
              <w:rPr>
                <w:rFonts w:ascii="NanumGothic" w:eastAsia="NanumGothic" w:hAnsi="NanumGothic" w:cs="맑은 고딕"/>
                <w:color w:val="000000"/>
              </w:rPr>
              <w:t>의 중심 분포용적에 대한 집단 추정치는 3.15 L로 이는 대략적인 혈장 용적이다.</w:t>
            </w:r>
          </w:p>
          <w:p w:rsidR="00774034" w:rsidRPr="00774034" w:rsidRDefault="00774034" w:rsidP="00774034">
            <w:pPr>
              <w:snapToGrid w:val="0"/>
              <w:spacing w:line="360" w:lineRule="auto"/>
              <w:textAlignment w:val="baseline"/>
              <w:rPr>
                <w:rFonts w:ascii="NanumGothic" w:eastAsia="NanumGothic" w:hAnsi="NanumGothic" w:cs="맑은 고딕"/>
                <w:color w:val="000000"/>
                <w:szCs w:val="20"/>
              </w:rPr>
            </w:pPr>
            <w:r w:rsidRPr="00774034">
              <w:rPr>
                <w:rFonts w:ascii="NanumGothic" w:eastAsia="NanumGothic" w:hAnsi="NanumGothic" w:cs="맑은 고딕"/>
                <w:color w:val="000000"/>
              </w:rPr>
              <w:t>생체 외에서 MMAE는 인간 혈장 단백질에 중간 정도로 결합한다(71%~77%). MMAE는 생체 외에서 인간 적혈구 세포로 유의하게 분할되지 않는다. 혈장 대 혈액 농도 비는0.79~0.98이다. 생체 외 자료에 따르면 MMAE는 P-</w:t>
            </w:r>
            <w:proofErr w:type="spellStart"/>
            <w:r w:rsidRPr="00774034">
              <w:rPr>
                <w:rFonts w:ascii="NanumGothic" w:eastAsia="NanumGothic" w:hAnsi="NanumGothic" w:cs="맑은 고딕"/>
                <w:color w:val="000000"/>
              </w:rPr>
              <w:t>gp</w:t>
            </w:r>
            <w:proofErr w:type="spellEnd"/>
            <w:r w:rsidRPr="00774034">
              <w:rPr>
                <w:rFonts w:ascii="NanumGothic" w:eastAsia="NanumGothic" w:hAnsi="NanumGothic" w:cs="맑은 고딕"/>
                <w:color w:val="000000"/>
              </w:rPr>
              <w:t xml:space="preserve"> 기질이지만 임상적으로 관련된 농도에서 P-</w:t>
            </w:r>
            <w:proofErr w:type="spellStart"/>
            <w:r w:rsidRPr="00774034">
              <w:rPr>
                <w:rFonts w:ascii="NanumGothic" w:eastAsia="NanumGothic" w:hAnsi="NanumGothic" w:cs="맑은 고딕"/>
                <w:color w:val="000000"/>
              </w:rPr>
              <w:t>gp를</w:t>
            </w:r>
            <w:proofErr w:type="spellEnd"/>
            <w:r w:rsidRPr="00774034">
              <w:rPr>
                <w:rFonts w:ascii="NanumGothic" w:eastAsia="NanumGothic" w:hAnsi="NanumGothic" w:cs="맑은 고딕"/>
                <w:color w:val="000000"/>
              </w:rPr>
              <w:t xml:space="preserve"> 억제하지 않는다.</w:t>
            </w:r>
          </w:p>
          <w:p w:rsidR="00142524" w:rsidRPr="00142524" w:rsidRDefault="00142524" w:rsidP="00142524">
            <w:pPr>
              <w:snapToGrid w:val="0"/>
              <w:spacing w:line="360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</w:tr>
      <w:tr w:rsidR="00142524" w:rsidRPr="00142524" w:rsidTr="00142524">
        <w:trPr>
          <w:trHeight w:val="59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39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작용 발현시간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지속시간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</w:tc>
        <w:tc>
          <w:tcPr>
            <w:tcW w:w="44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최고 혈중농도에 도달하는 시간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반감기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</w:tc>
      </w:tr>
      <w:tr w:rsidR="00142524" w:rsidRPr="00142524" w:rsidTr="00142524">
        <w:trPr>
          <w:trHeight w:val="1615"/>
        </w:trPr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대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사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와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배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설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Default="00774034" w:rsidP="00142524">
            <w:pPr>
              <w:snapToGrid w:val="0"/>
              <w:textAlignment w:val="baseline"/>
              <w:rPr>
                <w:rFonts w:ascii="맑은 고딕" w:hAnsi="맑은 고딕" w:cs="맑은 고딕"/>
                <w:color w:val="000000"/>
              </w:rPr>
            </w:pPr>
            <w:r w:rsidRPr="009E2CBB">
              <w:rPr>
                <w:rFonts w:ascii="맑은 고딕" w:hAnsi="맑은 고딕" w:cs="맑은 고딕"/>
                <w:color w:val="000000"/>
              </w:rPr>
              <w:t>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약은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환자에서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이화작용을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거쳐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소분자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펩티드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, </w:t>
            </w:r>
            <w:r w:rsidRPr="009E2CBB">
              <w:rPr>
                <w:rFonts w:ascii="맑은 고딕" w:hAnsi="맑은 고딕" w:cs="맑은 고딕"/>
                <w:color w:val="000000"/>
              </w:rPr>
              <w:t>아미노산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,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미접합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MMAE </w:t>
            </w:r>
            <w:r w:rsidRPr="009E2CBB">
              <w:rPr>
                <w:rFonts w:ascii="맑은 고딕" w:hAnsi="맑은 고딕" w:cs="맑은 고딕"/>
                <w:color w:val="000000"/>
              </w:rPr>
              <w:t>및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미접합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MMAE</w:t>
            </w:r>
            <w:r w:rsidRPr="009E2CBB">
              <w:rPr>
                <w:rFonts w:ascii="맑은 고딕" w:hAnsi="맑은 고딕" w:cs="맑은 고딕"/>
                <w:color w:val="000000"/>
              </w:rPr>
              <w:t>와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연관된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분해대사산물이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생성된다고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여겨진다</w:t>
            </w:r>
            <w:r w:rsidRPr="009E2CBB">
              <w:rPr>
                <w:rFonts w:ascii="맑은 고딕" w:hAnsi="맑은 고딕" w:cs="맑은 고딕"/>
                <w:color w:val="000000"/>
              </w:rPr>
              <w:t>.</w:t>
            </w:r>
            <w:r w:rsidRPr="009E2CBB">
              <w:rPr>
                <w:rFonts w:ascii="맑은 고딕" w:hAnsi="맑은 고딕" w:cs="맑은 고딕"/>
                <w:color w:val="000000"/>
              </w:rPr>
              <w:t>생체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외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시험에서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MMAE</w:t>
            </w:r>
            <w:r w:rsidRPr="009E2CBB">
              <w:rPr>
                <w:rFonts w:ascii="맑은 고딕" w:hAnsi="맑은 고딕" w:cs="맑은 고딕"/>
                <w:color w:val="000000"/>
              </w:rPr>
              <w:t>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 3A4/5</w:t>
            </w:r>
            <w:r w:rsidRPr="009E2CBB">
              <w:rPr>
                <w:rFonts w:ascii="맑은 고딕" w:hAnsi="맑은 고딕" w:cs="맑은 고딕"/>
                <w:color w:val="000000"/>
              </w:rPr>
              <w:t>의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기질이지만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주요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 </w:t>
            </w:r>
            <w:r w:rsidRPr="009E2CBB">
              <w:rPr>
                <w:rFonts w:ascii="맑은 고딕" w:hAnsi="맑은 고딕" w:cs="맑은 고딕"/>
                <w:color w:val="000000"/>
              </w:rPr>
              <w:t>효소를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유도하지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않았다</w:t>
            </w:r>
            <w:r w:rsidRPr="009E2CBB">
              <w:rPr>
                <w:rFonts w:ascii="맑은 고딕" w:hAnsi="맑은 고딕" w:cs="맑은 고딕"/>
                <w:color w:val="000000"/>
              </w:rPr>
              <w:t>. MMAE</w:t>
            </w:r>
            <w:r w:rsidRPr="009E2CBB">
              <w:rPr>
                <w:rFonts w:ascii="맑은 고딕" w:hAnsi="맑은 고딕" w:cs="맑은 고딕"/>
                <w:color w:val="000000"/>
              </w:rPr>
              <w:t>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약한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시간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의존성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CYP3A4/5 </w:t>
            </w:r>
            <w:r w:rsidRPr="009E2CBB">
              <w:rPr>
                <w:rFonts w:ascii="맑은 고딕" w:hAnsi="맑은 고딕" w:cs="맑은 고딕"/>
                <w:color w:val="000000"/>
              </w:rPr>
              <w:t>억제제이지만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임상적으로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관련된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농도에서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CYP3A4/5</w:t>
            </w:r>
            <w:r w:rsidRPr="009E2CBB">
              <w:rPr>
                <w:rFonts w:ascii="맑은 고딕" w:hAnsi="맑은 고딕" w:cs="맑은 고딕"/>
                <w:color w:val="000000"/>
              </w:rPr>
              <w:t>를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경쟁적으로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억제하지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않는다</w:t>
            </w:r>
            <w:r w:rsidRPr="009E2CBB">
              <w:rPr>
                <w:rFonts w:ascii="맑은 고딕" w:hAnsi="맑은 고딕" w:cs="맑은 고딕"/>
                <w:color w:val="000000"/>
              </w:rPr>
              <w:t>. MMAE</w:t>
            </w:r>
            <w:r w:rsidRPr="009E2CBB">
              <w:rPr>
                <w:rFonts w:ascii="맑은 고딕" w:hAnsi="맑은 고딕" w:cs="맑은 고딕"/>
                <w:color w:val="000000"/>
              </w:rPr>
              <w:t>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CYP1A2, CYP2B6, CYP2C8, CYP2C9, CYP2C19 </w:t>
            </w:r>
            <w:r w:rsidRPr="009E2CBB">
              <w:rPr>
                <w:rFonts w:ascii="맑은 고딕" w:hAnsi="맑은 고딕" w:cs="맑은 고딕"/>
                <w:color w:val="000000"/>
              </w:rPr>
              <w:t>또는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CYP2D6</w:t>
            </w:r>
            <w:r w:rsidRPr="009E2CBB">
              <w:rPr>
                <w:rFonts w:ascii="맑은 고딕" w:hAnsi="맑은 고딕" w:cs="맑은 고딕"/>
                <w:color w:val="000000"/>
              </w:rPr>
              <w:t>을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억제하지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않는다</w:t>
            </w:r>
            <w:r w:rsidRPr="009E2CBB">
              <w:rPr>
                <w:rFonts w:ascii="맑은 고딕" w:hAnsi="맑은 고딕" w:cs="맑은 고딕"/>
                <w:color w:val="000000"/>
              </w:rPr>
              <w:t>.</w:t>
            </w:r>
          </w:p>
          <w:p w:rsidR="00774034" w:rsidRDefault="00774034" w:rsidP="00142524">
            <w:pPr>
              <w:snapToGrid w:val="0"/>
              <w:textAlignment w:val="baseline"/>
              <w:rPr>
                <w:rFonts w:ascii="맑은 고딕" w:hAnsi="맑은 고딕" w:cs="맑은 고딕"/>
                <w:color w:val="000000"/>
              </w:rPr>
            </w:pPr>
            <w:r w:rsidRPr="009E2CBB">
              <w:rPr>
                <w:rFonts w:ascii="맑은 고딕" w:hAnsi="맑은 고딕" w:cs="맑은 고딕"/>
                <w:color w:val="000000"/>
              </w:rPr>
              <w:t>집단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약동학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분석에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기초하여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접합체</w:t>
            </w:r>
            <w:r w:rsidRPr="009E2CBB">
              <w:rPr>
                <w:rFonts w:ascii="맑은 고딕" w:hAnsi="맑은 고딕" w:cs="맑은 고딕"/>
                <w:color w:val="000000"/>
              </w:rPr>
              <w:t>(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acMMAE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>)</w:t>
            </w:r>
            <w:r w:rsidRPr="009E2CBB">
              <w:rPr>
                <w:rFonts w:ascii="맑은 고딕" w:hAnsi="맑은 고딕" w:cs="맑은 고딕"/>
                <w:color w:val="000000"/>
              </w:rPr>
              <w:t>는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비특이적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선형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제거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경로를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통해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0.9 L/day </w:t>
            </w:r>
            <w:r w:rsidRPr="009E2CBB">
              <w:rPr>
                <w:rFonts w:ascii="맑은 고딕" w:hAnsi="맑은 고딕" w:cs="맑은 고딕"/>
                <w:color w:val="000000"/>
              </w:rPr>
              <w:t>값으로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제거된다</w:t>
            </w:r>
            <w:r w:rsidRPr="009E2CBB">
              <w:rPr>
                <w:rFonts w:ascii="맑은 고딕" w:hAnsi="맑은 고딕" w:cs="맑은 고딕"/>
                <w:color w:val="000000"/>
              </w:rPr>
              <w:t>.</w:t>
            </w:r>
            <w:r w:rsidRPr="009E2CBB">
              <w:rPr>
                <w:rFonts w:ascii="맑은 고딕" w:hAnsi="맑은 고딕" w:cs="맑은 고딕"/>
                <w:color w:val="000000"/>
              </w:rPr>
              <w:t>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약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(MMAE </w:t>
            </w:r>
            <w:r w:rsidRPr="009E2CBB">
              <w:rPr>
                <w:rFonts w:ascii="맑은 고딕" w:hAnsi="맑은 고딕" w:cs="맑은 고딕"/>
                <w:color w:val="000000"/>
              </w:rPr>
              <w:t>방사선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표지</w:t>
            </w:r>
            <w:r w:rsidRPr="009E2CBB">
              <w:rPr>
                <w:rFonts w:ascii="맑은 고딕" w:hAnsi="맑은 고딕" w:cs="맑은 고딕"/>
                <w:color w:val="000000"/>
              </w:rPr>
              <w:t>)</w:t>
            </w:r>
            <w:r w:rsidRPr="009E2CBB">
              <w:rPr>
                <w:rFonts w:ascii="맑은 고딕" w:hAnsi="맑은 고딕" w:cs="맑은 고딕"/>
                <w:color w:val="000000"/>
              </w:rPr>
              <w:t>을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투여받은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proofErr w:type="spellStart"/>
            <w:r w:rsidRPr="009E2CBB">
              <w:rPr>
                <w:rFonts w:ascii="맑은 고딕" w:hAnsi="맑은 고딕" w:cs="맑은 고딕"/>
                <w:color w:val="000000"/>
              </w:rPr>
              <w:t>랫트의</w:t>
            </w:r>
            <w:proofErr w:type="spellEnd"/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생체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시험에서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대부분의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방사성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물질이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대변으로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배설되고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미미한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양의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방사성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물질이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소변으로</w:t>
            </w:r>
            <w:r w:rsidRPr="009E2CBB">
              <w:rPr>
                <w:rFonts w:ascii="맑은 고딕" w:hAnsi="맑은 고딕" w:cs="맑은 고딕"/>
                <w:color w:val="000000"/>
              </w:rPr>
              <w:t xml:space="preserve"> </w:t>
            </w:r>
            <w:r w:rsidRPr="009E2CBB">
              <w:rPr>
                <w:rFonts w:ascii="맑은 고딕" w:hAnsi="맑은 고딕" w:cs="맑은 고딕"/>
                <w:color w:val="000000"/>
              </w:rPr>
              <w:t>배설되었다</w:t>
            </w:r>
          </w:p>
          <w:p w:rsidR="00F07BAB" w:rsidRDefault="00F07BAB" w:rsidP="00142524">
            <w:pPr>
              <w:snapToGrid w:val="0"/>
              <w:textAlignment w:val="baseline"/>
              <w:rPr>
                <w:rFonts w:ascii="맑은 고딕" w:hAnsi="맑은 고딕" w:cs="맑은 고딕" w:hint="eastAsia"/>
                <w:color w:val="000000"/>
              </w:rPr>
            </w:pPr>
          </w:p>
          <w:p w:rsidR="00F07BAB" w:rsidRPr="00142524" w:rsidRDefault="00F07BAB" w:rsidP="00142524">
            <w:pPr>
              <w:snapToGrid w:val="0"/>
              <w:textAlignment w:val="baseline"/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</w:pPr>
          </w:p>
        </w:tc>
      </w:tr>
      <w:tr w:rsidR="00142524" w:rsidRPr="00142524" w:rsidTr="00FA7223">
        <w:trPr>
          <w:trHeight w:val="397"/>
        </w:trPr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lastRenderedPageBreak/>
              <w:t>급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성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독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39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LD 50 mg/kg</w:t>
            </w:r>
            <w:r w:rsidR="00F07BAB" w:rsidRPr="00D36637">
              <w:rPr>
                <w:rFonts w:ascii="맑은 고딕" w:eastAsia="맑은 고딕" w:hAnsi="맑은 고딕" w:hint="eastAsia"/>
              </w:rPr>
              <w:t xml:space="preserve"> </w:t>
            </w:r>
            <w:r w:rsidR="00F07BAB" w:rsidRPr="00D36637">
              <w:rPr>
                <w:rFonts w:ascii="맑은 고딕" w:eastAsia="맑은 고딕" w:hAnsi="맑은 고딕" w:hint="eastAsia"/>
              </w:rPr>
              <w:t>증거는 확인되지 않</w:t>
            </w:r>
            <w:r w:rsidR="00F07BAB">
              <w:rPr>
                <w:rFonts w:ascii="맑은 고딕" w:eastAsia="맑은 고딕" w:hAnsi="맑은 고딕" w:hint="eastAsia"/>
              </w:rPr>
              <w:t>음</w:t>
            </w:r>
          </w:p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LD 50 mg/kg</w:t>
            </w:r>
            <w:r w:rsidR="00F07BAB" w:rsidRPr="00D36637">
              <w:rPr>
                <w:rFonts w:ascii="맑은 고딕" w:eastAsia="맑은 고딕" w:hAnsi="맑은 고딕" w:hint="eastAsia"/>
              </w:rPr>
              <w:t xml:space="preserve"> </w:t>
            </w:r>
            <w:r w:rsidR="00F07BAB" w:rsidRPr="00D36637">
              <w:rPr>
                <w:rFonts w:ascii="맑은 고딕" w:eastAsia="맑은 고딕" w:hAnsi="맑은 고딕" w:hint="eastAsia"/>
              </w:rPr>
              <w:t>증거는 확인되지 않</w:t>
            </w:r>
            <w:r w:rsidR="00F07BAB">
              <w:rPr>
                <w:rFonts w:ascii="맑은 고딕" w:eastAsia="맑은 고딕" w:hAnsi="맑은 고딕" w:hint="eastAsia"/>
              </w:rPr>
              <w:t>음</w:t>
            </w:r>
          </w:p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LD 50 mg/kg</w:t>
            </w:r>
            <w:r w:rsidR="00F07BAB" w:rsidRPr="00D36637">
              <w:rPr>
                <w:rFonts w:ascii="맑은 고딕" w:eastAsia="맑은 고딕" w:hAnsi="맑은 고딕" w:hint="eastAsia"/>
              </w:rPr>
              <w:t xml:space="preserve"> </w:t>
            </w:r>
            <w:r w:rsidR="00F07BAB" w:rsidRPr="00D36637">
              <w:rPr>
                <w:rFonts w:ascii="맑은 고딕" w:eastAsia="맑은 고딕" w:hAnsi="맑은 고딕" w:hint="eastAsia"/>
              </w:rPr>
              <w:t>증거는 확인되지 않</w:t>
            </w:r>
            <w:r w:rsidR="00F07BAB">
              <w:rPr>
                <w:rFonts w:ascii="맑은 고딕" w:eastAsia="맑은 고딕" w:hAnsi="맑은 고딕" w:hint="eastAsia"/>
              </w:rPr>
              <w:t>음</w:t>
            </w:r>
          </w:p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LD 50 mg/kg</w:t>
            </w:r>
            <w:r w:rsidR="00F07BAB" w:rsidRPr="00D36637">
              <w:rPr>
                <w:rFonts w:ascii="맑은 고딕" w:eastAsia="맑은 고딕" w:hAnsi="맑은 고딕" w:hint="eastAsia"/>
              </w:rPr>
              <w:t xml:space="preserve"> </w:t>
            </w:r>
            <w:r w:rsidR="00F07BAB" w:rsidRPr="00D36637">
              <w:rPr>
                <w:rFonts w:ascii="맑은 고딕" w:eastAsia="맑은 고딕" w:hAnsi="맑은 고딕" w:hint="eastAsia"/>
              </w:rPr>
              <w:t>증거는 확인되지 않</w:t>
            </w:r>
            <w:r w:rsidR="00F07BAB">
              <w:rPr>
                <w:rFonts w:ascii="맑은 고딕" w:eastAsia="맑은 고딕" w:hAnsi="맑은 고딕" w:hint="eastAsia"/>
              </w:rPr>
              <w:t>음</w:t>
            </w:r>
          </w:p>
        </w:tc>
        <w:tc>
          <w:tcPr>
            <w:tcW w:w="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만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성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독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8"/>
                <w:szCs w:val="20"/>
              </w:rPr>
              <w:t>성</w:t>
            </w:r>
          </w:p>
        </w:tc>
        <w:tc>
          <w:tcPr>
            <w:tcW w:w="38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F07BAB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D36637">
              <w:rPr>
                <w:rFonts w:ascii="맑은 고딕" w:eastAsia="맑은 고딕" w:hAnsi="맑은 고딕" w:hint="eastAsia"/>
              </w:rPr>
              <w:t>증거는 확인되지 않</w:t>
            </w:r>
            <w:r>
              <w:rPr>
                <w:rFonts w:ascii="맑은 고딕" w:eastAsia="맑은 고딕" w:hAnsi="맑은 고딕" w:hint="eastAsia"/>
              </w:rPr>
              <w:t>음</w:t>
            </w:r>
          </w:p>
        </w:tc>
      </w:tr>
      <w:tr w:rsidR="00142524" w:rsidRPr="00142524" w:rsidTr="00142524">
        <w:trPr>
          <w:trHeight w:val="691"/>
        </w:trPr>
        <w:tc>
          <w:tcPr>
            <w:tcW w:w="12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성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상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안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정</w:t>
            </w:r>
          </w:p>
          <w:p w:rsidR="00142524" w:rsidRPr="00142524" w:rsidRDefault="00142524" w:rsidP="00142524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F07BAB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  <w:r>
              <w:t>성상: 백색 내지 회백색의 동결건조물이 충전된 무색 바이알입니</w:t>
            </w:r>
            <w:r>
              <w:rPr>
                <w:rFonts w:hAnsi="바탕" w:cs="바탕" w:hint="eastAsia"/>
              </w:rPr>
              <w:t>다</w:t>
            </w:r>
          </w:p>
        </w:tc>
      </w:tr>
      <w:tr w:rsidR="00142524" w:rsidRPr="00142524" w:rsidTr="00FA7223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보관방법</w:t>
            </w:r>
          </w:p>
        </w:tc>
        <w:tc>
          <w:tcPr>
            <w:tcW w:w="7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F07BAB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>
              <w:t>2도에서 8도 사이의 온도에서 냉장 보관하며 빛을 차단하기 위해 외부 상자에 담아 보관해야 합니다.</w:t>
            </w:r>
            <w:r>
              <w:t xml:space="preserve"> </w:t>
            </w:r>
            <w:r>
              <w:t>제조일로부터 30개월입니다.</w:t>
            </w:r>
          </w:p>
        </w:tc>
      </w:tr>
      <w:tr w:rsidR="00142524" w:rsidRPr="00142524" w:rsidTr="00FA7223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0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유효기간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개봉후</w:t>
            </w:r>
            <w:proofErr w:type="spellEnd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623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실온보관시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: 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냉장보관시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: </w:t>
            </w:r>
          </w:p>
        </w:tc>
      </w:tr>
      <w:tr w:rsidR="00142524" w:rsidRPr="00142524" w:rsidTr="00FA7223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용해시</w:t>
            </w:r>
            <w:proofErr w:type="spellEnd"/>
          </w:p>
        </w:tc>
        <w:tc>
          <w:tcPr>
            <w:tcW w:w="623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실온보관시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: 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냉장보관시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: </w:t>
            </w:r>
          </w:p>
        </w:tc>
      </w:tr>
      <w:tr w:rsidR="00142524" w:rsidRPr="00142524" w:rsidTr="00FA7223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42524" w:rsidRPr="00142524" w:rsidRDefault="00142524" w:rsidP="00142524">
            <w:pPr>
              <w:widowControl/>
              <w:wordWrap/>
              <w:autoSpaceDE/>
              <w:autoSpaceDN/>
              <w:jc w:val="left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희석시</w:t>
            </w:r>
            <w:proofErr w:type="spellEnd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623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142524">
            <w:pPr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실온보관시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: </w:t>
            </w: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냉장보관시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:</w:t>
            </w:r>
          </w:p>
        </w:tc>
      </w:tr>
      <w:tr w:rsidR="00142524" w:rsidRPr="00142524" w:rsidTr="00FA7223">
        <w:trPr>
          <w:trHeight w:val="397"/>
        </w:trPr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42524" w:rsidRPr="00142524" w:rsidRDefault="00142524" w:rsidP="00FA7223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약물상호작용</w:t>
            </w:r>
          </w:p>
          <w:p w:rsidR="00142524" w:rsidRPr="00142524" w:rsidRDefault="00142524" w:rsidP="00FA7223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</w:p>
          <w:p w:rsidR="00142524" w:rsidRPr="00142524" w:rsidRDefault="00142524" w:rsidP="00FA7223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배합금기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8D3719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</w:rPr>
            </w:pPr>
            <w:r w:rsidRPr="008D3719">
              <w:rPr>
                <w:rFonts w:ascii="맑은 고딕" w:eastAsia="맑은 고딕" w:hAnsi="맑은 고딕" w:hint="eastAsia"/>
              </w:rPr>
              <w:t>사람을 대상으로 이 약의 임상적 약물-약물 상호작용 특정 연구가 수행된 바 없다.</w:t>
            </w:r>
          </w:p>
          <w:p w:rsidR="00F07BAB" w:rsidRPr="008D3719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</w:rPr>
            </w:pPr>
            <w:r w:rsidRPr="008D3719">
              <w:rPr>
                <w:rFonts w:ascii="맑은 고딕" w:eastAsia="맑은 고딕" w:hAnsi="맑은 고딕" w:hint="eastAsia"/>
              </w:rPr>
              <w:t xml:space="preserve">1) CYP3A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억제제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유도제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및 기질인 병용 약물과의 약물 상호작용</w:t>
            </w:r>
          </w:p>
          <w:p w:rsidR="00F07BAB" w:rsidRPr="008D3719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</w:rPr>
            </w:pPr>
            <w:r w:rsidRPr="008D3719">
              <w:rPr>
                <w:rFonts w:ascii="맑은 고딕" w:eastAsia="맑은 고딕" w:hAnsi="맑은 고딕" w:hint="eastAsia"/>
              </w:rPr>
              <w:t xml:space="preserve">이 약에서 방출된 MMAE의 생리적-기반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약동학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(PBPK) 모델 시뮬레이션에 기초하여 강력한 CYP3A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억제제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(예: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케토코나졸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)는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MMAE의 농도-시간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곡선하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면적(AUC)을 48% 증가시킬 수 있다. 강력한 CYP3A 억제제를 병용하는 환자에서 독성 징후를 보다 면밀하게 모니터링해야 한다. 강력한 CYP3A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유도제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(예: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리팜핀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)는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MMAE의 AUC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를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49% 낮출 수 있다.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MMAE는 CYP3A 기질인 병용 약물(예: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미다졸람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>)의 AUC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를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변화시킬 것으로 예상되지 않는다.</w:t>
            </w:r>
          </w:p>
          <w:p w:rsidR="00F07BAB" w:rsidRPr="008D3719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</w:rPr>
            </w:pPr>
            <w:r w:rsidRPr="008D3719">
              <w:rPr>
                <w:rFonts w:ascii="맑은 고딕" w:eastAsia="맑은 고딕" w:hAnsi="맑은 고딕" w:hint="eastAsia"/>
              </w:rPr>
              <w:t xml:space="preserve">2) 이 약과 병용한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리툭시맙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벤다무스틴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시클로포스파미드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독소루비신의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약물 상호작용</w:t>
            </w:r>
          </w:p>
          <w:p w:rsidR="00F07BAB" w:rsidRPr="008D3719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</w:rPr>
            </w:pPr>
            <w:proofErr w:type="spellStart"/>
            <w:r w:rsidRPr="008D3719">
              <w:rPr>
                <w:rFonts w:ascii="맑은 고딕" w:eastAsia="맑은 고딕" w:hAnsi="맑은 고딕" w:hint="eastAsia"/>
              </w:rPr>
              <w:t>리툭시맙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벤다무스틴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시클로포스파미드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독소루비신의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약동학은 이 약의 동시 투여로 영향을 받지 않는다. 집단 약동한 분석에 기초하여 병용 약물인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리툭시맙은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항체 접합 MMAE(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acMMAE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>) 혈장 AUC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를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24% 증가시켰고,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 혈장 AUC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를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37% 감소시켰다. 이 약과 R-CHP 병용에 대한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acMMAE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의 혈장 AUC 및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MMAE는 이 약의 다른 연구들과 일치한다. 이에 따른 용량 조정은 필요하지 않다.</w:t>
            </w:r>
          </w:p>
          <w:p w:rsidR="00142524" w:rsidRPr="00142524" w:rsidRDefault="00F07BAB" w:rsidP="00F07BAB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8D3719">
              <w:rPr>
                <w:rFonts w:ascii="맑은 고딕" w:eastAsia="맑은 고딕" w:hAnsi="맑은 고딕" w:hint="eastAsia"/>
              </w:rPr>
              <w:t>벤다무스틴은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acMMAE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8D3719">
              <w:rPr>
                <w:rFonts w:ascii="맑은 고딕" w:eastAsia="맑은 고딕" w:hAnsi="맑은 고딕" w:hint="eastAsia"/>
              </w:rPr>
              <w:t>미접합</w:t>
            </w:r>
            <w:proofErr w:type="spellEnd"/>
            <w:r w:rsidRPr="008D3719">
              <w:rPr>
                <w:rFonts w:ascii="맑은 고딕" w:eastAsia="맑은 고딕" w:hAnsi="맑은 고딕" w:hint="eastAsia"/>
              </w:rPr>
              <w:t xml:space="preserve"> MMAE 혈장 AUC에 영향을 미치지 않는다.</w:t>
            </w:r>
            <w:r w:rsidRPr="00D36637">
              <w:rPr>
                <w:rFonts w:ascii="맑은 고딕" w:eastAsia="맑은 고딕" w:hAnsi="맑은 고딕"/>
              </w:rPr>
              <w:tab/>
            </w:r>
            <w:r w:rsidRPr="00D36637">
              <w:rPr>
                <w:rFonts w:ascii="맑은 고딕" w:eastAsia="맑은 고딕" w:hAnsi="맑은 고딕"/>
              </w:rPr>
              <w:tab/>
            </w:r>
          </w:p>
        </w:tc>
      </w:tr>
      <w:tr w:rsidR="00F07BAB" w:rsidRPr="00142524" w:rsidTr="00D3508B">
        <w:trPr>
          <w:trHeight w:val="397"/>
        </w:trPr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142524" w:rsidRDefault="00F07BAB" w:rsidP="00F07BAB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문</w:t>
            </w:r>
          </w:p>
          <w:p w:rsidR="00F07BAB" w:rsidRPr="00142524" w:rsidRDefault="00F07BAB" w:rsidP="00F07BAB">
            <w:pPr>
              <w:wordWrap/>
              <w:snapToGrid w:val="0"/>
              <w:spacing w:line="312" w:lineRule="auto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헌</w:t>
            </w:r>
          </w:p>
        </w:tc>
        <w:tc>
          <w:tcPr>
            <w:tcW w:w="84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D36637" w:rsidRDefault="00F07BAB" w:rsidP="00F07BAB">
            <w:pPr>
              <w:wordWrap/>
              <w:jc w:val="left"/>
              <w:rPr>
                <w:rFonts w:ascii="맑은 고딕" w:eastAsia="맑은 고딕" w:hAnsi="맑은 고딕" w:hint="eastAsia"/>
                <w:b/>
                <w:color w:val="000000"/>
              </w:rPr>
            </w:pPr>
            <w:r w:rsidRPr="007B1896">
              <w:rPr>
                <w:rFonts w:ascii="맑은 고딕" w:eastAsia="맑은 고딕" w:hAnsi="맑은 고딕" w:hint="eastAsia"/>
                <w:b/>
                <w:color w:val="000000"/>
              </w:rPr>
              <w:t>임상문헌 검토자료 첨부</w:t>
            </w:r>
            <w:r>
              <w:rPr>
                <w:rFonts w:ascii="맑은 고딕" w:eastAsia="맑은 고딕" w:hAnsi="맑은 고딕" w:hint="eastAsia"/>
                <w:b/>
                <w:color w:val="000000"/>
              </w:rPr>
              <w:t xml:space="preserve"> </w:t>
            </w:r>
          </w:p>
        </w:tc>
      </w:tr>
      <w:tr w:rsidR="00F07BAB" w:rsidRPr="00142524" w:rsidTr="00FA7223">
        <w:trPr>
          <w:trHeight w:val="397"/>
        </w:trPr>
        <w:tc>
          <w:tcPr>
            <w:tcW w:w="36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142524" w:rsidRDefault="00F07BAB" w:rsidP="00F07BA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</w:pPr>
            <w:proofErr w:type="spellStart"/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작성년월일</w:t>
            </w:r>
            <w:proofErr w:type="spellEnd"/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2026 1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월 </w:t>
            </w:r>
            <w:r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22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 xml:space="preserve">일 </w:t>
            </w:r>
          </w:p>
        </w:tc>
        <w:tc>
          <w:tcPr>
            <w:tcW w:w="2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142524" w:rsidRDefault="00F07BAB" w:rsidP="00F07BA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작성자 </w:t>
            </w:r>
            <w:r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배재성</w:t>
            </w:r>
          </w:p>
        </w:tc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07BAB" w:rsidRPr="00142524" w:rsidRDefault="00F07BAB" w:rsidP="00F07BAB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142524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연락처</w:t>
            </w:r>
            <w:r w:rsidRPr="00142524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(H.P)</w:t>
            </w:r>
            <w:r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010-7383-9120</w:t>
            </w:r>
          </w:p>
        </w:tc>
      </w:tr>
    </w:tbl>
    <w:p w:rsidR="00000000" w:rsidRDefault="00000000"/>
    <w:p w:rsidR="00F07BAB" w:rsidRDefault="00F07BAB"/>
    <w:p w:rsidR="00F07BAB" w:rsidRDefault="00F07BAB"/>
    <w:p w:rsidR="00F07BAB" w:rsidRDefault="00F07BAB"/>
    <w:p w:rsidR="00F07BAB" w:rsidRDefault="00F07BAB"/>
    <w:p w:rsidR="00F07BAB" w:rsidRDefault="00F07BAB"/>
    <w:p w:rsidR="00F07BAB" w:rsidRDefault="00F07BAB"/>
    <w:p w:rsidR="00F07BAB" w:rsidRDefault="00F07BAB"/>
    <w:p w:rsidR="00F07BAB" w:rsidRDefault="00F07BAB"/>
    <w:p w:rsidR="00F07BAB" w:rsidRDefault="00F07BAB"/>
    <w:p w:rsidR="00F07BAB" w:rsidRPr="007B1896" w:rsidRDefault="00F07BAB" w:rsidP="00F07BAB">
      <w:pPr>
        <w:jc w:val="center"/>
        <w:rPr>
          <w:rFonts w:ascii="맑은 고딕" w:eastAsia="맑은 고딕" w:hAnsi="맑은 고딕" w:hint="eastAsia"/>
          <w:b/>
          <w:bCs/>
          <w:spacing w:val="20"/>
          <w:sz w:val="36"/>
        </w:rPr>
      </w:pPr>
      <w:r w:rsidRPr="007B1896">
        <w:rPr>
          <w:rFonts w:ascii="맑은 고딕" w:eastAsia="맑은 고딕" w:hAnsi="맑은 고딕" w:hint="eastAsia"/>
          <w:b/>
          <w:bCs/>
          <w:spacing w:val="20"/>
          <w:sz w:val="36"/>
        </w:rPr>
        <w:lastRenderedPageBreak/>
        <w:t>임상문헌 검토자료</w:t>
      </w:r>
    </w:p>
    <w:p w:rsidR="00F07BAB" w:rsidRPr="007B1896" w:rsidRDefault="00F07BAB" w:rsidP="00F07BAB">
      <w:pPr>
        <w:rPr>
          <w:rFonts w:ascii="맑은 고딕" w:eastAsia="맑은 고딕" w:hAnsi="맑은 고딕" w:hint="eastAsia"/>
          <w:color w:val="000000"/>
          <w:sz w:val="16"/>
          <w:szCs w:val="16"/>
        </w:rPr>
      </w:pPr>
    </w:p>
    <w:p w:rsidR="00F07BAB" w:rsidRPr="007B1896" w:rsidRDefault="00F07BAB" w:rsidP="00F07BAB">
      <w:pPr>
        <w:rPr>
          <w:rFonts w:ascii="맑은 고딕" w:eastAsia="맑은 고딕" w:hAnsi="맑은 고딕" w:hint="eastAsia"/>
          <w:sz w:val="24"/>
        </w:rPr>
      </w:pPr>
      <w:r w:rsidRPr="007B1896">
        <w:rPr>
          <w:rFonts w:ascii="맑은 고딕" w:eastAsia="맑은 고딕" w:hAnsi="맑은 고딕" w:hint="eastAsia"/>
          <w:color w:val="000000"/>
          <w:sz w:val="24"/>
        </w:rPr>
        <w:t xml:space="preserve">1) </w:t>
      </w:r>
      <w:r w:rsidRPr="007B1896">
        <w:rPr>
          <w:rFonts w:ascii="맑은 고딕" w:eastAsia="맑은 고딕" w:hAnsi="맑은 고딕" w:hint="eastAsia"/>
          <w:sz w:val="24"/>
        </w:rPr>
        <w:t xml:space="preserve">대표논문 요약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55"/>
        <w:gridCol w:w="4100"/>
        <w:gridCol w:w="3661"/>
      </w:tblGrid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논 문 제 목</w:t>
            </w:r>
          </w:p>
        </w:tc>
        <w:tc>
          <w:tcPr>
            <w:tcW w:w="8325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Polatuzumab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Vedotin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in Relapsed or Refractory Diffuse Large B-Cell Lymphoma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Journal명 /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 w:rsidRPr="007B1896">
              <w:rPr>
                <w:rFonts w:ascii="맑은 고딕" w:eastAsia="맑은 고딕" w:hAnsi="맑은 고딕" w:hint="eastAsia"/>
                <w:szCs w:val="20"/>
              </w:rPr>
              <w:t>발행년도</w:t>
            </w:r>
            <w:proofErr w:type="spellEnd"/>
          </w:p>
        </w:tc>
        <w:tc>
          <w:tcPr>
            <w:tcW w:w="8325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8528CE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r w:rsidRPr="00511F2A">
              <w:rPr>
                <w:rFonts w:ascii="맑은 고딕" w:eastAsia="맑은 고딕" w:hAnsi="맑은 고딕" w:cs="맑은 고딕"/>
                <w:color w:val="000000"/>
              </w:rPr>
              <w:t>J Clin Oncol. 2020 Jan 10;38(2):155-165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 xml:space="preserve">시 </w:t>
            </w:r>
            <w:proofErr w:type="spellStart"/>
            <w:r w:rsidRPr="007B1896">
              <w:rPr>
                <w:rFonts w:ascii="맑은 고딕" w:eastAsia="맑은 고딕" w:hAnsi="맑은 고딕" w:hint="eastAsia"/>
                <w:szCs w:val="20"/>
              </w:rPr>
              <w:t>험</w:t>
            </w:r>
            <w:proofErr w:type="spellEnd"/>
            <w:r w:rsidRPr="007B1896">
              <w:rPr>
                <w:rFonts w:ascii="맑은 고딕" w:eastAsia="맑은 고딕" w:hAnsi="맑은 고딕" w:hint="eastAsia"/>
                <w:szCs w:val="20"/>
              </w:rPr>
              <w:t xml:space="preserve"> 방 법</w:t>
            </w:r>
          </w:p>
        </w:tc>
        <w:tc>
          <w:tcPr>
            <w:tcW w:w="8325" w:type="dxa"/>
            <w:gridSpan w:val="2"/>
            <w:tcBorders>
              <w:left w:val="double" w:sz="4" w:space="0" w:color="auto"/>
              <w:right w:val="single" w:sz="12" w:space="0" w:color="auto"/>
            </w:tcBorders>
          </w:tcPr>
          <w:p w:rsidR="00F07BAB" w:rsidRPr="00CD2B1C" w:rsidRDefault="00F07BAB" w:rsidP="008F3E09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CD2B1C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International, multicenter, open-label, Phase </w:t>
            </w:r>
            <w:proofErr w:type="spellStart"/>
            <w:r w:rsidRPr="00CD2B1C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Ib</w:t>
            </w:r>
            <w:proofErr w:type="spellEnd"/>
            <w:r w:rsidRPr="00CD2B1C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/II trial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대 상 질 환</w:t>
            </w:r>
          </w:p>
        </w:tc>
        <w:tc>
          <w:tcPr>
            <w:tcW w:w="8325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이전 치료 경험이 있는 18세 이상의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미만성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거대 B세포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림프종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환자로 환자는 자가 조혈줄기세포 이식(HSCT)의 후보자가 아니며 하나 이상의 이전 전신 화학요법을 받은 후 재발하거나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불응성</w:t>
            </w:r>
            <w:proofErr w:type="spellEnd"/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 xml:space="preserve">피 </w:t>
            </w:r>
            <w:proofErr w:type="spellStart"/>
            <w:r w:rsidRPr="007B1896">
              <w:rPr>
                <w:rFonts w:ascii="맑은 고딕" w:eastAsia="맑은 고딕" w:hAnsi="맑은 고딕" w:hint="eastAsia"/>
                <w:szCs w:val="20"/>
              </w:rPr>
              <w:t>험</w:t>
            </w:r>
            <w:proofErr w:type="spellEnd"/>
            <w:r w:rsidRPr="007B1896">
              <w:rPr>
                <w:rFonts w:ascii="맑은 고딕" w:eastAsia="맑은 고딕" w:hAnsi="맑은 고딕" w:hint="eastAsia"/>
                <w:szCs w:val="20"/>
              </w:rPr>
              <w:t xml:space="preserve"> 자 수</w:t>
            </w:r>
          </w:p>
        </w:tc>
        <w:tc>
          <w:tcPr>
            <w:tcW w:w="8325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80명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용법</w:t>
            </w:r>
            <w:r w:rsidRPr="007B1896">
              <w:rPr>
                <w:rFonts w:ascii="맑은 고딕" w:eastAsia="맑은 고딕" w:hAnsi="맑은 고딕"/>
                <w:szCs w:val="20"/>
              </w:rPr>
              <w:t>·</w:t>
            </w:r>
            <w:r w:rsidRPr="007B1896">
              <w:rPr>
                <w:rFonts w:ascii="맑은 고딕" w:eastAsia="맑은 고딕" w:hAnsi="맑은 고딕" w:hint="eastAsia"/>
                <w:szCs w:val="20"/>
              </w:rPr>
              <w:t>용량 / 투여기간</w:t>
            </w:r>
          </w:p>
        </w:tc>
        <w:tc>
          <w:tcPr>
            <w:tcW w:w="4162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Default="00F07BAB" w:rsidP="008F3E09">
            <w:pPr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*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폴라이비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벤다무스틴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리툭시맙</w:t>
            </w:r>
            <w:proofErr w:type="spellEnd"/>
          </w:p>
          <w:p w:rsidR="00F07BAB" w:rsidRPr="00851024" w:rsidRDefault="00F07BAB" w:rsidP="008F3E09">
            <w:pPr>
              <w:jc w:val="left"/>
              <w:rPr>
                <w:rFonts w:ascii="맑은 고딕" w:eastAsia="맑은 고딕" w:hAnsi="맑은 고딕" w:hint="eastAsia"/>
                <w:szCs w:val="20"/>
              </w:rPr>
            </w:pPr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이 약은 제1주기의 제2일과 제2~6주기의 제1일에 1.8 mg/kg 용량으로 정맥 내 투여되었다.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벤다무스틴은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제1주기의 제2일과 제3일, 제2~6주기의 제1일 및 제2일에 90 mg/m2 용량으로 매일 정맥 내 투여되었다.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리툭시맙은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제1~6주기의 제1일에 375 mg/m2 용량으로 정맥 내 투여되었다.</w:t>
            </w:r>
          </w:p>
        </w:tc>
        <w:tc>
          <w:tcPr>
            <w:tcW w:w="4163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Default="00F07BAB" w:rsidP="008F3E09">
            <w:pPr>
              <w:jc w:val="left"/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*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벤다무스틴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리툭시맙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</w:p>
          <w:p w:rsidR="00F07BAB" w:rsidRPr="00851024" w:rsidRDefault="00F07BAB" w:rsidP="008F3E09">
            <w:pPr>
              <w:jc w:val="left"/>
              <w:rPr>
                <w:rFonts w:ascii="맑은 고딕" w:eastAsia="맑은 고딕" w:hAnsi="맑은 고딕" w:hint="eastAsia"/>
                <w:szCs w:val="20"/>
              </w:rPr>
            </w:pP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벤다무스틴은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제1주기의 제2일과 제3일, 제2~6주기의 제1일 및 제2일에 90 mg/m2 용량으로 매일 정맥 내 투여되었다.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리툭시맙은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제1~6주기의 제1일에 375 mg/m2 용량으로 정맥 내 투여되었다.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약 효 판 정</w:t>
            </w:r>
          </w:p>
        </w:tc>
        <w:tc>
          <w:tcPr>
            <w:tcW w:w="4162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D95E71" w:rsidRDefault="00F07BAB" w:rsidP="008F3E0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맑은 고딕" w:hAnsi="맑은 고딕" w:cs="맑은 고딕"/>
                <w:color w:val="000000"/>
              </w:rPr>
            </w:pPr>
            <w:r w:rsidRPr="00D95E71">
              <w:rPr>
                <w:rFonts w:ascii="맑은 고딕" w:hAnsi="맑은 고딕" w:cs="맑은 고딕"/>
                <w:color w:val="000000"/>
              </w:rPr>
              <w:t>CR: 40%</w:t>
            </w:r>
          </w:p>
          <w:p w:rsidR="00F07BAB" w:rsidRPr="00D95E71" w:rsidRDefault="00F07BAB" w:rsidP="008F3E0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맑은 고딕" w:hAnsi="맑은 고딕" w:cs="맑은 고딕"/>
                <w:color w:val="000000"/>
              </w:rPr>
            </w:pPr>
            <w:proofErr w:type="spellStart"/>
            <w:r w:rsidRPr="00D95E71">
              <w:rPr>
                <w:rFonts w:ascii="맑은 고딕" w:hAnsi="맑은 고딕" w:cs="맑은 고딕"/>
                <w:color w:val="000000"/>
              </w:rPr>
              <w:t>mPFS</w:t>
            </w:r>
            <w:proofErr w:type="spellEnd"/>
            <w:r w:rsidRPr="00D95E71">
              <w:rPr>
                <w:rFonts w:ascii="맑은 고딕" w:hAnsi="맑은 고딕" w:cs="맑은 고딕"/>
                <w:color w:val="000000"/>
              </w:rPr>
              <w:t>: 7.5 개월</w:t>
            </w:r>
          </w:p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color w:val="0000FF"/>
                <w:szCs w:val="20"/>
              </w:rPr>
            </w:pPr>
            <w:r w:rsidRPr="00D95E71">
              <w:rPr>
                <w:rFonts w:ascii="맑은 고딕" w:eastAsia="맑은 고딕" w:hAnsi="맑은 고딕" w:cs="맑은 고딕"/>
                <w:color w:val="000000"/>
              </w:rPr>
              <w:t>OS: 12.4개월</w:t>
            </w:r>
          </w:p>
        </w:tc>
        <w:tc>
          <w:tcPr>
            <w:tcW w:w="4163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D95E71" w:rsidRDefault="00F07BAB" w:rsidP="008F3E0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맑은 고딕" w:hAnsi="맑은 고딕" w:cs="맑은 고딕"/>
                <w:color w:val="000000"/>
              </w:rPr>
            </w:pPr>
            <w:r w:rsidRPr="00D95E71">
              <w:rPr>
                <w:rFonts w:ascii="맑은 고딕" w:hAnsi="맑은 고딕" w:cs="맑은 고딕"/>
                <w:color w:val="000000"/>
              </w:rPr>
              <w:t>CR: 17.5%</w:t>
            </w:r>
          </w:p>
          <w:p w:rsidR="00F07BAB" w:rsidRPr="00D95E71" w:rsidRDefault="00F07BAB" w:rsidP="008F3E0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맑은 고딕" w:hAnsi="맑은 고딕" w:cs="맑은 고딕"/>
                <w:color w:val="000000"/>
              </w:rPr>
            </w:pPr>
            <w:proofErr w:type="spellStart"/>
            <w:r w:rsidRPr="00D95E71">
              <w:rPr>
                <w:rFonts w:ascii="맑은 고딕" w:hAnsi="맑은 고딕" w:cs="맑은 고딕"/>
                <w:color w:val="000000"/>
              </w:rPr>
              <w:t>mPFS</w:t>
            </w:r>
            <w:proofErr w:type="spellEnd"/>
            <w:r w:rsidRPr="00D95E71">
              <w:rPr>
                <w:rFonts w:ascii="맑은 고딕" w:hAnsi="맑은 고딕" w:cs="맑은 고딕"/>
                <w:color w:val="000000"/>
              </w:rPr>
              <w:t>: 2 개월</w:t>
            </w:r>
          </w:p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color w:val="0000FF"/>
                <w:szCs w:val="20"/>
              </w:rPr>
            </w:pPr>
            <w:r w:rsidRPr="00D95E71">
              <w:rPr>
                <w:rFonts w:ascii="맑은 고딕" w:eastAsia="맑은 고딕" w:hAnsi="맑은 고딕" w:cs="맑은 고딕"/>
                <w:color w:val="000000"/>
              </w:rPr>
              <w:t>OS: 4.7개월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이 상 반 응</w:t>
            </w:r>
          </w:p>
        </w:tc>
        <w:tc>
          <w:tcPr>
            <w:tcW w:w="4162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Polatuzumab+Bendamustine+Rituximab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patients had higher rates of grade 3-4 neutropenia (46.2% v 33.3%), anemia (28.2% v 17.9%), and thrombocytopenia (41% v 23.1%), but similar grade 3-4 infections (23.1% v 20.5%),</w:t>
            </w:r>
          </w:p>
        </w:tc>
        <w:tc>
          <w:tcPr>
            <w:tcW w:w="4163" w:type="dxa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:rsidR="00F07BAB" w:rsidRPr="00D95E71" w:rsidRDefault="00F07BAB" w:rsidP="008F3E09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맑은 고딕" w:hAnsi="맑은 고딕" w:cs="맑은 고딕"/>
                <w:color w:val="000000"/>
              </w:rPr>
            </w:pPr>
            <w:proofErr w:type="spellStart"/>
            <w:r w:rsidRPr="00D95E71">
              <w:rPr>
                <w:rFonts w:ascii="맑은 고딕" w:hAnsi="맑은 고딕" w:cs="맑은 고딕"/>
                <w:color w:val="000000"/>
              </w:rPr>
              <w:t>Bendamustine</w:t>
            </w:r>
            <w:proofErr w:type="spellEnd"/>
            <w:r w:rsidRPr="00D95E71">
              <w:rPr>
                <w:rFonts w:ascii="맑은 고딕" w:hAnsi="맑은 고딕" w:cs="맑은 고딕"/>
                <w:color w:val="000000"/>
              </w:rPr>
              <w:t xml:space="preserve"> +Rituximab group.</w:t>
            </w:r>
          </w:p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Peripheral neuropathy associated with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polatuzumab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vedotin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>(43.6% of patients) was grade 1-2 and resolved in most patients</w:t>
            </w:r>
          </w:p>
        </w:tc>
      </w:tr>
      <w:tr w:rsidR="00F07BAB" w:rsidRPr="007B1896" w:rsidTr="008F3E09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2211" w:type="dxa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F07BAB" w:rsidRPr="007B1896" w:rsidRDefault="00F07BAB" w:rsidP="008F3E09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7B1896">
              <w:rPr>
                <w:rFonts w:ascii="맑은 고딕" w:eastAsia="맑은 고딕" w:hAnsi="맑은 고딕" w:hint="eastAsia"/>
                <w:szCs w:val="20"/>
              </w:rPr>
              <w:t>결 론</w:t>
            </w:r>
          </w:p>
        </w:tc>
        <w:tc>
          <w:tcPr>
            <w:tcW w:w="8325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07BAB" w:rsidRPr="007B1896" w:rsidRDefault="00F07BAB" w:rsidP="008F3E09">
            <w:pPr>
              <w:rPr>
                <w:rFonts w:ascii="맑은 고딕" w:eastAsia="맑은 고딕" w:hAnsi="맑은 고딕" w:hint="eastAsia"/>
                <w:szCs w:val="20"/>
              </w:rPr>
            </w:pP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Polatuzumab+Bendamustine+Rituximab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patients had a signiﬁcantly higher IRC-assessed CR(40.0%v17.5%; P = .026) and longer IRC-assessed PFS (median, 9.5 v 3.7 months; hazard ratio [HR], 0.36, 95% CI, 0.21 to 0.63;P , .001)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andOS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 xml:space="preserve"> (median, 12.4v4.7 months; HR, 0.42; 95%CI, 0.24 to0.75;P= .002;median </w:t>
            </w:r>
            <w:proofErr w:type="spellStart"/>
            <w:r w:rsidRPr="00D95E71">
              <w:rPr>
                <w:rFonts w:ascii="맑은 고딕" w:eastAsia="맑은 고딕" w:hAnsi="맑은 고딕" w:cs="맑은 고딕"/>
                <w:color w:val="000000"/>
              </w:rPr>
              <w:t>followup</w:t>
            </w:r>
            <w:proofErr w:type="spellEnd"/>
            <w:r w:rsidRPr="00D95E71">
              <w:rPr>
                <w:rFonts w:ascii="맑은 고딕" w:eastAsia="맑은 고딕" w:hAnsi="맑은 고딕" w:cs="맑은 고딕"/>
                <w:color w:val="000000"/>
              </w:rPr>
              <w:t>, 22.3 months).</w:t>
            </w:r>
          </w:p>
        </w:tc>
      </w:tr>
    </w:tbl>
    <w:p w:rsidR="00F07BAB" w:rsidRDefault="00F07BAB" w:rsidP="00F07BAB">
      <w:pPr>
        <w:rPr>
          <w:rFonts w:ascii="맑은 고딕" w:eastAsia="맑은 고딕" w:hAnsi="맑은 고딕"/>
          <w:color w:val="000000"/>
          <w:sz w:val="24"/>
        </w:rPr>
      </w:pPr>
    </w:p>
    <w:p w:rsidR="00F07BAB" w:rsidRPr="007B1896" w:rsidRDefault="00F07BAB" w:rsidP="00F07BAB">
      <w:pPr>
        <w:rPr>
          <w:rFonts w:ascii="맑은 고딕" w:eastAsia="맑은 고딕" w:hAnsi="맑은 고딕" w:hint="eastAsia"/>
          <w:sz w:val="24"/>
        </w:rPr>
      </w:pPr>
    </w:p>
    <w:p w:rsidR="00F07BAB" w:rsidRPr="00F07BAB" w:rsidRDefault="00F07BAB">
      <w:pPr>
        <w:rPr>
          <w:rFonts w:hint="eastAsia"/>
        </w:rPr>
      </w:pPr>
    </w:p>
    <w:sectPr w:rsidR="00F07BAB" w:rsidRPr="00F07BAB" w:rsidSect="00142524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Gothic">
    <w:altName w:val="나눔고딕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궁서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524"/>
    <w:rsid w:val="00006479"/>
    <w:rsid w:val="00142524"/>
    <w:rsid w:val="00422FBC"/>
    <w:rsid w:val="00774034"/>
    <w:rsid w:val="00F0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6751"/>
  <w15:chartTrackingRefBased/>
  <w15:docId w15:val="{81284C9B-D86C-4F59-87A0-DF85D1AF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524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74034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Cs w:val="20"/>
    </w:rPr>
  </w:style>
  <w:style w:type="paragraph" w:styleId="a3">
    <w:name w:val="header"/>
    <w:basedOn w:val="a"/>
    <w:link w:val="Char"/>
    <w:semiHidden/>
    <w:rsid w:val="00F07BAB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semiHidden/>
    <w:rsid w:val="00F07BAB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Office User</cp:lastModifiedBy>
  <cp:revision>2</cp:revision>
  <dcterms:created xsi:type="dcterms:W3CDTF">2026-01-22T00:01:00Z</dcterms:created>
  <dcterms:modified xsi:type="dcterms:W3CDTF">2026-01-22T00:01:00Z</dcterms:modified>
</cp:coreProperties>
</file>