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left"/>
        <w:rPr>
          <w:rFonts w:ascii="Nanum Gothic" w:cs="Nanum Gothic" w:eastAsia="Nanum Gothic" w:hAnsi="Nanum Gothic"/>
          <w:color w:val="000000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별첨2.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8"/>
          <w:szCs w:val="28"/>
          <w:rtl w:val="0"/>
        </w:rPr>
        <w:t xml:space="preserve">신약 요약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rtl w:val="0"/>
        </w:rPr>
        <w:t xml:space="preserve">상품명: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rtl w:val="0"/>
        </w:rPr>
        <w:t xml:space="preserve">제약회사: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sz w:val="24"/>
          <w:szCs w:val="24"/>
          <w:u w:val="single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96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92"/>
        <w:gridCol w:w="7591"/>
        <w:tblGridChange w:id="0">
          <w:tblGrid>
            <w:gridCol w:w="2092"/>
            <w:gridCol w:w="7591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항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rtl w:val="0"/>
              </w:rPr>
              <w:t xml:space="preserve">내 용 (문헌적 근거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12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1.신청사유(배경)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자료에는 폴라이비주(폴라투주맙베도틴)의 신청 사유(배경)에 대한 정보는 없습니다.</w:t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2. 약물의 유효성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자료에서 해당 약물의 유효성에 대한 정보는 다음과 같습니다.</w:t>
              <w:br/>
              <w:br/>
              <w:t>**효능·효과**</w:t>
              <w:br/>
              <w:br/>
              <w:t>*   이전에 치료받은 적이 없는 미만성 거대 B 세포 림프종(DLBCL) 성인 환자에서 리툭시맙, 시클로포스파미드, 독소루비신 및 프레드니손/프레드니솔론(R-CHP)과 병용투여</w:t>
              <w:br/>
              <w:t>*   조혈모세포이식이 적합하지 않고 한 가지 이상의 이전 치료에 실패한 재발성 또는 불응성 미만성 거대 B 세포 림프종(DLBCL) 성인 환자에서 벤다무스틴 및 리툭시맙과의 병용요법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3. 약물의 안전성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Nanum Gothic" w:cs="Nanum Gothic" w:eastAsia="Nanum Gothic" w:hAnsi="Nanum Gothic"/>
              </w:rPr>
            </w:pPr>
            <w:r>
              <w:t>제공된 자료에 근거하여 약물의 안전성 관련 정보를 요약하면 다음과 같습니다.</w:t>
              <w:br/>
              <w:br/>
              <w:t>**1. 일반적인 안전성 고려사항:**</w:t>
              <w:br/>
              <w:br/>
              <w:t>*   **약물이상반응:** 자세한 내용은 식품의약품안전처 의약품안전나라 (https://nedrug.mfds.go.kr)에서 확인할 수 있습니다.</w:t>
              <w:br/>
              <w:t>*   **투여 금지:** 이 약의 주성분 또는 첨가제에 알려진 과민증이 있는 환자에게는 투여하지 않습니다.</w:t>
              <w:br/>
              <w:br/>
              <w:t>**2. 특정 환자군:**</w:t>
              <w:br/>
              <w:br/>
              <w:t>*   **소아:** 만 18세 미만 소아 환자에서 이 약의 안전성 및 유효성이 확립되어 있지 않습니다.</w:t>
              <w:br/>
              <w:t>*   **고령자:** 만 65세 이상 환자와 미만 환자 간 안전성 또는 유효성의 전반적인 차이가 관찰되지 않았습니다.</w:t>
              <w:br/>
              <w:t>*   **신장애 환자:** CrCL &lt; 30 mL/min 인 환자에서 이 약의 안전성 및 유효성이 공식적으로 연구된 바 없습니다.</w:t>
              <w:br/>
              <w:t>*   **간장애 환자:** AST &gt; 2.5 × ULN, ALT &gt; 2.5 × ULN 또는 총 빌리루빈 &gt; 1.5 × ULN 인 환자에서 이 약의 안전성 및 유효성이 공식적으로 연구된 바 없고 이러한 환자들은 MMAE에 대한 노출이 증가할 가능성이 있습니다. 중등도 또는 중증 간장애 환자(총 빌리루빈 &gt; 1.5 × ULN)는 이 약의 투여를 피해야 합니다.</w:t>
              <w:br/>
              <w:br/>
              <w:t>**3. 임부, 수유부, 가임 여성:**</w:t>
              <w:br/>
              <w:br/>
              <w:t>*   **임부:** 동물 시험과 이 약물의 작용 기전에 기초할 때 이 약은 태아에게 유해한 영향을 미칠 수 있습니다. 모체에 대한 잠재적 유익성이 태아에 대한 잠재적 위험을 초과하지 않는다면 임신 중 이 약의 투여는 권장되지 않습니다.</w:t>
              <w:br/>
              <w:t>*   **수유부:** 이 약이 사람 모유로 배출되는지 여부는 알려져 있지 않습니다. 이 약으로 인해 수유아에게 중대한 이상반응이 발생할 수 있는 위험성이 있기 때문에 여성은 이 약 투여 중과 마지막 투여 후 적어도 3개월 동안 수유를 중단해야 합니다.</w:t>
              <w:br/>
              <w:t>*   **수태능:** 동물 시험에 기초하여 이 약은 남성 생식 기능과 수태능을 저해할 수 있습니다.</w:t>
              <w:br/>
              <w:t>*   **가임 여성:** 가임 여성은 이 약 투여 중과 마지막 투여 후 9개월 이상 동안 효과적인 피임법을 사용하도록 권고해야 합니다.</w:t>
              <w:br/>
              <w:t>*   **남성:** 가임 여성 파트너를 둔 남성 환자는 이 약 투여 중과 마지막 투여 후 6개월 이상 효과적인 피임법을 사용하도록 권고해야 합니다.</w:t>
              <w:br/>
              <w:br/>
              <w:t>**4. 독성:**</w:t>
              <w:br/>
              <w:br/>
              <w:t>*   **발암성:** 이 약 또는 MMAE로 동물에서 수행된 발암성 전문 시험은 없습니다.</w:t>
              <w:br/>
              <w:t>*   **유전독성:** 이 약으로 동물에서 수행된 돌연변이원성 전문 시험은 없습니다. MMAE는 랫트 골수 소핵 시험에서 수적이상(aneugenic)을 일으키는 유전독성이 있었습니다.</w:t>
              <w:br/>
              <w:t>*   **생식발생독성:**</w:t>
              <w:br/>
              <w:t xml:space="preserve">    *   수태능 장애: 이 약으로 동물에서 수행된 수태능 전문 시험은 없습니다. 하지만, 랫트에서 실시한 반복 투여 독성 시험 결과는 이 약이 수컷 생식 기능과 수태능을 저해할 수 있다는 잠재성을 제시합니다.</w:t>
              <w:br/>
              <w:t xml:space="preserve">    *   생식독성: 이 약으로 동물에서 수행된 최기형성 전문 시험은 없습니다. 하지만 MMAE는 랫트를 대상으로 GLP 배태아 발달 및 독성동태 시험에서 평가되었으며, 임신한 랫트에서 임신 제6일과 제13일의 장기형성기 중 0.2 mg/kg MMAE 를 두 번 정맥 내 투여하였습니다. MMAE 0.2 mg/kg 투여는 돌출 혀, 사지 회전이상, 복벽파열증 및 무턱증 등 태아의 외부적 기형을 야기하였습니다.</w:t>
              <w:br/>
              <w:br/>
              <w:t>**5. 기타 안전성 관련 정보:**</w:t>
              <w:br/>
              <w:br/>
              <w:t>*   **골수억제:** 중대한 그리고 중증 호중구감소증 또는 발열성 호중구감소증이 이 약을 투여 받은 환자에서 투여 제1주기 초기부터 보고된 바 있습니다. 예방적 G-CSF 투여를 고려해야 합니다. 이 약 투여 시 3~4등급 혈소판감소증 또는 빈혈이 발생할 수 있습니다. 이 약의 투여 전에 전혈구수를 모니터링해야 합니다.</w:t>
              <w:br/>
              <w:t>*   **말초신경병증:** 말초신경병증이 이 약을 투여받은 환자에서 투여 제1주기부터 보고된 바 있으며 순차적 투여에서 그 위험이 증가하였습니다. 기존에 말초신경병증이 있는 환자는 상태 악화를 경험할 수 있습니다. 말초신경병증 증상에 대해 환자 모니터링을 해야 합니다.</w:t>
              <w:br/>
              <w:t>*   **간독성:** 아미노전이효소 또는 빌리루빈 상승을 포함한 간세포 손상과 일치하는 간독성의 중대한 증례가 이 약 투여 환자에서 발생한 바 있습니다. 기존에 간 질환을 가지고 있거나, 기저 간효소 수치가 높거나 약물 병용 시 간 손상 위험이 증가할 수 있습니다. 간효소 및 빌리루빈 수치를 모니터링해야 합니다.</w:t>
              <w:br/>
              <w:br/>
              <w:t>**주의:** 이 정보는 제공된 자료에 근거한 것이며, 의약품 사용 시에는 반드시 제품 설명서를 참조하고 전문가와 상담해야 합니다.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4. 경제성</w:t>
            </w:r>
          </w:p>
          <w:p w:rsidR="00000000" w:rsidDel="00000000" w:rsidP="00000000" w:rsidRDefault="00000000" w:rsidRPr="00000000" w14:paraId="0000000C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(치료약가 인하도)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 해당 정보 없음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5. 국내임상시험 결과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F">
            <w:pPr>
              <w:spacing w:line="336" w:lineRule="auto"/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 국내 임상시험 결과 정보는 없습니다.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6. FDA 승인 여부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1">
            <w:pPr>
              <w:spacing w:line="336" w:lineRule="auto"/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 FDA 승인 여부에 대한 정보는 없습니다.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7. 타 병원 사용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 타 병원 사용 현황 정보는 없습니다.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8. 보험 급여여부</w:t>
            </w:r>
          </w:p>
          <w:p w:rsidR="00000000" w:rsidDel="00000000" w:rsidP="00000000" w:rsidRDefault="00000000" w:rsidRPr="00000000" w14:paraId="00000015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(허가사항 범위)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자료에서 보험 급여 여부에 대한 정보는 찾을 수 없습니다.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9. 적용 시 편리성</w:t>
            </w:r>
          </w:p>
          <w:p w:rsidR="00000000" w:rsidDel="00000000" w:rsidP="00000000" w:rsidRDefault="00000000" w:rsidRPr="00000000" w14:paraId="00000018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(용량 비율의 다양성, </w:t>
            </w:r>
          </w:p>
          <w:p w:rsidR="00000000" w:rsidDel="00000000" w:rsidP="00000000" w:rsidRDefault="00000000" w:rsidRPr="00000000" w14:paraId="00000019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복약순응도 용이성)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자료에서 적용 시 편리성(용량 비율의 다양성, 복약 순응도 용이성)에 대한 직접적인 정보는 찾을 수 없습니다.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10. 기타 고려사항 </w:t>
            </w:r>
          </w:p>
          <w:p w:rsidR="00000000" w:rsidDel="00000000" w:rsidP="00000000" w:rsidRDefault="00000000" w:rsidRPr="00000000" w14:paraId="0000001C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(투여시 문제 여부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자료를 바탕으로 투여 시 문제 여부와 관련된 기타 고려사항은 다음과 같습니다.</w:t>
              <w:br/>
              <w:br/>
              <w:t>1.  **골수억제:**</w:t>
              <w:br/>
              <w:br/>
              <w:t>*   중대한 및 중증 호중구감소증 또는 발열성 호중구감소증이 이 약 투여 환자에서 투여 제1주기 초기부터 보고된 바 있습니다. 예방적 G-CSF 투여를 고려해야 합니다.</w:t>
              <w:br/>
              <w:t>*   이 약 투여 시 3~4등급 혈소판감소증 또는 빈혈이 발생할 수 있습니다. 이 약 투여 전에 전혈구수를 모니터링해야 합니다.</w:t>
              <w:br/>
              <w:t>*   3~4등급 호중구감소증 또는 혈소판감소증 환자에게는 보다 빈번한 실험실 수치 모니터링 및 이 약의 투여 연기 또는 중단을 고려해야 합니다.</w:t>
              <w:br/>
              <w:br/>
              <w:t>2.  **말초신경병증:**</w:t>
              <w:br/>
              <w:br/>
              <w:t>*   말초신경병증이 이 약을 투여받은 환자에서 투여 제1주기부터 보고된 바 있으며 순차적 투여에서 그 위험이 증가하였습니다.</w:t>
              <w:br/>
              <w:t>*   기존에 말초신경병증이 있는 환자는 상태 악화를 경험할 수 있습니다.</w:t>
              <w:br/>
              <w:t>*   이 약 투여에서 보고된 말초신경병증은 주로 감각 말초신경병증이지만 운동 및 감각 운동 말초신경병증도 보고된 바 있습니다.</w:t>
              <w:br/>
              <w:t>*   감각저하, 지각과민, 지각이상, 감각장애, 신경병성 통증, 작열감, 약화 또는 보행 장애 등의 말초신경병증 증상에 대해 환자 모니터링을 해야 합니다.</w:t>
              <w:br/>
              <w:t>*   말초신경병증이 새로 발생하거나 악화된 환자는 이 약 투여를 연기, 용량 감소 또는 중단해야 합니다.</w:t>
              <w:br/>
              <w:br/>
              <w:t>3.  **감염:**</w:t>
              <w:br/>
              <w:br/>
              <w:t>*   이 약 치료 중 박테리아성, 진균성 또는 바이러스성 감염의 징후에 대해 환자를 면밀하게 모니터링해야 합니다.</w:t>
              <w:br/>
              <w:t>*   항감염 예방요법을 고려해야 합니다.</w:t>
              <w:br/>
              <w:t>*   중대한 감염이 발생한 환자는 이 약 및 모든 병용 화학요법을 중단해야 합니다.</w:t>
              <w:br/>
              <w:br/>
              <w:t>4.  **진행성 다초점 백질뇌병증 (PML):**</w:t>
              <w:br/>
              <w:br/>
              <w:t>*   이 약 투여 시 PML이 보고된 바 있습니다.</w:t>
              <w:br/>
              <w:t>*   PML을 암시하는 신경적, 인지적 또는 행동적 변화 발생이나 악화에 대해 환자를 면밀하게 모니터링해야 합니다.</w:t>
              <w:br/>
              <w:t>*   PML이 의심된다면 이 약 및 모든 병용 화학요법을 보류해야 하며 진단이 확인되면 영구 중단해야 합니다.</w:t>
              <w:br/>
              <w:br/>
              <w:t>5.  **종양 용해 증후군:**</w:t>
              <w:br/>
              <w:br/>
              <w:t>*   종양 부담이 높고 종양이 빠르게 증식되는 환자는 종양 용해 증후군 발생 위험이 높을 수 있습니다.</w:t>
              <w:br/>
              <w:t>*   이 약 투여 전에 가이드라인에 따른 적절한 조치를 취해야 합니다.</w:t>
              <w:br/>
              <w:t>*   이 약 투여 중 종양 용해 증후군에 대해 환자를 면밀하게 모니터링해야 합니다.</w:t>
              <w:br/>
              <w:br/>
              <w:t>6.  **투여 중단 및 재개:**</w:t>
              <w:br/>
              <w:br/>
              <w:t>*   2등급 천명 또는 두드러기가 재발한 경우 또는 3등급의 어떠한 증상이 재발한 경우 이 약을 영구 중단합니다.</w:t>
              <w:br/>
              <w:t>*   증상이 완전히 해소된 경우, 일시 중단 하기 전 도달한 주입 속도의 50%로 주입을 재개할 수 있습니다. 주입 관련 반응이 없다면, 매 30분 마다 시간당 50mg씩 증가시키며 주입 속도를 올릴 수 있습니다.</w:t>
              <w:br/>
              <w:t>*   다음 주기에서 이 약을 90분에 걸쳐 주입합니다. 주입 관련 반응이 발생하지 않는다면 30분에 걸쳐 후속 주입을 투여할 수 있습니다. 매 주기에 전처치를 투여합니다.</w:t>
              <w:br/>
              <w:t>*   4등급의 경우 이 약의 주입을 즉시 중단하고 지지요법을 투여하며, 이 약을 영구 중단합니다.</w:t>
              <w:br/>
              <w:br/>
              <w:t>7.  **특정 환자군:**</w:t>
              <w:br/>
              <w:br/>
              <w:t>*   중등도 또는 중증 간장애 환자(총 빌리루빈 &gt; 1.5 × ULN)는 이 약의 투여를 피해야 합니다.</w:t>
              <w:br/>
              <w:t>*   CrCL &lt; 30 mL/min 인 환자에서 이 약의 안전성 및 유효성이 공식적으로 연구된 바 없습니다.</w:t>
              <w:br/>
              <w:t>*   AST &gt; 2.5 × ULN, ALT &gt; 2.5 × ULN 또는 총 빌리루빈 &gt; 1.5 × ULN 인 환자에서 이 약의 안전성 및 유효성이 공식적으로 연구된 바 없고 이러한 환자들은 MMAE에 대한 노출이 증가할 가능성이 있습니다.</w:t>
              <w:br/>
              <w:br/>
              <w:t>8.  **임부 및 수유부:**</w:t>
              <w:br/>
              <w:br/>
              <w:t>*   동물 시험과 이 약물의 작용 기전에 기초할 때 이 약은 태아에게 유해한 영향을 미칠 수 있습니다. 동물 시험에서 MMAE는 유전독성 및 배태아 독성을 야기하였습니다. 따라서 임부에게 투여는 권장되지 않습니다.</w:t>
              <w:br/>
              <w:t>*   이 약이 사람 모유로 배출되는지 여부는 알려져 있지 않습니다. 이 약이 모유 생성 또는 모유 내 존재에 미치는 영향을 평가한 연구는 수행된 바 없습니다. 많은 약물이 모유로 배출되고 이 약으로 인해 수유아에게 중대한 이상반응이 발생할 수 있는 위험성이 있기 때문에 여성은 이 약 투여 중과 마지막 투여 후 적어도 3개월 동안 수유를 중단해야 합니다.</w:t>
              <w:br/>
              <w:br/>
              <w:t>9.  **수태능:**</w:t>
              <w:br/>
              <w:br/>
              <w:t>*   동물 시험에 기초하여 이 약은 남성 생식 기능과 수태능을 저해할 수 있습니다.</w:t>
              <w:br/>
              <w:br/>
              <w:t>10. **피임:**</w:t>
              <w:br/>
              <w:br/>
              <w:t>*   가임 여성은 이 약 투여 중과 마지막 투여 후 9개월 이상 동안 효과적인 피임법을 사용하도록 권고하여야 합니다.</w:t>
              <w:br/>
              <w:t>*   가임 여성 파트너를 둔 남성 환자는 이 약 투여 중과 마지막 투여 후 6개월 이상 효과적인 피임법을 사용하도록 권고하여야 합니다.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36" w:lineRule="auto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rtl w:val="0"/>
              </w:rPr>
              <w:t xml:space="preserve">11. 기타 장점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Nanum Gothic" w:cs="Nanum Gothic" w:eastAsia="Nanum Gothic" w:hAnsi="Nanum Gothic"/>
                <w:color w:val="000000"/>
              </w:rPr>
            </w:pPr>
            <w:r>
              <w:t>제공된 자료에 해당 정보 없음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52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752"/>
        <w:tblGridChange w:id="0">
          <w:tblGrid>
            <w:gridCol w:w="9752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-20" w:firstLine="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&lt;신약 요약자료 작성방법&gt; *근거자료 첨부할 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2. 약물의 유효성: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SCI급 저널에 등재된 논문 결과를 우선적으로 기재하며, 없는 경우 non-SCI급 논문 결과를 기재.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논문명, 게재년도, 권호수, 페이지 명시 요함.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3. 약물의 안전성: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 SCI급 저널에 등재된 논문 결과를 우선적으로 기재하며, 없는 경우 non-SCI급 논문 결과를 기재.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논문명, 게재년도, 권호수, 페이지 명시 요함.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5. 국내임상시험 결과: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 국내 의료기관에서 실시한 임상시험에 대해, 제목, 참여기관, 결과를 명시.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6. FDA 승인 여부: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본 제품으로 승인, 성분으로 승인(타회사 제품이 승인된 경우), 미승인을 구분하여 표기.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180" w:right="-300" w:hanging="200"/>
              <w:jc w:val="left"/>
              <w:rPr>
                <w:rFonts w:ascii="Nanum Gothic" w:cs="Nanum Gothic" w:eastAsia="Nanum Gothic" w:hAnsi="Nanum Gothic"/>
                <w:color w:val="00000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7. 타병원 사용 현황: </w:t>
            </w:r>
            <w:r w:rsidDel="00000000" w:rsidR="00000000" w:rsidRPr="00000000">
              <w:rPr>
                <w:rFonts w:ascii="Nanum Gothic" w:cs="Nanum Gothic" w:eastAsia="Nanum Gothic" w:hAnsi="Nanum Gothic"/>
                <w:color w:val="000000"/>
                <w:sz w:val="16"/>
                <w:szCs w:val="16"/>
                <w:rtl w:val="0"/>
              </w:rPr>
              <w:t xml:space="preserve">본 제품을 사용중인 타 병원명을 기재하되, 상급종합병원을 우선적으로 기재.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righ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신청일 : 2026   .   .   .</w:t>
      </w:r>
    </w:p>
    <w:p w:rsidR="00000000" w:rsidDel="00000000" w:rsidP="00000000" w:rsidRDefault="00000000" w:rsidRPr="00000000" w14:paraId="0000002A">
      <w:pPr>
        <w:spacing w:line="276" w:lineRule="auto"/>
        <w:ind w:right="800"/>
        <w:jc w:val="center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rtl w:val="0"/>
        </w:rPr>
        <w:t xml:space="preserve">                                                  신청과/신청의사 :          과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" w:customStyle="1">
    <w:name w:val="normal"/>
    <w:rsid w:val="00016C48"/>
    <w:pPr>
      <w:spacing w:after="0" w:line="240" w:lineRule="auto"/>
      <w:jc w:val="left"/>
    </w:pPr>
    <w:rPr>
      <w:rFonts w:ascii="Times New Roman" w:cs="Times New Roman" w:eastAsia="맑은 고딕" w:hAnsi="Times New Roman"/>
      <w:kern w:val="0"/>
      <w:szCs w:val="2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SMlLAuyEfhrQ/o5DMSuh4T7bQ==">CgMxLjA4AHIhMVExX054NmJEWERRRUlzUWxuVTVqcm90dURLTjVra2Fx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2026-01-21T23:39:00Z</dcterms:created>
  <dc:creator>Windows 사용자</dc:creator>
</cp:coreProperties>
</file>