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anumGothic-bold.ttf" ContentType="application/x-font-ttf"/>
  <Override PartName="/word/fonts/NanumGothic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" w:lineRule="auto"/>
        <w:ind w:left="0" w:right="0" w:firstLine="0"/>
        <w:jc w:val="left"/>
        <w:rPr>
          <w:rFonts w:ascii="Nanum Gothic" w:cs="Nanum Gothic" w:eastAsia="Nanum Gothic" w:hAnsi="Nanum Gothic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별첨1.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신약 신청서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84" w:lineRule="auto"/>
        <w:jc w:val="left"/>
        <w:rPr>
          <w:rFonts w:ascii="Nanum Gothic" w:cs="Nanum Gothic" w:eastAsia="Nanum Gothic" w:hAnsi="Nanum Gothic"/>
          <w:color w:val="000000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신청과: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u w:val="single"/>
          <w:rtl w:val="0"/>
        </w:rPr>
        <w:t xml:space="preserve">   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u w:val="single"/>
          <w:rtl w:val="0"/>
        </w:rPr>
        <w:t xml:space="preserve">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u w:val="single"/>
          <w:rtl w:val="0"/>
        </w:rPr>
        <w:t xml:space="preserve">     </w:t>
      </w:r>
      <w:r w:rsidDel="00000000" w:rsidR="00000000" w:rsidRPr="00000000">
        <w:rPr>
          <w:rFonts w:ascii="Nanum Gothic" w:cs="Nanum Gothic" w:eastAsia="Nanum Gothic" w:hAnsi="Nanum Gothic"/>
          <w:b w:val="1"/>
          <w:bCs w:val="1"/>
          <w:color w:val="000000"/>
          <w:rtl w:val="0"/>
        </w:rPr>
        <w:t xml:space="preserve">수신: 약사심의위원장 </w:t>
      </w:r>
      <w:r w:rsidDel="00000000" w:rsidR="00000000" w:rsidRPr="00000000">
        <w:rPr>
          <w:rtl w:val="0"/>
        </w:rPr>
      </w:r>
    </w:p>
    <w:tbl>
      <w:tblPr>
        <w:tblStyle w:val="Table1"/>
        <w:tblW w:w="96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400"/>
      </w:tblPr>
      <w:tblGrid>
        <w:gridCol w:w="1301"/>
        <w:gridCol w:w="667"/>
        <w:gridCol w:w="3162"/>
        <w:gridCol w:w="4542"/>
        <w:tblGridChange w:id="0">
          <w:tblGrid>
            <w:gridCol w:w="1301"/>
            <w:gridCol w:w="667"/>
            <w:gridCol w:w="3162"/>
            <w:gridCol w:w="4542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상품명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상품명 (한글): 폴라이비주 (폴라투주맙 베도틴)</w:t>
              <w:br/>
              <w:t>상품명 (영문): Polivy (Polatuzumab vedotin)</w:t>
              <w:br/>
              <w:t>일반명: 폴라투주맙 베도틴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일반명: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제공된 POLIVY® DC 관련 자료에서 상품명 및 화학명에 대한 정보는 다음과 같습니다.</w:t>
              <w:br/>
              <w:br/>
              <w:t>*   **상품명:** POLIVY®</w:t>
              <w:br/>
              <w:t>*   **화학명:** 제공된 자료에 해당 정보 없음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화학명: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rFonts w:ascii="Malgun Gothic" w:cs="Malgun Gothic" w:eastAsia="Malgun Gothic" w:hAnsi="Malgun Gothic"/>
              </w:rPr>
            </w:pPr>
            <w:r>
              <w:t>제공된 자료에 의하면, 의약품 분류번호 및 분류명에 대한 정보는 "별첨"으로 기재되어 있습니다. 따라서 정확한 분류번호 및 분류명은 별첨 자료를 확인해야 합니다.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의약품 분류번호,분류명: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## 폴라이비주(폴라투주맙베도틴) 허가사항 요약</w:t>
              <w:br/>
              <w:br/>
              <w:t>**1. 효능·효과**</w:t>
              <w:br/>
              <w:br/>
              <w:t>*   이전에 치료받은 적이 없는 미만성 거대 B 세포 림프종(DLBCL) 성인 환자에서 리툭시맙, 시클로포스파미드, 독소루비신 및 프레드니손/프레드니솔론(R-CHP)과 병용투여</w:t>
              <w:br/>
              <w:t>*   조혈모세포이식이 적합하지 않고 한 가지 이상의 이전 치료에 실패한 재발성 또는 불응성 미만성 거대 B 세포 림프종(DLBCL) 성인 환자에서 벤다무스틴 및 리툭시맙과의 병용요법</w:t>
              <w:br/>
              <w:br/>
              <w:t>**2. 용법·용량**</w:t>
              <w:br/>
              <w:br/>
              <w:t>*   **이전에 치료받은 적이 없는 환자:**</w:t>
              <w:br/>
              <w:t xml:space="preserve">    *   이 약은 1.8mg/kg의 용량을 6 주기 동안 리툭시맙, 시클로포스파미드, 독소루비신 및 프레드니손/프레드니솔론(R-CHP)과 병용하여 21일 간격으로 정맥 내 투여한다.</w:t>
              <w:br/>
              <w:t xml:space="preserve">    *   이 약과 리툭시맙, 시클로포스파미드 및 독소루비신은 제 1 일에 프레드니손/프레드니솔론 투여 후 순서와 무관하게 투여할 수 있다.</w:t>
              <w:br/>
              <w:t xml:space="preserve">    *   프레드니손/프레드니솔론은 각 주기의 제 1-5 일에 투여한다.</w:t>
              <w:br/>
              <w:t xml:space="preserve">    *   7 주기 및 8 주기는 리툭시맙 단독요법으로 구성된다.</w:t>
              <w:br/>
              <w:t>*   **재발성 또는 불응성 환자:**</w:t>
              <w:br/>
              <w:t xml:space="preserve">    *   이 약은 1.8 mg/kg의 용량을 6 주기 동안 벤다무스틴 및 리툭시맙과 병용하여 21일 간격으로 정맥 내 투여한다.</w:t>
              <w:br/>
              <w:t xml:space="preserve">    *   이 약과 벤다무스틴 및 리툭시맙은 각 주기의 제 1 일에 순서와 무관하게 투여할 수 있다.</w:t>
              <w:br/>
              <w:t xml:space="preserve">    *   이 약을 리툭시맙과 함께 투여 할 때 벤다무스틴의 권장 용량은 제 1 일 및 제 2 일에 90mg/m2/day 이다.</w:t>
              <w:br/>
              <w:t>*   **이전에 치료받은 적이 없거나 재발성 또는 불응성 환자 공통:**</w:t>
              <w:br/>
              <w:t xml:space="preserve">    *   전투여가 이루어지지 않았다면 이 약 투여 전에 항히스타민제 및 해열제를 전투여한다.</w:t>
              <w:br/>
              <w:t xml:space="preserve">    *   이 약의 최초 용량은 90 분 동안 정맥 내 투여해야 한다.</w:t>
              <w:br/>
              <w:t xml:space="preserve">    *   최초 용량 투여 도중 및 최초 용량 투여 완료 후 적어도 90 분 이상 동안 주입 관련 반응에 대해 환자 모니터링을 실시한다.</w:t>
              <w:br/>
              <w:br/>
              <w:t>**3. 허가 조건**</w:t>
              <w:br/>
              <w:br/>
              <w:t>*   유효기한: 2030년 10월 26일</w:t>
              <w:br/>
              <w:t>*   저장방법 및 사용(유효)기간: 밀봉용기, 직사광선을 피해 2-8℃에서 보관, 제조일로부터 30개월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허가사항(적응증 및 용량,기간)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>
              <w:rPr>
                <w:rFonts w:ascii="Nanum Gothic" w:hAnsi="Nanum Gothic"/>
                <w:b/>
                <w:color w:val="000000"/>
                <w:sz w:val="18"/>
              </w:rPr>
              <w:t>## 폴라이비주(폴라투주맙베도틴) 허가사항 요약</w:t>
              <w:br/>
              <w:br/>
              <w:t>**1. 효능·효과**</w:t>
              <w:br/>
              <w:br/>
              <w:t>*   이전에 치료받은 적이 없는 미만성 거대 B 세포 림프종(DLBCL) 성인 환자에서 리툭시맙, 시클로포스파미드, 독소루비신 및 프레드니손/프레드니솔론(R-CHP)과 병용투여</w:t>
              <w:br/>
              <w:t>*   조혈모세포이식이 적합하지 않고 한 가지 이상의 이전 치료에 실패한 재발성 또는 불응성 미만성 거대 B 세포 림프종(DLBCL) 성인 환자에서 벤다무스틴 및 리툭시맙과의 병용요법</w:t>
              <w:br/>
              <w:br/>
              <w:t>**2. 용법·용량**</w:t>
              <w:br/>
              <w:br/>
              <w:t>*   **이전에 치료받은 적이 없는 환자:**</w:t>
              <w:br/>
              <w:t xml:space="preserve">    *   이 약은 1.8mg/kg의 용량을 6 주기 동안 리툭시맙, 시클로포스파미드, 독소루비신 및 프레드니손/프레드니솔론(R-CHP)과 병용하여 21일 간격으로 정맥 내 투여한다.</w:t>
              <w:br/>
              <w:t xml:space="preserve">    *   이 약과 리툭시맙, 시클로포스파미드 및 독소루비신은 제 1 일에 프레드니손/프레드니솔론 투여 후 순서와 무관하게 투여할 수 있다.</w:t>
              <w:br/>
              <w:t xml:space="preserve">    *   프레드니손/프레드니솔론은 각 주기의 제 1-5 일에 투여한다.</w:t>
              <w:br/>
              <w:t xml:space="preserve">    *   7 주기 및 8 주기는 리툭시맙 단독요법으로 구성된다.</w:t>
              <w:br/>
              <w:t>*   **재발성 또는 불응성 환자:**</w:t>
              <w:br/>
              <w:t xml:space="preserve">    *   이 약은 1.8 mg/kg의 용량을 6 주기 동안 벤다무스틴 및 리툭시맙과 병용하여 21일 간격으로 정맥 내 투여한다.</w:t>
              <w:br/>
              <w:t xml:space="preserve">    *   이 약과 벤다무스틴 및 리툭시맙은 각 주기의 제 1 일에 순서와 무관하게 투여할 수 있다.</w:t>
              <w:br/>
              <w:t xml:space="preserve">    *   이 약을 리툭시맙과 함께 투여 할 때 벤다무스틴의 권장 용량은 제 1 일 및 제 2 일에 90mg/m2/day 이다.</w:t>
              <w:br/>
              <w:t>*   **이전에 치료받은 적이 없거나 재발성 또는 불응성 환자 공통:**</w:t>
              <w:br/>
              <w:t xml:space="preserve">    *   전투여가 이루어지지 않았다면 이 약 투여 전에 항히스타민제 및 해열제를 전투여한다.</w:t>
              <w:br/>
              <w:t xml:space="preserve">    *   이 약의 최초 용량은 90 분 동안 정맥 내 투여해야 한다.</w:t>
              <w:br/>
              <w:t xml:space="preserve">    *   최초 용량 투여 도중 및 최초 용량 투여 완료 후 적어도 90 분 이상 동안 주입 관련 반응에 대해 환자 모니터링을 실시한다.</w:t>
              <w:br/>
              <w:br/>
              <w:t>**3. 허가 조건**</w:t>
              <w:br/>
              <w:br/>
              <w:t>*   유효기한: 2030년 10월 26일</w:t>
              <w:br/>
              <w:t>*   저장방법 및 사용(유효)기간: 밀봉용기, 직사광선을 피해 2-8℃에서 보관, 제조일로부터 30개월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ind w:firstLine="592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완제수입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□보험등재(KD CODE: )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보험약가(비급여 약가):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등재 약전명: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미국FDA 승인여부:승인완료(2019)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국내 사용병원: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 사용중인 유사약제:</w:t>
            </w: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 유사약품과의 비교자료 첨부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8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1. 신청사유: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2. 원내 사용중인 유사 약제와 비교 시 특장점 기록(관련근거 첨부)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1)효능: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2)안전성: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3)비용: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4)기타: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 사용 약제 중 삭제 가능 품목: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월 예상 사용량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원내:                              원외: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신청과: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신청인: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 분과장: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 과장: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u w:val="single"/>
                <w:rtl w:val="0"/>
              </w:rPr>
              <w:t xml:space="preserve">            </w:t>
            </w: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(인)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312" w:lineRule="auto"/>
              <w:rPr>
                <w:rFonts w:ascii="Nanum Gothic" w:cs="Nanum Gothic" w:eastAsia="Nanum Gothic" w:hAnsi="Nanum Gothic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Nanum Gothic" w:cs="Nanum Gothic" w:eastAsia="Nanum Gothic" w:hAnsi="Nanum Gothic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약제부 접수일: 20  년   월  일 접수자: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Nanum Gothic" w:cs="Nanum Gothic" w:eastAsia="Nanum Gothic" w:hAnsi="Nanum Gothic"/>
          <w:color w:val="000000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sz w:val="16"/>
          <w:szCs w:val="16"/>
          <w:rtl w:val="0"/>
        </w:rPr>
        <w:t xml:space="preserve">* 신청인 및 분과장, 과장 기록란은 반드시 자필로 서명 날인 (도장은 안됨)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84" w:lineRule="auto"/>
        <w:rPr>
          <w:rFonts w:ascii="Nanum Gothic" w:cs="Nanum Gothic" w:eastAsia="Nanum Gothic" w:hAnsi="Nanum Gothic"/>
          <w:color w:val="000000"/>
          <w:sz w:val="18"/>
          <w:szCs w:val="18"/>
        </w:rPr>
      </w:pPr>
      <w:r w:rsidDel="00000000" w:rsidR="00000000" w:rsidRPr="00000000">
        <w:rPr>
          <w:rFonts w:ascii="Nanum Gothic" w:cs="Nanum Gothic" w:eastAsia="Nanum Gothic" w:hAnsi="Nanum Gothic"/>
          <w:color w:val="000000"/>
          <w:sz w:val="16"/>
          <w:szCs w:val="16"/>
          <w:rtl w:val="0"/>
        </w:rPr>
        <w:t xml:space="preserve">* 신약신청은‘임상진료조교수(대우) 이상’만 가능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rFonts w:ascii="Nanum Gothic" w:cs="Nanum Gothic" w:eastAsia="Nanum Gothic" w:hAnsi="Nanum Gothic"/>
          <w:b w:val="1"/>
          <w:bCs w:val="1"/>
          <w:sz w:val="28"/>
          <w:szCs w:val="28"/>
        </w:rPr>
      </w:pPr>
      <w:r w:rsidDel="00000000" w:rsidR="00000000" w:rsidRPr="00000000">
        <w:rPr>
          <w:rFonts w:ascii="Nanum Gothic" w:cs="Nanum Gothic" w:eastAsia="Nanum Gothic" w:hAnsi="Nanum Gothic"/>
          <w:b w:val="1"/>
          <w:bCs w:val="1"/>
          <w:sz w:val="28"/>
          <w:szCs w:val="28"/>
          <w:rtl w:val="0"/>
        </w:rPr>
        <w:t xml:space="preserve">가 톨 릭 대 학 교 은 평 성 모 병 원</w:t>
      </w:r>
    </w:p>
    <w:sectPr>
      <w:pgSz w:h="16838" w:w="11906" w:orient="portrait"/>
      <w:pgMar w:bottom="1440" w:top="1440" w:left="1080" w:right="108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Malgun Gothic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basedOn w:val="a"/>
    <w:rsid w:val="005A3BDD"/>
    <w:pPr>
      <w:widowControl w:val="1"/>
      <w:wordWrap w:val="1"/>
      <w:autoSpaceDE w:val="1"/>
      <w:autoSpaceDN w:val="1"/>
      <w:snapToGrid w:val="0"/>
      <w:spacing w:line="312" w:lineRule="auto"/>
    </w:pPr>
    <w:rPr>
      <w:rFonts w:ascii="명조" w:cs="굴림" w:eastAsia="명조" w:hAnsi="명조"/>
      <w:color w:val="000000"/>
      <w:kern w:val="0"/>
      <w:szCs w:val="20"/>
    </w:rPr>
  </w:style>
  <w:style w:type="paragraph" w:styleId="a4">
    <w:name w:val="List Paragraph"/>
    <w:basedOn w:val="a"/>
    <w:uiPriority w:val="34"/>
    <w:qFormat w:val="1"/>
    <w:rsid w:val="005A3BDD"/>
    <w:pPr>
      <w:ind w:left="800" w:leftChars="400"/>
    </w:pPr>
  </w:style>
  <w:style w:type="paragraph" w:styleId="a5">
    <w:name w:val="header"/>
    <w:basedOn w:val="a"/>
    <w:link w:val="Char"/>
    <w:uiPriority w:val="99"/>
    <w:unhideWhenUsed w:val="1"/>
    <w:rsid w:val="006444E5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6444E5"/>
    <w:rPr>
      <w:rFonts w:ascii="바탕" w:cs="Times New Roman" w:eastAsia="바탕" w:hAnsi="Times New Roman"/>
      <w:szCs w:val="24"/>
    </w:rPr>
  </w:style>
  <w:style w:type="paragraph" w:styleId="a6">
    <w:name w:val="footer"/>
    <w:basedOn w:val="a"/>
    <w:link w:val="Char0"/>
    <w:uiPriority w:val="99"/>
    <w:unhideWhenUsed w:val="1"/>
    <w:rsid w:val="006444E5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6444E5"/>
    <w:rPr>
      <w:rFonts w:ascii="바탕" w:cs="Times New Roman" w:eastAsia="바탕" w:hAnsi="Times New Roman"/>
      <w:szCs w:val="24"/>
    </w:rPr>
  </w:style>
  <w:style w:type="character" w:styleId="citation-154" w:customStyle="1">
    <w:name w:val="citation-154"/>
    <w:basedOn w:val="a0"/>
    <w:rsid w:val="00457A1E"/>
  </w:style>
  <w:style w:type="character" w:styleId="citation-153" w:customStyle="1">
    <w:name w:val="citation-153"/>
    <w:basedOn w:val="a0"/>
    <w:rsid w:val="00457A1E"/>
  </w:style>
  <w:style w:type="character" w:styleId="citation-152" w:customStyle="1">
    <w:name w:val="citation-152"/>
    <w:basedOn w:val="a0"/>
    <w:rsid w:val="00457A1E"/>
  </w:style>
  <w:style w:type="character" w:styleId="citation-151" w:customStyle="1">
    <w:name w:val="citation-151"/>
    <w:basedOn w:val="a0"/>
    <w:rsid w:val="00457A1E"/>
  </w:style>
  <w:style w:type="character" w:styleId="citation-150" w:customStyle="1">
    <w:name w:val="citation-150"/>
    <w:basedOn w:val="a0"/>
    <w:rsid w:val="00457A1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A/9X3s2GLyZRPV0px/XXqYY4qA==">CgMxLjA4AHIhMWlsMVA4VEpCT3BSeTI4V2JuMUNNVkV1dDZMWHBHcmFm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2026-01-21T23:29:00Z</dcterms:created>
  <dc:creator>Windows 사용자</dc:creator>
</cp:coreProperties>
</file>