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anumGothic-bold.ttf" ContentType="application/x-font-ttf"/>
  <Override PartName="/word/fonts/NanumGothic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별첨1.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신약 신청서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84" w:lineRule="auto"/>
        <w:jc w:val="left"/>
        <w:rPr>
          <w:rFonts w:ascii="Nanum Gothic" w:cs="Nanum Gothic" w:eastAsia="Nanum Gothic" w:hAnsi="Nanum Gothic"/>
          <w:color w:val="000000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rtl w:val="0"/>
        </w:rPr>
        <w:t xml:space="preserve">신청과: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u w:val="single"/>
          <w:rtl w:val="0"/>
        </w:rPr>
        <w:t xml:space="preserve">       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    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u w:val="single"/>
          <w:rtl w:val="0"/>
        </w:rPr>
        <w:t xml:space="preserve">    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rtl w:val="0"/>
        </w:rPr>
        <w:t xml:space="preserve">수신: 약사심의위원장 </w:t>
      </w:r>
      <w:r w:rsidDel="00000000" w:rsidR="00000000" w:rsidRPr="00000000">
        <w:rPr>
          <w:rtl w:val="0"/>
        </w:rPr>
      </w:r>
    </w:p>
    <w:tbl>
      <w:tblPr>
        <w:tblStyle w:val="Table1"/>
        <w:tblW w:w="96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301"/>
        <w:gridCol w:w="667"/>
        <w:gridCol w:w="3162"/>
        <w:gridCol w:w="4542"/>
        <w:tblGridChange w:id="0">
          <w:tblGrid>
            <w:gridCol w:w="1301"/>
            <w:gridCol w:w="667"/>
            <w:gridCol w:w="3162"/>
            <w:gridCol w:w="4542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상품명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>
              <w:rPr>
                <w:rFonts w:ascii="Nanum Gothic" w:hAnsi="Nanum Gothic"/>
                <w:b/>
                <w:color w:val="000000"/>
                <w:sz w:val="18"/>
              </w:rPr>
              <w:t>한글: 폴라이비주(폴라투주맙 베도틴)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>
              <w:rPr>
                <w:rFonts w:ascii="Nanum Gothic" w:hAnsi="Nanum Gothic"/>
                <w:b/>
                <w:color w:val="000000"/>
                <w:sz w:val="18"/>
              </w:rPr>
              <w:t>일반명: 폴라투주맙 베도틴 (Polatuzumab vedotin)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>
              <w:rPr>
                <w:rFonts w:ascii="Nanum Gothic" w:hAnsi="Nanum Gothic"/>
                <w:b/>
                <w:color w:val="000000"/>
                <w:sz w:val="18"/>
              </w:rPr>
              <w:t>영문: Polivy (Polatuzumab vedotin)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>
              <w:rPr>
                <w:rFonts w:ascii="Nanum Gothic" w:hAnsi="Nanum Gothic"/>
                <w:b/>
                <w:color w:val="000000"/>
                <w:sz w:val="18"/>
              </w:rPr>
              <w:t>화학명: 해당 정보 없음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Malgun Gothic" w:cs="Malgun Gothic" w:eastAsia="Malgun Gothic" w:hAnsi="Malgun Gothic"/>
              </w:rPr>
            </w:pPr>
            <w:r>
              <w:t>Polivy는 농축액을 위한 주사용 분말 제형이며, 다음과 같은 두 가지 함량이 있습니다.</w:t>
              <w:br/>
              <w:br/>
              <w:t>1. Polivy 140 mg:</w:t>
              <w:br/>
              <w:t>- 각 바이알은 polatuzumab vedotin 140 mg을 함유합니다.</w:t>
              <w:br/>
              <w:t>- 재구성 후 각 mL는 polatuzumab vedotin 20 mg을 함유합니다.</w:t>
              <w:br/>
              <w:t>- 첨가제: succinic acid, sodium hydroxide, sucrose, polysorbate 20</w:t>
              <w:br/>
              <w:br/>
              <w:t>2. Polivy 30 mg:</w:t>
              <w:br/>
              <w:t>- 각 바이알은 polatuzumab vedotin 30 mg을 함유합니다.</w:t>
              <w:br/>
              <w:t>- 재구성 후 각 mL는 polatuzumab vedotin 20 mg을 함유합니다.</w:t>
              <w:br/>
              <w:t>- 첨가제: succinic acid, sodium hydroxide, sucrose, polysorbate 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>
              <w:rPr>
                <w:rFonts w:ascii="Nanum Gothic" w:hAnsi="Nanum Gothic"/>
                <w:b/>
                <w:color w:val="000000"/>
                <w:sz w:val="18"/>
              </w:rPr>
              <w:t>의약품 분류번호,분류명: 421(항악성종양제)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>
              <w:rPr>
                <w:rFonts w:ascii="Nanum Gothic" w:hAnsi="Nanum Gothic"/>
                <w:b/>
                <w:color w:val="000000"/>
                <w:sz w:val="18"/>
              </w:rPr>
              <w:t>판매회사: (주)한국로슈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>
              <w:rPr>
                <w:rFonts w:ascii="Nanum Gothic" w:hAnsi="Nanum Gothic"/>
                <w:b/>
                <w:color w:val="000000"/>
                <w:sz w:val="18"/>
              </w:rPr>
              <w:t>허가사항(적응증 및 용량,기간)</w:t>
              <w:br/>
              <w:t>효능·효과:</w:t>
              <w:br/>
              <w:t>• 이전에 치료받은 적이 없는 미만성 거대 B 세포 림프종(DLBCL) 성인 환자에서 리툭시맙, 시클로포스파미드, 독소루비신 및 프레드니손/프레드니솔론(R-CHP)과 병용투여</w:t>
              <w:br/>
              <w:t>• 조혈모세포이식이 적합하지 않고 한 가지 이상의 이전 치료에 실패한 재발성 또는 불응성 미만성 거대 B 세포 림프종(DLBCL) 성인 환자에서 벤다무스틴 및 리툭시맙과의 병용요법</w:t>
              <w:br/>
              <w:br/>
              <w:t>용법·용량:</w:t>
              <w:br/>
              <w:t>미만성 거대 B 세포 림프종</w:t>
              <w:br/>
              <w:t>• 이전에 치료받은 적이 없는 환자: 이 약은 1.8mg/kg의 용량을 6 주기 동안 리툭시맙, 시클로포스파미드, 독소루비신 및 프레드니손/프레드니솔론(R-CHP)과 병용하여 21일 간격으로 정맥 내 투여한다. 이 약과 리툭시맙, 시클로포스파미드 및 독소루비신은 제 1 일에 프레드니손/프레드니솔론 투여 후 순서와 무관하게 투여할 수 있다. 프레드니손/프레드니솔론은 각 주기의 제 1-5 일에 투여한다. 7 주기 및 8 주기는 리툭시맙 단독요법으로 구성된다.</w:t>
              <w:br/>
              <w:t>• 재발성 또는 불응성 환자: 이 약은 1.8 mg/kg 의 용량을 6 주기 동안 벤다무스틴 및 리툭시맙과 병용하여 21 일 간격으로 정맥 내 투여한다. 이 약과 벤다무스틴 및 리툭시맙은 각 주기의 제 1 일에 순서와 무관하게 투여할 수 있다. 이 약을 리툭시맙과 함께 투여 할 때 벤다무스틴의 권장 용량은 제 1 일 및 제 2 일에 90mg/m2/day 이다.</w:t>
              <w:br/>
              <w:t>• 이전에 치료받은 적이 없거나 재발성 또는 불응성 환자: 전투여가 이루어지지 않았다면 이 약 투여 전에 항히스타민제 및 해열제를 전투여한다. 이 약의 최초 용량은 90 분 동안 정맥 내 투여해야 한다.</w:t>
            </w:r>
          </w:p>
          <w:p w:rsidR="00000000" w:rsidDel="00000000" w:rsidP="00000000" w:rsidRDefault="00000000" w:rsidRPr="00000000" w14:paraId="00000013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>
              <w:rPr>
                <w:rFonts w:ascii="Nanum Gothic" w:hAnsi="Nanum Gothic"/>
                <w:b/>
                <w:color w:val="000000"/>
                <w:sz w:val="18"/>
              </w:rPr>
              <w:t>제조회사: 생물학적 활성 물질 제조사: Lonza Ltd., 스위스</w:t>
              <w:br/>
              <w:t>배치 방출 책임 제조사: Roche Pharma AG, 독일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ind w:firstLine="592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완제수입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>
              <w:rPr>
                <w:rFonts w:ascii="Nanum Gothic" w:hAnsi="Nanum Gothic"/>
                <w:b/>
                <w:color w:val="000000"/>
                <w:sz w:val="18"/>
              </w:rPr>
              <w:t>□보험등재(KD CODE: ) 보험코드 없음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>
              <w:rPr>
                <w:rFonts w:ascii="Nanum Gothic" w:hAnsi="Nanum Gothic"/>
                <w:b/>
                <w:color w:val="000000"/>
                <w:sz w:val="18"/>
              </w:rPr>
              <w:t>보험약가(비급여 약가): 해당 정보 없음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등재 약전명: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미국FDA 승인여부:승인완료(2019)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>
              <w:rPr>
                <w:rFonts w:ascii="Nanum Gothic" w:hAnsi="Nanum Gothic"/>
                <w:b/>
                <w:color w:val="000000"/>
                <w:sz w:val="18"/>
              </w:rPr>
              <w:t>국내 사용병원: 부산대학교병원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원내 사용중인 유사약제: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 유사약품과의 비교자료 첨부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8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>
              <w:t>1. 신청사유: 미만성 거대 B세포 림프종(DLBCL)은 전 세계적으로 가장 흔한 형태의 공격적인 비호지킨 림프종(NHL)이며, 아시아에서는 중국에서 40.8%, 일본에서 36.0%, 한국에서 48.4%를 차지합니다. DLBCL 1차 치료의 현재 표준 치료법(SoC)은 항-CD20 단클론 항체인 리툭시맙(R)과 CHOP 요법(시클로포스파미드, 독소루비신, 빈크리스틴, 프레드니손)의 병용입니다. R-CHOP은 임상 반응을 유도하는 효과적인 치료법이지만, 환자의 30~40%는 이후 재발하거나 치료에 불응합니다. 최근까지 DLBCL에서 R-CHOP 요법의 효능을 개선하려는 시도는 의미 있는 결과를 제공하지 못했으며 R-CHOP은 SoC로 남아 있었습니다.</w:t>
              <w:br/>
              <w:br/>
              <w:t>자가 조혈모세포 이식(ASCT)을 받을 수 있는 재발성/불응성(R/R) 질환 환자의 예후는 좋지 않으며, ASCT를 받을 수 없는 R/R DLBCL 환자(고령, 동반 질환, 구제 화학 요법에 대한 부적절한 반응)와 ASCT 후 재발한 환자의 전체 생존 기간(OS) 중앙값은 약 6개월입니다. 현재 이러한 상황에 대한 표준 치료법은 없으며, 치료 옵션으로는 젬시타빈 및/또는 백금 기반 요법, 벤다무스틴 및 리툭시맙(BR)이 있습니다. 최근 CD19-directed 키메라 항원 수용체(CAR) T-세포 요법이 미국과 유럽에서 3차 치료 이상으로 승인되었습니다. CAR T-세포 요법은 유망해 보이지만, 효과적인 브릿징 요법의 부족, 치료 독성, 높은 비용과 전문 센터의 필요성으로 인해 일반적인 사용이 제한됩니다. 따라서 이식 부적격 R/R DLBCL 환자, 특히 ASCT 치료 실패를 경험한 환자에게는 상당한 미충족 의료 수요가 남아 있습니다. Polatuzumab vedotin은 monomethyl auristatin E를 전달하는 CD79b 표적 항체-약물 접합체입니다.</w:t>
              <w:br/>
              <w:br/>
              <w:t>2. 원내 사용중인 유사 약제와 비교 시 특장점 기록</w:t>
              <w:br/>
              <w:t>1)효능: 제공된 자료에서 맙테라주(리툭시맙)와 폴라이비 주(폴라투주맙 베도틴)의 효능·효과를 비교하면 다음과 같습니다.</w:t>
              <w:br/>
              <w:br/>
              <w:t>*   **맙테라주:**</w:t>
              <w:br/>
              <w:t xml:space="preserve">    *   재발성 또는 화학요법 내성인 여포형 림프종 (B세포 비호지킨 림프종 IWF분류중 B, C, D형)</w:t>
              <w:br/>
              <w:t xml:space="preserve">    *   이전에 치료받은 적이 없는 여포형 림프종에서 화학요법과 병용투여</w:t>
              <w:br/>
              <w:t xml:space="preserve">    *   여포형 림프종에서 유도요법 실시 후 유지요법</w:t>
              <w:br/>
              <w:t xml:space="preserve">    *   CD20 양성의 미만형 대형 B세포 비호지킨 림프종(DLCL)[CHOP 화학요법 (cyclophosphamide, doxorubicin, vincristine, prednisolone 으로 구성, 8주기 투여)과 병용하여 투여해야한다.]</w:t>
              <w:br/>
              <w:t>*   **폴라이비 주:**</w:t>
              <w:br/>
              <w:t xml:space="preserve">    *   이전에 치료받은 적이 없는 미만성 거대 B 세포 림프종(DLBCL) 성인 환자에서 리툭시맙, 시클로포스파미드, 독소루비신 및 프레드니손/프레드니솔론 (R-CHP)과 병용투여</w:t>
              <w:br/>
              <w:t xml:space="preserve">    *   조혈모세포이식이 적합하지 않고 한 가지 이상의 이전 치료에 실패한 재발성 또는 불응성 미만성 거대 B 세포 림프종(DLBCL) 성인 환자에서 벤다무스틴 및 리툭시맙과의 병용요법</w:t>
              <w:br/>
              <w:br/>
              <w:t>두 약제의 효능 비교에 대한 직접적인 장점 비교는 자료에 나타나 있지 않습니다.</w:t>
              <w:br/>
              <w:t>2)안전성: 제공된 자료에서 기존 유사 약제 대비 이 약의 안전성 비교에 대한 직접적인 정보는 찾을 수 없습니다.</w:t>
              <w:br/>
              <w:t>3)비용: 해당 정보 없음</w:t>
              <w:br/>
              <w:t>4)기타: 제공된 문서에서 이 약의 기타 장점에 대한 정보는 찾을 수 없습니다.</w:t>
            </w:r>
          </w:p>
          <w:p w:rsidR="00000000" w:rsidDel="00000000" w:rsidP="00000000" w:rsidRDefault="00000000" w:rsidRPr="00000000" w14:paraId="00000039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</w:p>
          <w:p w:rsidR="00000000" w:rsidDel="00000000" w:rsidP="00000000" w:rsidRDefault="00000000" w:rsidRPr="00000000" w14:paraId="0000003A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</w:p>
          <w:p w:rsidR="00000000" w:rsidDel="00000000" w:rsidP="00000000" w:rsidRDefault="00000000" w:rsidRPr="00000000" w14:paraId="0000003B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</w:p>
          <w:p w:rsidR="00000000" w:rsidDel="00000000" w:rsidP="00000000" w:rsidRDefault="00000000" w:rsidRPr="00000000" w14:paraId="0000003C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</w:p>
          <w:p w:rsidR="00000000" w:rsidDel="00000000" w:rsidP="00000000" w:rsidRDefault="00000000" w:rsidRPr="00000000" w14:paraId="0000003D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</w:p>
          <w:p w:rsidR="00000000" w:rsidDel="00000000" w:rsidP="00000000" w:rsidRDefault="00000000" w:rsidRPr="00000000" w14:paraId="0000003E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</w:p>
        </w:tc>
      </w:tr>
      <w:tr>
        <w:trPr>
          <w:cantSplit w:val="0"/>
          <w:trHeight w:val="369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원내 사용 약제 중 삭제 가능 품목: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월 예상 사용량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원내:                              원외: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신청과: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신청인: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u w:val="single"/>
                <w:rtl w:val="0"/>
              </w:rPr>
              <w:t xml:space="preserve">          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(인)  분과장: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u w:val="single"/>
                <w:rtl w:val="0"/>
              </w:rPr>
              <w:t xml:space="preserve">             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(인)  과장: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u w:val="single"/>
                <w:rtl w:val="0"/>
              </w:rPr>
              <w:t xml:space="preserve">           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(인)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약제부 접수일: 20  년   월  일 접수자: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>
          <w:rFonts w:ascii="Nanum Gothic" w:cs="Nanum Gothic" w:eastAsia="Nanum Gothic" w:hAnsi="Nanum Gothic"/>
          <w:color w:val="000000"/>
          <w:sz w:val="18"/>
          <w:szCs w:val="18"/>
        </w:rPr>
      </w:pPr>
      <w:r w:rsidDel="00000000" w:rsidR="00000000" w:rsidRPr="00000000">
        <w:rPr>
          <w:rFonts w:ascii="Nanum Gothic" w:cs="Nanum Gothic" w:eastAsia="Nanum Gothic" w:hAnsi="Nanum Gothic"/>
          <w:color w:val="000000"/>
          <w:sz w:val="16"/>
          <w:szCs w:val="16"/>
          <w:rtl w:val="0"/>
        </w:rPr>
        <w:t xml:space="preserve">* 신청인 및 분과장, 과장 기록란은 반드시 자필로 서명 날인 (도장은 안됨)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84" w:lineRule="auto"/>
        <w:rPr>
          <w:rFonts w:ascii="Nanum Gothic" w:cs="Nanum Gothic" w:eastAsia="Nanum Gothic" w:hAnsi="Nanum Gothic"/>
          <w:color w:val="000000"/>
          <w:sz w:val="18"/>
          <w:szCs w:val="18"/>
        </w:rPr>
      </w:pPr>
      <w:r w:rsidDel="00000000" w:rsidR="00000000" w:rsidRPr="00000000">
        <w:rPr>
          <w:rFonts w:ascii="Nanum Gothic" w:cs="Nanum Gothic" w:eastAsia="Nanum Gothic" w:hAnsi="Nanum Gothic"/>
          <w:color w:val="000000"/>
          <w:sz w:val="16"/>
          <w:szCs w:val="16"/>
          <w:rtl w:val="0"/>
        </w:rPr>
        <w:t xml:space="preserve">* 신약신청은‘임상진료조교수(대우) 이상’만 가능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rFonts w:ascii="Nanum Gothic" w:cs="Nanum Gothic" w:eastAsia="Nanum Gothic" w:hAnsi="Nanum Gothic"/>
          <w:b w:val="1"/>
          <w:bCs w:val="1"/>
          <w:sz w:val="28"/>
          <w:szCs w:val="28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sz w:val="28"/>
          <w:szCs w:val="28"/>
          <w:rtl w:val="0"/>
        </w:rPr>
        <w:t xml:space="preserve">가 톨 릭 대 학 교 은 평 성 모 병 원</w:t>
      </w:r>
    </w:p>
    <w:sectPr>
      <w:pgSz w:h="16838" w:w="11906" w:orient="portrait"/>
      <w:pgMar w:bottom="1440" w:top="1440" w:left="1080" w:right="108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Malgun Gothic"/>
  <w:font w:name="Nanum Gothic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basedOn w:val="a"/>
    <w:rsid w:val="005A3BDD"/>
    <w:pPr>
      <w:widowControl w:val="1"/>
      <w:wordWrap w:val="1"/>
      <w:autoSpaceDE w:val="1"/>
      <w:autoSpaceDN w:val="1"/>
      <w:snapToGrid w:val="0"/>
      <w:spacing w:line="312" w:lineRule="auto"/>
    </w:pPr>
    <w:rPr>
      <w:rFonts w:ascii="명조" w:cs="굴림" w:eastAsia="명조" w:hAnsi="명조"/>
      <w:color w:val="000000"/>
      <w:kern w:val="0"/>
      <w:szCs w:val="20"/>
    </w:rPr>
  </w:style>
  <w:style w:type="paragraph" w:styleId="a4">
    <w:name w:val="List Paragraph"/>
    <w:basedOn w:val="a"/>
    <w:uiPriority w:val="34"/>
    <w:qFormat w:val="1"/>
    <w:rsid w:val="005A3BDD"/>
    <w:pPr>
      <w:ind w:left="800" w:leftChars="400"/>
    </w:pPr>
  </w:style>
  <w:style w:type="paragraph" w:styleId="a5">
    <w:name w:val="header"/>
    <w:basedOn w:val="a"/>
    <w:link w:val="Char"/>
    <w:uiPriority w:val="99"/>
    <w:unhideWhenUsed w:val="1"/>
    <w:rsid w:val="006444E5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6444E5"/>
    <w:rPr>
      <w:rFonts w:ascii="바탕" w:cs="Times New Roman" w:eastAsia="바탕" w:hAnsi="Times New Roman"/>
      <w:szCs w:val="24"/>
    </w:rPr>
  </w:style>
  <w:style w:type="paragraph" w:styleId="a6">
    <w:name w:val="footer"/>
    <w:basedOn w:val="a"/>
    <w:link w:val="Char0"/>
    <w:uiPriority w:val="99"/>
    <w:unhideWhenUsed w:val="1"/>
    <w:rsid w:val="006444E5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6444E5"/>
    <w:rPr>
      <w:rFonts w:ascii="바탕" w:cs="Times New Roman" w:eastAsia="바탕" w:hAnsi="Times New Roman"/>
      <w:szCs w:val="24"/>
    </w:rPr>
  </w:style>
  <w:style w:type="character" w:styleId="citation-154" w:customStyle="1">
    <w:name w:val="citation-154"/>
    <w:basedOn w:val="a0"/>
    <w:rsid w:val="00457A1E"/>
  </w:style>
  <w:style w:type="character" w:styleId="citation-153" w:customStyle="1">
    <w:name w:val="citation-153"/>
    <w:basedOn w:val="a0"/>
    <w:rsid w:val="00457A1E"/>
  </w:style>
  <w:style w:type="character" w:styleId="citation-152" w:customStyle="1">
    <w:name w:val="citation-152"/>
    <w:basedOn w:val="a0"/>
    <w:rsid w:val="00457A1E"/>
  </w:style>
  <w:style w:type="character" w:styleId="citation-151" w:customStyle="1">
    <w:name w:val="citation-151"/>
    <w:basedOn w:val="a0"/>
    <w:rsid w:val="00457A1E"/>
  </w:style>
  <w:style w:type="character" w:styleId="citation-150" w:customStyle="1">
    <w:name w:val="citation-150"/>
    <w:basedOn w:val="a0"/>
    <w:rsid w:val="00457A1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anumGothic-regular.ttf"/><Relationship Id="rId2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A/9X3s2GLyZRPV0px/XXqYY4qA==">CgMxLjA4AHIhMWlsMVA4VEpCT3BSeTI4V2JuMUNNVkV1dDZMWHBHcmFm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2026-01-21T23:29:00Z</dcterms:created>
  <dc:creator>Windows 사용자</dc:creator>
</cp:coreProperties>
</file>