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4BFDA" w14:textId="77777777" w:rsidR="001C4D18" w:rsidRPr="001C4D18" w:rsidRDefault="001C4D18" w:rsidP="00B149ED">
      <w:pPr>
        <w:spacing w:line="480" w:lineRule="auto"/>
        <w:jc w:val="both"/>
        <w:rPr>
          <w:rFonts w:ascii="Times New Roman" w:eastAsia="Times New Roman" w:hAnsi="Times New Roman" w:cs="Times New Roman"/>
        </w:rPr>
      </w:pPr>
      <w:r w:rsidRPr="001C4D18">
        <w:rPr>
          <w:rFonts w:ascii="Times New Roman" w:eastAsia="Times New Roman" w:hAnsi="Times New Roman" w:cs="Times New Roman"/>
          <w:b/>
          <w:bCs/>
          <w:color w:val="000000"/>
          <w:sz w:val="28"/>
          <w:szCs w:val="28"/>
        </w:rPr>
        <w:t>Potential impact of annual vaccination with reformulated COVID-19 vaccines: lessons from the U.S. COVID-19 Scenario Modeling Hub</w:t>
      </w:r>
    </w:p>
    <w:p w14:paraId="36C0D6F4" w14:textId="77777777" w:rsidR="001C4D18" w:rsidRPr="001C4D18" w:rsidRDefault="001C4D18" w:rsidP="00B149ED">
      <w:pPr>
        <w:spacing w:line="480" w:lineRule="auto"/>
        <w:rPr>
          <w:rFonts w:ascii="Times New Roman" w:eastAsia="Times New Roman" w:hAnsi="Times New Roman" w:cs="Times New Roman"/>
        </w:rPr>
      </w:pPr>
    </w:p>
    <w:p w14:paraId="1F03106E" w14:textId="77777777" w:rsidR="001C4D18" w:rsidRPr="001C4D18" w:rsidRDefault="001C4D18" w:rsidP="00B149ED">
      <w:pPr>
        <w:spacing w:line="480" w:lineRule="auto"/>
        <w:jc w:val="both"/>
        <w:rPr>
          <w:rFonts w:ascii="Times New Roman" w:eastAsia="Times New Roman" w:hAnsi="Times New Roman" w:cs="Times New Roman"/>
        </w:rPr>
      </w:pPr>
      <w:r w:rsidRPr="001C4D18">
        <w:rPr>
          <w:rFonts w:ascii="Times New Roman" w:eastAsia="Times New Roman" w:hAnsi="Times New Roman" w:cs="Times New Roman"/>
          <w:color w:val="000000"/>
        </w:rPr>
        <w:t>Sung-mok Jung, PhD</w:t>
      </w:r>
      <w:r w:rsidRPr="001C4D18">
        <w:rPr>
          <w:rFonts w:ascii="Times New Roman" w:eastAsia="Times New Roman" w:hAnsi="Times New Roman" w:cs="Times New Roman"/>
          <w:color w:val="000000"/>
          <w:vertAlign w:val="superscript"/>
        </w:rPr>
        <w:t>1</w:t>
      </w:r>
      <w:r w:rsidRPr="001C4D18">
        <w:rPr>
          <w:rFonts w:ascii="Times New Roman" w:eastAsia="Times New Roman" w:hAnsi="Times New Roman" w:cs="Times New Roman"/>
          <w:color w:val="000000"/>
        </w:rPr>
        <w:t>; Sara L. Loo, PhD</w:t>
      </w:r>
      <w:r w:rsidRPr="001C4D18">
        <w:rPr>
          <w:rFonts w:ascii="Times New Roman" w:eastAsia="Times New Roman" w:hAnsi="Times New Roman" w:cs="Times New Roman"/>
          <w:color w:val="000000"/>
          <w:vertAlign w:val="superscript"/>
        </w:rPr>
        <w:t>2</w:t>
      </w:r>
      <w:r w:rsidRPr="001C4D18">
        <w:rPr>
          <w:rFonts w:ascii="Times New Roman" w:eastAsia="Times New Roman" w:hAnsi="Times New Roman" w:cs="Times New Roman"/>
          <w:color w:val="000000"/>
        </w:rPr>
        <w:t>; Emily Howerton, PhD</w:t>
      </w:r>
      <w:r w:rsidRPr="001C4D18">
        <w:rPr>
          <w:rFonts w:ascii="Times New Roman" w:eastAsia="Times New Roman" w:hAnsi="Times New Roman" w:cs="Times New Roman"/>
          <w:color w:val="000000"/>
          <w:vertAlign w:val="superscript"/>
        </w:rPr>
        <w:t>3</w:t>
      </w:r>
      <w:r w:rsidRPr="001C4D18">
        <w:rPr>
          <w:rFonts w:ascii="Times New Roman" w:eastAsia="Times New Roman" w:hAnsi="Times New Roman" w:cs="Times New Roman"/>
          <w:color w:val="000000"/>
        </w:rPr>
        <w:t>; Lucie Contamin, MS</w:t>
      </w:r>
      <w:r w:rsidRPr="001C4D18">
        <w:rPr>
          <w:rFonts w:ascii="Times New Roman" w:eastAsia="Times New Roman" w:hAnsi="Times New Roman" w:cs="Times New Roman"/>
          <w:color w:val="000000"/>
          <w:vertAlign w:val="superscript"/>
        </w:rPr>
        <w:t>4</w:t>
      </w:r>
      <w:r w:rsidRPr="001C4D18">
        <w:rPr>
          <w:rFonts w:ascii="Times New Roman" w:eastAsia="Times New Roman" w:hAnsi="Times New Roman" w:cs="Times New Roman"/>
          <w:color w:val="000000"/>
        </w:rPr>
        <w:t>; Claire P. Smith</w:t>
      </w:r>
      <w:r w:rsidRPr="001C4D18">
        <w:rPr>
          <w:rFonts w:ascii="Times New Roman" w:eastAsia="Times New Roman" w:hAnsi="Times New Roman" w:cs="Times New Roman"/>
          <w:color w:val="000000"/>
          <w:vertAlign w:val="superscript"/>
        </w:rPr>
        <w:t>2</w:t>
      </w:r>
      <w:r w:rsidRPr="001C4D18">
        <w:rPr>
          <w:rFonts w:ascii="Times New Roman" w:eastAsia="Times New Roman" w:hAnsi="Times New Roman" w:cs="Times New Roman"/>
          <w:color w:val="000000"/>
        </w:rPr>
        <w:t xml:space="preserve">; </w:t>
      </w:r>
      <w:r w:rsidRPr="001C4D18">
        <w:rPr>
          <w:rFonts w:ascii="Times New Roman" w:eastAsia="Times New Roman" w:hAnsi="Times New Roman" w:cs="Times New Roman"/>
          <w:color w:val="000000"/>
          <w:shd w:val="clear" w:color="auto" w:fill="FFFFFF"/>
        </w:rPr>
        <w:t>Erica C. Carcelén, MSc</w:t>
      </w:r>
      <w:r w:rsidRPr="001C4D18">
        <w:rPr>
          <w:rFonts w:ascii="Times New Roman" w:eastAsia="Times New Roman" w:hAnsi="Times New Roman" w:cs="Times New Roman"/>
          <w:color w:val="000000"/>
          <w:vertAlign w:val="superscript"/>
        </w:rPr>
        <w:t>2</w:t>
      </w:r>
      <w:r w:rsidRPr="001C4D18">
        <w:rPr>
          <w:rFonts w:ascii="Times New Roman" w:eastAsia="Times New Roman" w:hAnsi="Times New Roman" w:cs="Times New Roman"/>
          <w:color w:val="000000"/>
        </w:rPr>
        <w:t>;</w:t>
      </w:r>
      <w:r w:rsidRPr="001C4D18">
        <w:rPr>
          <w:rFonts w:ascii="Times New Roman" w:eastAsia="Times New Roman" w:hAnsi="Times New Roman" w:cs="Times New Roman"/>
          <w:color w:val="000000"/>
          <w:shd w:val="clear" w:color="auto" w:fill="FFFFFF"/>
        </w:rPr>
        <w:t xml:space="preserve"> Katie Yan</w:t>
      </w:r>
      <w:r w:rsidRPr="001C4D18">
        <w:rPr>
          <w:rFonts w:ascii="Times New Roman" w:eastAsia="Times New Roman" w:hAnsi="Times New Roman" w:cs="Times New Roman"/>
          <w:color w:val="000000"/>
          <w:vertAlign w:val="superscript"/>
        </w:rPr>
        <w:t>3</w:t>
      </w:r>
      <w:r w:rsidRPr="001C4D18">
        <w:rPr>
          <w:rFonts w:ascii="Times New Roman" w:eastAsia="Times New Roman" w:hAnsi="Times New Roman" w:cs="Times New Roman"/>
          <w:color w:val="000000"/>
          <w:shd w:val="clear" w:color="auto" w:fill="FFFFFF"/>
        </w:rPr>
        <w:t>;</w:t>
      </w:r>
      <w:r w:rsidRPr="001C4D18">
        <w:rPr>
          <w:rFonts w:ascii="Times New Roman" w:eastAsia="Times New Roman" w:hAnsi="Times New Roman" w:cs="Times New Roman"/>
          <w:color w:val="000000"/>
        </w:rPr>
        <w:t xml:space="preserve"> </w:t>
      </w:r>
      <w:r w:rsidRPr="001C4D18">
        <w:rPr>
          <w:rFonts w:ascii="Times New Roman" w:eastAsia="Times New Roman" w:hAnsi="Times New Roman" w:cs="Times New Roman"/>
          <w:color w:val="000000"/>
          <w:shd w:val="clear" w:color="auto" w:fill="FFFFFF"/>
        </w:rPr>
        <w:t>Samantha J. Bents</w:t>
      </w:r>
      <w:r w:rsidRPr="001C4D18">
        <w:rPr>
          <w:rFonts w:ascii="Times New Roman" w:eastAsia="Times New Roman" w:hAnsi="Times New Roman" w:cs="Times New Roman"/>
          <w:color w:val="000000"/>
          <w:vertAlign w:val="superscript"/>
        </w:rPr>
        <w:t>5</w:t>
      </w:r>
      <w:r w:rsidRPr="001C4D18">
        <w:rPr>
          <w:rFonts w:ascii="Times New Roman" w:eastAsia="Times New Roman" w:hAnsi="Times New Roman" w:cs="Times New Roman"/>
          <w:color w:val="000000"/>
        </w:rPr>
        <w:t>; John Levander</w:t>
      </w:r>
      <w:r w:rsidRPr="001C4D18">
        <w:rPr>
          <w:rFonts w:ascii="Times New Roman" w:eastAsia="Times New Roman" w:hAnsi="Times New Roman" w:cs="Times New Roman"/>
          <w:color w:val="000000"/>
          <w:vertAlign w:val="superscript"/>
        </w:rPr>
        <w:t>4</w:t>
      </w:r>
      <w:r w:rsidRPr="001C4D18">
        <w:rPr>
          <w:rFonts w:ascii="Times New Roman" w:eastAsia="Times New Roman" w:hAnsi="Times New Roman" w:cs="Times New Roman"/>
          <w:color w:val="000000"/>
        </w:rPr>
        <w:t>; J. Espino</w:t>
      </w:r>
      <w:r w:rsidRPr="001C4D18">
        <w:rPr>
          <w:rFonts w:ascii="Times New Roman" w:eastAsia="Times New Roman" w:hAnsi="Times New Roman" w:cs="Times New Roman"/>
          <w:color w:val="000000"/>
          <w:vertAlign w:val="superscript"/>
        </w:rPr>
        <w:t>4</w:t>
      </w:r>
      <w:r w:rsidRPr="001C4D18">
        <w:rPr>
          <w:rFonts w:ascii="Times New Roman" w:eastAsia="Times New Roman" w:hAnsi="Times New Roman" w:cs="Times New Roman"/>
          <w:color w:val="000000"/>
        </w:rPr>
        <w:t>; Nicholas G. Reich, PhD</w:t>
      </w:r>
      <w:r w:rsidRPr="001C4D18">
        <w:rPr>
          <w:rFonts w:ascii="Times New Roman" w:eastAsia="Times New Roman" w:hAnsi="Times New Roman" w:cs="Times New Roman"/>
          <w:color w:val="000000"/>
          <w:vertAlign w:val="superscript"/>
        </w:rPr>
        <w:t>6</w:t>
      </w:r>
      <w:r w:rsidRPr="001C4D18">
        <w:rPr>
          <w:rFonts w:ascii="Times New Roman" w:eastAsia="Times New Roman" w:hAnsi="Times New Roman" w:cs="Times New Roman"/>
          <w:color w:val="000000"/>
        </w:rPr>
        <w:t>; Joseph C. Lemaitre, PhD</w:t>
      </w:r>
      <w:r w:rsidRPr="001C4D18">
        <w:rPr>
          <w:rFonts w:ascii="Times New Roman" w:eastAsia="Times New Roman" w:hAnsi="Times New Roman" w:cs="Times New Roman"/>
          <w:color w:val="000000"/>
          <w:vertAlign w:val="superscript"/>
        </w:rPr>
        <w:t>1</w:t>
      </w:r>
      <w:r w:rsidRPr="001C4D18">
        <w:rPr>
          <w:rFonts w:ascii="Times New Roman" w:eastAsia="Times New Roman" w:hAnsi="Times New Roman" w:cs="Times New Roman"/>
          <w:color w:val="000000"/>
        </w:rPr>
        <w:t>; Koji Sato, PhD</w:t>
      </w:r>
      <w:r w:rsidRPr="001C4D18">
        <w:rPr>
          <w:rFonts w:ascii="Times New Roman" w:eastAsia="Times New Roman" w:hAnsi="Times New Roman" w:cs="Times New Roman"/>
          <w:color w:val="000000"/>
          <w:vertAlign w:val="superscript"/>
        </w:rPr>
        <w:t>2</w:t>
      </w:r>
      <w:r w:rsidRPr="001C4D18">
        <w:rPr>
          <w:rFonts w:ascii="Times New Roman" w:eastAsia="Times New Roman" w:hAnsi="Times New Roman" w:cs="Times New Roman"/>
          <w:color w:val="000000"/>
        </w:rPr>
        <w:t>; Clif D. McKee, PhD</w:t>
      </w:r>
      <w:r w:rsidRPr="001C4D18">
        <w:rPr>
          <w:rFonts w:ascii="Times New Roman" w:eastAsia="Times New Roman" w:hAnsi="Times New Roman" w:cs="Times New Roman"/>
          <w:color w:val="000000"/>
          <w:vertAlign w:val="superscript"/>
        </w:rPr>
        <w:t>2</w:t>
      </w:r>
      <w:r w:rsidRPr="001C4D18">
        <w:rPr>
          <w:rFonts w:ascii="Times New Roman" w:eastAsia="Times New Roman" w:hAnsi="Times New Roman" w:cs="Times New Roman"/>
          <w:color w:val="000000"/>
        </w:rPr>
        <w:t>; Alison L. Hill, PhD</w:t>
      </w:r>
      <w:r w:rsidRPr="001C4D18">
        <w:rPr>
          <w:rFonts w:ascii="Times New Roman" w:eastAsia="Times New Roman" w:hAnsi="Times New Roman" w:cs="Times New Roman"/>
          <w:color w:val="000000"/>
          <w:vertAlign w:val="superscript"/>
        </w:rPr>
        <w:t>2</w:t>
      </w:r>
      <w:r w:rsidRPr="001C4D18">
        <w:rPr>
          <w:rFonts w:ascii="Times New Roman" w:eastAsia="Times New Roman" w:hAnsi="Times New Roman" w:cs="Times New Roman"/>
          <w:color w:val="000000"/>
        </w:rPr>
        <w:t>; Matteo Chinazzi, PhD</w:t>
      </w:r>
      <w:r w:rsidRPr="001C4D18">
        <w:rPr>
          <w:rFonts w:ascii="Times New Roman" w:eastAsia="Times New Roman" w:hAnsi="Times New Roman" w:cs="Times New Roman"/>
          <w:color w:val="000000"/>
          <w:vertAlign w:val="superscript"/>
        </w:rPr>
        <w:t>7</w:t>
      </w:r>
      <w:r w:rsidRPr="001C4D18">
        <w:rPr>
          <w:rFonts w:ascii="Times New Roman" w:eastAsia="Times New Roman" w:hAnsi="Times New Roman" w:cs="Times New Roman"/>
          <w:color w:val="000000"/>
        </w:rPr>
        <w:t>; Jessica T. Davis, PhD</w:t>
      </w:r>
      <w:r w:rsidRPr="001C4D18">
        <w:rPr>
          <w:rFonts w:ascii="Times New Roman" w:eastAsia="Times New Roman" w:hAnsi="Times New Roman" w:cs="Times New Roman"/>
          <w:color w:val="000000"/>
          <w:vertAlign w:val="superscript"/>
        </w:rPr>
        <w:t>7</w:t>
      </w:r>
      <w:r w:rsidRPr="001C4D18">
        <w:rPr>
          <w:rFonts w:ascii="Times New Roman" w:eastAsia="Times New Roman" w:hAnsi="Times New Roman" w:cs="Times New Roman"/>
          <w:color w:val="000000"/>
        </w:rPr>
        <w:t>; Kunpeng Mu</w:t>
      </w:r>
      <w:r w:rsidRPr="001C4D18">
        <w:rPr>
          <w:rFonts w:ascii="Times New Roman" w:eastAsia="Times New Roman" w:hAnsi="Times New Roman" w:cs="Times New Roman"/>
          <w:color w:val="000000"/>
          <w:vertAlign w:val="superscript"/>
        </w:rPr>
        <w:t>7</w:t>
      </w:r>
      <w:r w:rsidRPr="001C4D18">
        <w:rPr>
          <w:rFonts w:ascii="Times New Roman" w:eastAsia="Times New Roman" w:hAnsi="Times New Roman" w:cs="Times New Roman"/>
          <w:color w:val="000000"/>
        </w:rPr>
        <w:t>; Alessandro Vespignani, PhD</w:t>
      </w:r>
      <w:r w:rsidRPr="001C4D18">
        <w:rPr>
          <w:rFonts w:ascii="Times New Roman" w:eastAsia="Times New Roman" w:hAnsi="Times New Roman" w:cs="Times New Roman"/>
          <w:color w:val="000000"/>
          <w:vertAlign w:val="superscript"/>
        </w:rPr>
        <w:t>7</w:t>
      </w:r>
      <w:r w:rsidRPr="001C4D18">
        <w:rPr>
          <w:rFonts w:ascii="Times New Roman" w:eastAsia="Times New Roman" w:hAnsi="Times New Roman" w:cs="Times New Roman"/>
          <w:color w:val="000000"/>
        </w:rPr>
        <w:t>; Erik T. Rosenstrom</w:t>
      </w:r>
      <w:r w:rsidRPr="001C4D18">
        <w:rPr>
          <w:rFonts w:ascii="Times New Roman" w:eastAsia="Times New Roman" w:hAnsi="Times New Roman" w:cs="Times New Roman"/>
          <w:color w:val="000000"/>
          <w:vertAlign w:val="superscript"/>
        </w:rPr>
        <w:t>8</w:t>
      </w:r>
      <w:r w:rsidRPr="001C4D18">
        <w:rPr>
          <w:rFonts w:ascii="Times New Roman" w:eastAsia="Times New Roman" w:hAnsi="Times New Roman" w:cs="Times New Roman"/>
          <w:color w:val="000000"/>
        </w:rPr>
        <w:t xml:space="preserve">; </w:t>
      </w:r>
      <w:r w:rsidRPr="001C4D18">
        <w:rPr>
          <w:rFonts w:ascii="Times New Roman" w:eastAsia="Times New Roman" w:hAnsi="Times New Roman" w:cs="Times New Roman"/>
          <w:color w:val="1F1F1F"/>
          <w:shd w:val="clear" w:color="auto" w:fill="FFFFFF"/>
        </w:rPr>
        <w:t>Sebastian A. Rodriguez-Cartes, MS</w:t>
      </w:r>
      <w:r w:rsidRPr="001C4D18">
        <w:rPr>
          <w:rFonts w:ascii="Times New Roman" w:eastAsia="Times New Roman" w:hAnsi="Times New Roman" w:cs="Times New Roman"/>
          <w:color w:val="000000"/>
          <w:vertAlign w:val="superscript"/>
        </w:rPr>
        <w:t>8</w:t>
      </w:r>
      <w:r w:rsidRPr="001C4D18">
        <w:rPr>
          <w:rFonts w:ascii="Times New Roman" w:eastAsia="Times New Roman" w:hAnsi="Times New Roman" w:cs="Times New Roman"/>
          <w:color w:val="000000"/>
        </w:rPr>
        <w:t>;</w:t>
      </w:r>
      <w:r w:rsidRPr="001C4D18">
        <w:rPr>
          <w:rFonts w:ascii="Times New Roman" w:eastAsia="Times New Roman" w:hAnsi="Times New Roman" w:cs="Times New Roman"/>
          <w:color w:val="1F1F1F"/>
          <w:shd w:val="clear" w:color="auto" w:fill="FFFFFF"/>
        </w:rPr>
        <w:t xml:space="preserve"> </w:t>
      </w:r>
      <w:r w:rsidRPr="001C4D18">
        <w:rPr>
          <w:rFonts w:ascii="Times New Roman" w:eastAsia="Times New Roman" w:hAnsi="Times New Roman" w:cs="Times New Roman"/>
          <w:color w:val="000000"/>
        </w:rPr>
        <w:t>Julie S. Ivy, PhD</w:t>
      </w:r>
      <w:r w:rsidRPr="001C4D18">
        <w:rPr>
          <w:rFonts w:ascii="Times New Roman" w:eastAsia="Times New Roman" w:hAnsi="Times New Roman" w:cs="Times New Roman"/>
          <w:color w:val="000000"/>
          <w:vertAlign w:val="superscript"/>
        </w:rPr>
        <w:t>8</w:t>
      </w:r>
      <w:r w:rsidRPr="001C4D18">
        <w:rPr>
          <w:rFonts w:ascii="Times New Roman" w:eastAsia="Times New Roman" w:hAnsi="Times New Roman" w:cs="Times New Roman"/>
          <w:color w:val="000000"/>
        </w:rPr>
        <w:t>, Maria E. Mayorga, PhD</w:t>
      </w:r>
      <w:r w:rsidRPr="001C4D18">
        <w:rPr>
          <w:rFonts w:ascii="Times New Roman" w:eastAsia="Times New Roman" w:hAnsi="Times New Roman" w:cs="Times New Roman"/>
          <w:color w:val="000000"/>
          <w:vertAlign w:val="superscript"/>
        </w:rPr>
        <w:t>8</w:t>
      </w:r>
      <w:r w:rsidRPr="001C4D18">
        <w:rPr>
          <w:rFonts w:ascii="Times New Roman" w:eastAsia="Times New Roman" w:hAnsi="Times New Roman" w:cs="Times New Roman"/>
          <w:color w:val="000000"/>
        </w:rPr>
        <w:t>; Julie L. Swann, PhD</w:t>
      </w:r>
      <w:r w:rsidRPr="001C4D18">
        <w:rPr>
          <w:rFonts w:ascii="Times New Roman" w:eastAsia="Times New Roman" w:hAnsi="Times New Roman" w:cs="Times New Roman"/>
          <w:color w:val="000000"/>
          <w:vertAlign w:val="superscript"/>
        </w:rPr>
        <w:t>8</w:t>
      </w:r>
      <w:r w:rsidRPr="001C4D18">
        <w:rPr>
          <w:rFonts w:ascii="Times New Roman" w:eastAsia="Times New Roman" w:hAnsi="Times New Roman" w:cs="Times New Roman"/>
          <w:color w:val="000000"/>
        </w:rPr>
        <w:t>; Guido España, PhD</w:t>
      </w:r>
      <w:r w:rsidRPr="001C4D18">
        <w:rPr>
          <w:rFonts w:ascii="Times New Roman" w:eastAsia="Times New Roman" w:hAnsi="Times New Roman" w:cs="Times New Roman"/>
          <w:color w:val="000000"/>
          <w:vertAlign w:val="superscript"/>
        </w:rPr>
        <w:t>9</w:t>
      </w:r>
      <w:r w:rsidRPr="001C4D18">
        <w:rPr>
          <w:rFonts w:ascii="Times New Roman" w:eastAsia="Times New Roman" w:hAnsi="Times New Roman" w:cs="Times New Roman"/>
          <w:color w:val="000000"/>
        </w:rPr>
        <w:t>; Sean Cavany, PhD</w:t>
      </w:r>
      <w:r w:rsidRPr="001C4D18">
        <w:rPr>
          <w:rFonts w:ascii="Times New Roman" w:eastAsia="Times New Roman" w:hAnsi="Times New Roman" w:cs="Times New Roman"/>
          <w:color w:val="000000"/>
          <w:vertAlign w:val="superscript"/>
        </w:rPr>
        <w:t>9</w:t>
      </w:r>
      <w:r w:rsidRPr="001C4D18">
        <w:rPr>
          <w:rFonts w:ascii="Times New Roman" w:eastAsia="Times New Roman" w:hAnsi="Times New Roman" w:cs="Times New Roman"/>
          <w:color w:val="000000"/>
        </w:rPr>
        <w:t>; Sean M. Moore, PhD</w:t>
      </w:r>
      <w:r w:rsidRPr="001C4D18">
        <w:rPr>
          <w:rFonts w:ascii="Times New Roman" w:eastAsia="Times New Roman" w:hAnsi="Times New Roman" w:cs="Times New Roman"/>
          <w:color w:val="000000"/>
          <w:vertAlign w:val="superscript"/>
        </w:rPr>
        <w:t>9</w:t>
      </w:r>
      <w:r w:rsidRPr="001C4D18">
        <w:rPr>
          <w:rFonts w:ascii="Times New Roman" w:eastAsia="Times New Roman" w:hAnsi="Times New Roman" w:cs="Times New Roman"/>
          <w:color w:val="000000"/>
        </w:rPr>
        <w:t>; Alex Perkins, PhD</w:t>
      </w:r>
      <w:r w:rsidRPr="001C4D18">
        <w:rPr>
          <w:rFonts w:ascii="Times New Roman" w:eastAsia="Times New Roman" w:hAnsi="Times New Roman" w:cs="Times New Roman"/>
          <w:color w:val="000000"/>
          <w:vertAlign w:val="superscript"/>
        </w:rPr>
        <w:t>9</w:t>
      </w:r>
      <w:r w:rsidRPr="001C4D18">
        <w:rPr>
          <w:rFonts w:ascii="Times New Roman" w:eastAsia="Times New Roman" w:hAnsi="Times New Roman" w:cs="Times New Roman"/>
          <w:color w:val="000000"/>
        </w:rPr>
        <w:t>; Shi Chen, PhD</w:t>
      </w:r>
      <w:r w:rsidRPr="001C4D18">
        <w:rPr>
          <w:rFonts w:ascii="Times New Roman" w:eastAsia="Times New Roman" w:hAnsi="Times New Roman" w:cs="Times New Roman"/>
          <w:color w:val="000000"/>
          <w:vertAlign w:val="superscript"/>
        </w:rPr>
        <w:t>10</w:t>
      </w:r>
      <w:r w:rsidRPr="001C4D18">
        <w:rPr>
          <w:rFonts w:ascii="Times New Roman" w:eastAsia="Times New Roman" w:hAnsi="Times New Roman" w:cs="Times New Roman"/>
          <w:color w:val="000000"/>
        </w:rPr>
        <w:t>; Rajib Paul, PhD</w:t>
      </w:r>
      <w:r w:rsidRPr="001C4D18">
        <w:rPr>
          <w:rFonts w:ascii="Times New Roman" w:eastAsia="Times New Roman" w:hAnsi="Times New Roman" w:cs="Times New Roman"/>
          <w:color w:val="000000"/>
          <w:vertAlign w:val="superscript"/>
        </w:rPr>
        <w:t>10</w:t>
      </w:r>
      <w:r w:rsidRPr="001C4D18">
        <w:rPr>
          <w:rFonts w:ascii="Times New Roman" w:eastAsia="Times New Roman" w:hAnsi="Times New Roman" w:cs="Times New Roman"/>
          <w:color w:val="000000"/>
        </w:rPr>
        <w:t>; Daniel Janies, PhD</w:t>
      </w:r>
      <w:r w:rsidRPr="001C4D18">
        <w:rPr>
          <w:rFonts w:ascii="Times New Roman" w:eastAsia="Times New Roman" w:hAnsi="Times New Roman" w:cs="Times New Roman"/>
          <w:color w:val="000000"/>
          <w:vertAlign w:val="superscript"/>
        </w:rPr>
        <w:t>10</w:t>
      </w:r>
      <w:r w:rsidRPr="001C4D18">
        <w:rPr>
          <w:rFonts w:ascii="Times New Roman" w:eastAsia="Times New Roman" w:hAnsi="Times New Roman" w:cs="Times New Roman"/>
          <w:color w:val="000000"/>
        </w:rPr>
        <w:t>; Jean-Claude Thill, PhD</w:t>
      </w:r>
      <w:r w:rsidRPr="001C4D18">
        <w:rPr>
          <w:rFonts w:ascii="Times New Roman" w:eastAsia="Times New Roman" w:hAnsi="Times New Roman" w:cs="Times New Roman"/>
          <w:color w:val="000000"/>
          <w:vertAlign w:val="superscript"/>
        </w:rPr>
        <w:t>10</w:t>
      </w:r>
      <w:r w:rsidRPr="001C4D18">
        <w:rPr>
          <w:rFonts w:ascii="Times New Roman" w:eastAsia="Times New Roman" w:hAnsi="Times New Roman" w:cs="Times New Roman"/>
          <w:color w:val="000000"/>
        </w:rPr>
        <w:t>; Ajitesh Srivastava, PhD</w:t>
      </w:r>
      <w:r w:rsidRPr="001C4D18">
        <w:rPr>
          <w:rFonts w:ascii="Times New Roman" w:eastAsia="Times New Roman" w:hAnsi="Times New Roman" w:cs="Times New Roman"/>
          <w:color w:val="000000"/>
          <w:vertAlign w:val="superscript"/>
        </w:rPr>
        <w:t>11</w:t>
      </w:r>
      <w:r w:rsidRPr="001C4D18">
        <w:rPr>
          <w:rFonts w:ascii="Times New Roman" w:eastAsia="Times New Roman" w:hAnsi="Times New Roman" w:cs="Times New Roman"/>
          <w:color w:val="000000"/>
        </w:rPr>
        <w:t xml:space="preserve">; </w:t>
      </w:r>
      <w:r w:rsidRPr="001C4D18">
        <w:rPr>
          <w:rFonts w:ascii="Times New Roman" w:eastAsia="Times New Roman" w:hAnsi="Times New Roman" w:cs="Times New Roman"/>
          <w:color w:val="1F1F1F"/>
          <w:shd w:val="clear" w:color="auto" w:fill="FFFFFF"/>
        </w:rPr>
        <w:t>Majd Al Aawar</w:t>
      </w:r>
      <w:r w:rsidRPr="001C4D18">
        <w:rPr>
          <w:rFonts w:ascii="Times New Roman" w:eastAsia="Times New Roman" w:hAnsi="Times New Roman" w:cs="Times New Roman"/>
          <w:color w:val="000000"/>
          <w:vertAlign w:val="superscript"/>
        </w:rPr>
        <w:t>11</w:t>
      </w:r>
      <w:r w:rsidRPr="001C4D18">
        <w:rPr>
          <w:rFonts w:ascii="Times New Roman" w:eastAsia="Times New Roman" w:hAnsi="Times New Roman" w:cs="Times New Roman"/>
          <w:color w:val="000000"/>
        </w:rPr>
        <w:t>; Kaiming Bi, PhD</w:t>
      </w:r>
      <w:r w:rsidRPr="001C4D18">
        <w:rPr>
          <w:rFonts w:ascii="Times New Roman" w:eastAsia="Times New Roman" w:hAnsi="Times New Roman" w:cs="Times New Roman"/>
          <w:color w:val="000000"/>
          <w:vertAlign w:val="superscript"/>
        </w:rPr>
        <w:t>12</w:t>
      </w:r>
      <w:r w:rsidRPr="001C4D18">
        <w:rPr>
          <w:rFonts w:ascii="Times New Roman" w:eastAsia="Times New Roman" w:hAnsi="Times New Roman" w:cs="Times New Roman"/>
          <w:color w:val="000000"/>
        </w:rPr>
        <w:t xml:space="preserve">; </w:t>
      </w:r>
      <w:r w:rsidRPr="001C4D18">
        <w:rPr>
          <w:rFonts w:ascii="Times New Roman" w:eastAsia="Times New Roman" w:hAnsi="Times New Roman" w:cs="Times New Roman"/>
          <w:color w:val="1F1F1F"/>
          <w:shd w:val="clear" w:color="auto" w:fill="FFFFFF"/>
        </w:rPr>
        <w:t>Shraddha Ramdas Bandekar, PhD</w:t>
      </w:r>
      <w:r w:rsidRPr="001C4D18">
        <w:rPr>
          <w:rFonts w:ascii="Times New Roman" w:eastAsia="Times New Roman" w:hAnsi="Times New Roman" w:cs="Times New Roman"/>
          <w:color w:val="000000"/>
          <w:vertAlign w:val="superscript"/>
        </w:rPr>
        <w:t>12</w:t>
      </w:r>
      <w:r w:rsidRPr="001C4D18">
        <w:rPr>
          <w:rFonts w:ascii="Times New Roman" w:eastAsia="Times New Roman" w:hAnsi="Times New Roman" w:cs="Times New Roman"/>
          <w:color w:val="000000"/>
        </w:rPr>
        <w:t>;</w:t>
      </w:r>
      <w:r w:rsidRPr="001C4D18">
        <w:rPr>
          <w:rFonts w:ascii="Times New Roman" w:eastAsia="Times New Roman" w:hAnsi="Times New Roman" w:cs="Times New Roman"/>
          <w:color w:val="1F1F1F"/>
          <w:shd w:val="clear" w:color="auto" w:fill="FFFFFF"/>
        </w:rPr>
        <w:t xml:space="preserve"> Anass Bouchnita, PhD</w:t>
      </w:r>
      <w:r w:rsidRPr="001C4D18">
        <w:rPr>
          <w:rFonts w:ascii="Times New Roman" w:eastAsia="Times New Roman" w:hAnsi="Times New Roman" w:cs="Times New Roman"/>
          <w:color w:val="000000"/>
          <w:vertAlign w:val="superscript"/>
        </w:rPr>
        <w:t>13</w:t>
      </w:r>
      <w:r w:rsidRPr="001C4D18">
        <w:rPr>
          <w:rFonts w:ascii="Times New Roman" w:eastAsia="Times New Roman" w:hAnsi="Times New Roman" w:cs="Times New Roman"/>
          <w:color w:val="000000"/>
        </w:rPr>
        <w:t>;</w:t>
      </w:r>
      <w:r w:rsidRPr="001C4D18">
        <w:rPr>
          <w:rFonts w:ascii="Times New Roman" w:eastAsia="Times New Roman" w:hAnsi="Times New Roman" w:cs="Times New Roman"/>
          <w:color w:val="1F1F1F"/>
          <w:shd w:val="clear" w:color="auto" w:fill="FFFFFF"/>
        </w:rPr>
        <w:t xml:space="preserve"> </w:t>
      </w:r>
      <w:r w:rsidRPr="001C4D18">
        <w:rPr>
          <w:rFonts w:ascii="Times New Roman" w:eastAsia="Times New Roman" w:hAnsi="Times New Roman" w:cs="Times New Roman"/>
          <w:color w:val="000000"/>
        </w:rPr>
        <w:t>Spencer J. Fox, PhD</w:t>
      </w:r>
      <w:r w:rsidRPr="001C4D18">
        <w:rPr>
          <w:rFonts w:ascii="Times New Roman" w:eastAsia="Times New Roman" w:hAnsi="Times New Roman" w:cs="Times New Roman"/>
          <w:color w:val="000000"/>
          <w:vertAlign w:val="superscript"/>
        </w:rPr>
        <w:t>14</w:t>
      </w:r>
      <w:r w:rsidRPr="001C4D18">
        <w:rPr>
          <w:rFonts w:ascii="Times New Roman" w:eastAsia="Times New Roman" w:hAnsi="Times New Roman" w:cs="Times New Roman"/>
          <w:color w:val="000000"/>
        </w:rPr>
        <w:t>; Lauren Ancel Meyers, PhD</w:t>
      </w:r>
      <w:r w:rsidRPr="001C4D18">
        <w:rPr>
          <w:rFonts w:ascii="Times New Roman" w:eastAsia="Times New Roman" w:hAnsi="Times New Roman" w:cs="Times New Roman"/>
          <w:color w:val="000000"/>
          <w:vertAlign w:val="superscript"/>
        </w:rPr>
        <w:t>12</w:t>
      </w:r>
      <w:r w:rsidRPr="001C4D18">
        <w:rPr>
          <w:rFonts w:ascii="Times New Roman" w:eastAsia="Times New Roman" w:hAnsi="Times New Roman" w:cs="Times New Roman"/>
          <w:color w:val="000000"/>
        </w:rPr>
        <w:t>; UT COVID-19 Modeling Consortium</w:t>
      </w:r>
      <w:r w:rsidRPr="001C4D18">
        <w:rPr>
          <w:rFonts w:ascii="Times New Roman" w:eastAsia="Times New Roman" w:hAnsi="Times New Roman" w:cs="Times New Roman"/>
          <w:color w:val="000000"/>
          <w:vertAlign w:val="superscript"/>
        </w:rPr>
        <w:t>12</w:t>
      </w:r>
      <w:r w:rsidRPr="001C4D18">
        <w:rPr>
          <w:rFonts w:ascii="Times New Roman" w:eastAsia="Times New Roman" w:hAnsi="Times New Roman" w:cs="Times New Roman"/>
          <w:color w:val="000000"/>
        </w:rPr>
        <w:t>; Przemyslaw Porebski, PhD</w:t>
      </w:r>
      <w:r w:rsidRPr="001C4D18">
        <w:rPr>
          <w:rFonts w:ascii="Times New Roman" w:eastAsia="Times New Roman" w:hAnsi="Times New Roman" w:cs="Times New Roman"/>
          <w:color w:val="000000"/>
          <w:vertAlign w:val="superscript"/>
        </w:rPr>
        <w:t>15</w:t>
      </w:r>
      <w:r w:rsidRPr="001C4D18">
        <w:rPr>
          <w:rFonts w:ascii="Times New Roman" w:eastAsia="Times New Roman" w:hAnsi="Times New Roman" w:cs="Times New Roman"/>
          <w:color w:val="000000"/>
        </w:rPr>
        <w:t>; Srini Venkatramanan, PhD</w:t>
      </w:r>
      <w:r w:rsidRPr="001C4D18">
        <w:rPr>
          <w:rFonts w:ascii="Times New Roman" w:eastAsia="Times New Roman" w:hAnsi="Times New Roman" w:cs="Times New Roman"/>
          <w:color w:val="000000"/>
          <w:vertAlign w:val="superscript"/>
        </w:rPr>
        <w:t>15</w:t>
      </w:r>
      <w:r w:rsidRPr="001C4D18">
        <w:rPr>
          <w:rFonts w:ascii="Times New Roman" w:eastAsia="Times New Roman" w:hAnsi="Times New Roman" w:cs="Times New Roman"/>
          <w:color w:val="000000"/>
        </w:rPr>
        <w:t>; Aniruddha Adiga, PhD</w:t>
      </w:r>
      <w:r w:rsidRPr="001C4D18">
        <w:rPr>
          <w:rFonts w:ascii="Times New Roman" w:eastAsia="Times New Roman" w:hAnsi="Times New Roman" w:cs="Times New Roman"/>
          <w:color w:val="000000"/>
          <w:vertAlign w:val="superscript"/>
        </w:rPr>
        <w:t>15</w:t>
      </w:r>
      <w:r w:rsidRPr="001C4D18">
        <w:rPr>
          <w:rFonts w:ascii="Times New Roman" w:eastAsia="Times New Roman" w:hAnsi="Times New Roman" w:cs="Times New Roman"/>
          <w:color w:val="000000"/>
        </w:rPr>
        <w:t>; Benjamin Hurt, MS</w:t>
      </w:r>
      <w:r w:rsidRPr="001C4D18">
        <w:rPr>
          <w:rFonts w:ascii="Times New Roman" w:eastAsia="Times New Roman" w:hAnsi="Times New Roman" w:cs="Times New Roman"/>
          <w:color w:val="000000"/>
          <w:vertAlign w:val="superscript"/>
        </w:rPr>
        <w:t>15</w:t>
      </w:r>
      <w:r w:rsidRPr="001C4D18">
        <w:rPr>
          <w:rFonts w:ascii="Times New Roman" w:eastAsia="Times New Roman" w:hAnsi="Times New Roman" w:cs="Times New Roman"/>
          <w:color w:val="000000"/>
        </w:rPr>
        <w:t>; Brian Klahn, MS</w:t>
      </w:r>
      <w:r w:rsidRPr="001C4D18">
        <w:rPr>
          <w:rFonts w:ascii="Times New Roman" w:eastAsia="Times New Roman" w:hAnsi="Times New Roman" w:cs="Times New Roman"/>
          <w:color w:val="000000"/>
          <w:vertAlign w:val="superscript"/>
        </w:rPr>
        <w:t>15</w:t>
      </w:r>
      <w:r w:rsidRPr="001C4D18">
        <w:rPr>
          <w:rFonts w:ascii="Times New Roman" w:eastAsia="Times New Roman" w:hAnsi="Times New Roman" w:cs="Times New Roman"/>
          <w:color w:val="000000"/>
        </w:rPr>
        <w:t>; Joseph Outten</w:t>
      </w:r>
      <w:r w:rsidRPr="001C4D18">
        <w:rPr>
          <w:rFonts w:ascii="Times New Roman" w:eastAsia="Times New Roman" w:hAnsi="Times New Roman" w:cs="Times New Roman"/>
          <w:color w:val="000000"/>
          <w:vertAlign w:val="superscript"/>
        </w:rPr>
        <w:t>15</w:t>
      </w:r>
      <w:r w:rsidRPr="001C4D18">
        <w:rPr>
          <w:rFonts w:ascii="Times New Roman" w:eastAsia="Times New Roman" w:hAnsi="Times New Roman" w:cs="Times New Roman"/>
          <w:color w:val="000000"/>
        </w:rPr>
        <w:t>; Jiangzhuo Chen, PhD</w:t>
      </w:r>
      <w:r w:rsidRPr="001C4D18">
        <w:rPr>
          <w:rFonts w:ascii="Times New Roman" w:eastAsia="Times New Roman" w:hAnsi="Times New Roman" w:cs="Times New Roman"/>
          <w:color w:val="000000"/>
          <w:vertAlign w:val="superscript"/>
        </w:rPr>
        <w:t>15</w:t>
      </w:r>
      <w:r w:rsidRPr="001C4D18">
        <w:rPr>
          <w:rFonts w:ascii="Times New Roman" w:eastAsia="Times New Roman" w:hAnsi="Times New Roman" w:cs="Times New Roman"/>
          <w:color w:val="000000"/>
        </w:rPr>
        <w:t>; Henning Mortveit, PhD</w:t>
      </w:r>
      <w:r w:rsidRPr="001C4D18">
        <w:rPr>
          <w:rFonts w:ascii="Times New Roman" w:eastAsia="Times New Roman" w:hAnsi="Times New Roman" w:cs="Times New Roman"/>
          <w:color w:val="000000"/>
          <w:vertAlign w:val="superscript"/>
        </w:rPr>
        <w:t>15</w:t>
      </w:r>
      <w:r w:rsidRPr="001C4D18">
        <w:rPr>
          <w:rFonts w:ascii="Times New Roman" w:eastAsia="Times New Roman" w:hAnsi="Times New Roman" w:cs="Times New Roman"/>
          <w:color w:val="000000"/>
        </w:rPr>
        <w:t>; Amanda Wilson, MA</w:t>
      </w:r>
      <w:r w:rsidRPr="001C4D18">
        <w:rPr>
          <w:rFonts w:ascii="Times New Roman" w:eastAsia="Times New Roman" w:hAnsi="Times New Roman" w:cs="Times New Roman"/>
          <w:color w:val="000000"/>
          <w:vertAlign w:val="superscript"/>
        </w:rPr>
        <w:t>15</w:t>
      </w:r>
      <w:r w:rsidRPr="001C4D18">
        <w:rPr>
          <w:rFonts w:ascii="Times New Roman" w:eastAsia="Times New Roman" w:hAnsi="Times New Roman" w:cs="Times New Roman"/>
          <w:color w:val="000000"/>
        </w:rPr>
        <w:t>; Stefan Hoops, PhD</w:t>
      </w:r>
      <w:r w:rsidRPr="001C4D18">
        <w:rPr>
          <w:rFonts w:ascii="Times New Roman" w:eastAsia="Times New Roman" w:hAnsi="Times New Roman" w:cs="Times New Roman"/>
          <w:color w:val="000000"/>
          <w:vertAlign w:val="superscript"/>
        </w:rPr>
        <w:t>15</w:t>
      </w:r>
      <w:r w:rsidRPr="001C4D18">
        <w:rPr>
          <w:rFonts w:ascii="Times New Roman" w:eastAsia="Times New Roman" w:hAnsi="Times New Roman" w:cs="Times New Roman"/>
          <w:color w:val="000000"/>
        </w:rPr>
        <w:t>; Parantapa Bhattacharya, PhD</w:t>
      </w:r>
      <w:r w:rsidRPr="001C4D18">
        <w:rPr>
          <w:rFonts w:ascii="Times New Roman" w:eastAsia="Times New Roman" w:hAnsi="Times New Roman" w:cs="Times New Roman"/>
          <w:color w:val="000000"/>
          <w:vertAlign w:val="superscript"/>
        </w:rPr>
        <w:t>15</w:t>
      </w:r>
      <w:r w:rsidRPr="001C4D18">
        <w:rPr>
          <w:rFonts w:ascii="Times New Roman" w:eastAsia="Times New Roman" w:hAnsi="Times New Roman" w:cs="Times New Roman"/>
          <w:color w:val="000000"/>
        </w:rPr>
        <w:t>; Dustin Machi</w:t>
      </w:r>
      <w:r w:rsidRPr="001C4D18">
        <w:rPr>
          <w:rFonts w:ascii="Times New Roman" w:eastAsia="Times New Roman" w:hAnsi="Times New Roman" w:cs="Times New Roman"/>
          <w:color w:val="000000"/>
          <w:vertAlign w:val="superscript"/>
        </w:rPr>
        <w:t>15</w:t>
      </w:r>
      <w:r w:rsidRPr="001C4D18">
        <w:rPr>
          <w:rFonts w:ascii="Times New Roman" w:eastAsia="Times New Roman" w:hAnsi="Times New Roman" w:cs="Times New Roman"/>
          <w:color w:val="000000"/>
        </w:rPr>
        <w:t>;</w:t>
      </w:r>
      <w:r w:rsidRPr="001C4D18">
        <w:rPr>
          <w:rFonts w:ascii="Times New Roman" w:eastAsia="Times New Roman" w:hAnsi="Times New Roman" w:cs="Times New Roman"/>
          <w:color w:val="1F1F1F"/>
          <w:shd w:val="clear" w:color="auto" w:fill="FFFFFF"/>
        </w:rPr>
        <w:t xml:space="preserve"> Anil Vullikanti</w:t>
      </w:r>
      <w:r w:rsidRPr="001C4D18">
        <w:rPr>
          <w:rFonts w:ascii="Times New Roman" w:eastAsia="Times New Roman" w:hAnsi="Times New Roman" w:cs="Times New Roman"/>
          <w:color w:val="000000"/>
        </w:rPr>
        <w:t>, PhD</w:t>
      </w:r>
      <w:r w:rsidRPr="001C4D18">
        <w:rPr>
          <w:rFonts w:ascii="Times New Roman" w:eastAsia="Times New Roman" w:hAnsi="Times New Roman" w:cs="Times New Roman"/>
          <w:color w:val="000000"/>
          <w:vertAlign w:val="superscript"/>
        </w:rPr>
        <w:t>15</w:t>
      </w:r>
      <w:r w:rsidRPr="001C4D18">
        <w:rPr>
          <w:rFonts w:ascii="Times New Roman" w:eastAsia="Times New Roman" w:hAnsi="Times New Roman" w:cs="Times New Roman"/>
          <w:color w:val="000000"/>
        </w:rPr>
        <w:t>;</w:t>
      </w:r>
      <w:r w:rsidRPr="001C4D18">
        <w:rPr>
          <w:rFonts w:ascii="Times New Roman" w:eastAsia="Times New Roman" w:hAnsi="Times New Roman" w:cs="Times New Roman"/>
          <w:color w:val="1F1F1F"/>
          <w:shd w:val="clear" w:color="auto" w:fill="FFFFFF"/>
        </w:rPr>
        <w:t xml:space="preserve"> </w:t>
      </w:r>
      <w:r w:rsidRPr="001C4D18">
        <w:rPr>
          <w:rFonts w:ascii="Times New Roman" w:eastAsia="Times New Roman" w:hAnsi="Times New Roman" w:cs="Times New Roman"/>
          <w:color w:val="000000"/>
        </w:rPr>
        <w:t>Bryan Lewis, PhD</w:t>
      </w:r>
      <w:r w:rsidRPr="001C4D18">
        <w:rPr>
          <w:rFonts w:ascii="Times New Roman" w:eastAsia="Times New Roman" w:hAnsi="Times New Roman" w:cs="Times New Roman"/>
          <w:color w:val="000000"/>
          <w:vertAlign w:val="superscript"/>
        </w:rPr>
        <w:t>15</w:t>
      </w:r>
      <w:r w:rsidRPr="001C4D18">
        <w:rPr>
          <w:rFonts w:ascii="Times New Roman" w:eastAsia="Times New Roman" w:hAnsi="Times New Roman" w:cs="Times New Roman"/>
          <w:color w:val="000000"/>
        </w:rPr>
        <w:t>; Madhav Marathe, PhD</w:t>
      </w:r>
      <w:r w:rsidRPr="001C4D18">
        <w:rPr>
          <w:rFonts w:ascii="Times New Roman" w:eastAsia="Times New Roman" w:hAnsi="Times New Roman" w:cs="Times New Roman"/>
          <w:color w:val="000000"/>
          <w:vertAlign w:val="superscript"/>
        </w:rPr>
        <w:t>15</w:t>
      </w:r>
      <w:r w:rsidRPr="001C4D18">
        <w:rPr>
          <w:rFonts w:ascii="Times New Roman" w:eastAsia="Times New Roman" w:hAnsi="Times New Roman" w:cs="Times New Roman"/>
          <w:color w:val="000000"/>
        </w:rPr>
        <w:t>; Harry Hochheiser, PhD</w:t>
      </w:r>
      <w:r w:rsidRPr="001C4D18">
        <w:rPr>
          <w:rFonts w:ascii="Times New Roman" w:eastAsia="Times New Roman" w:hAnsi="Times New Roman" w:cs="Times New Roman"/>
          <w:color w:val="000000"/>
          <w:vertAlign w:val="superscript"/>
        </w:rPr>
        <w:t>4</w:t>
      </w:r>
      <w:r w:rsidRPr="001C4D18">
        <w:rPr>
          <w:rFonts w:ascii="Times New Roman" w:eastAsia="Times New Roman" w:hAnsi="Times New Roman" w:cs="Times New Roman"/>
          <w:color w:val="000000"/>
        </w:rPr>
        <w:t>; Michael C. Runge, PhD</w:t>
      </w:r>
      <w:r w:rsidRPr="001C4D18">
        <w:rPr>
          <w:rFonts w:ascii="Times New Roman" w:eastAsia="Times New Roman" w:hAnsi="Times New Roman" w:cs="Times New Roman"/>
          <w:color w:val="000000"/>
          <w:vertAlign w:val="superscript"/>
        </w:rPr>
        <w:t>16</w:t>
      </w:r>
      <w:r w:rsidRPr="001C4D18">
        <w:rPr>
          <w:rFonts w:ascii="Times New Roman" w:eastAsia="Times New Roman" w:hAnsi="Times New Roman" w:cs="Times New Roman"/>
          <w:color w:val="000000"/>
        </w:rPr>
        <w:t>; Katriona Shea, PhD</w:t>
      </w:r>
      <w:r w:rsidRPr="001C4D18">
        <w:rPr>
          <w:rFonts w:ascii="Times New Roman" w:eastAsia="Times New Roman" w:hAnsi="Times New Roman" w:cs="Times New Roman"/>
          <w:color w:val="000000"/>
          <w:vertAlign w:val="superscript"/>
        </w:rPr>
        <w:t>3</w:t>
      </w:r>
      <w:r w:rsidRPr="001C4D18">
        <w:rPr>
          <w:rFonts w:ascii="Times New Roman" w:eastAsia="Times New Roman" w:hAnsi="Times New Roman" w:cs="Times New Roman"/>
          <w:color w:val="000000"/>
        </w:rPr>
        <w:t>; Shaun Truelove, PhD</w:t>
      </w:r>
      <w:r w:rsidRPr="001C4D18">
        <w:rPr>
          <w:rFonts w:ascii="Times New Roman" w:eastAsia="Times New Roman" w:hAnsi="Times New Roman" w:cs="Times New Roman"/>
          <w:color w:val="000000"/>
          <w:vertAlign w:val="superscript"/>
        </w:rPr>
        <w:t>2</w:t>
      </w:r>
      <w:r w:rsidRPr="001C4D18">
        <w:rPr>
          <w:rFonts w:ascii="Times New Roman" w:eastAsia="Times New Roman" w:hAnsi="Times New Roman" w:cs="Times New Roman"/>
          <w:color w:val="000000"/>
        </w:rPr>
        <w:t>; Cécile Viboud, PhD</w:t>
      </w:r>
      <w:r w:rsidRPr="001C4D18">
        <w:rPr>
          <w:rFonts w:ascii="Times New Roman" w:eastAsia="Times New Roman" w:hAnsi="Times New Roman" w:cs="Times New Roman"/>
          <w:color w:val="000000"/>
          <w:vertAlign w:val="superscript"/>
        </w:rPr>
        <w:t>5</w:t>
      </w:r>
      <w:r w:rsidRPr="001C4D18">
        <w:rPr>
          <w:rFonts w:ascii="Times New Roman" w:eastAsia="Times New Roman" w:hAnsi="Times New Roman" w:cs="Times New Roman"/>
          <w:color w:val="000000"/>
        </w:rPr>
        <w:t>; Justin Lessler</w:t>
      </w:r>
      <w:r w:rsidRPr="001C4D18">
        <w:rPr>
          <w:rFonts w:ascii="Times New Roman" w:eastAsia="Times New Roman" w:hAnsi="Times New Roman" w:cs="Times New Roman"/>
          <w:color w:val="000000"/>
          <w:vertAlign w:val="superscript"/>
        </w:rPr>
        <w:t>1,*</w:t>
      </w:r>
    </w:p>
    <w:p w14:paraId="539A11DE" w14:textId="77777777" w:rsidR="001C4D18" w:rsidRPr="001C4D18" w:rsidRDefault="001C4D18" w:rsidP="00B149ED">
      <w:pPr>
        <w:spacing w:line="480" w:lineRule="auto"/>
        <w:rPr>
          <w:rFonts w:ascii="Times New Roman" w:eastAsia="Times New Roman" w:hAnsi="Times New Roman" w:cs="Times New Roman"/>
        </w:rPr>
      </w:pPr>
    </w:p>
    <w:p w14:paraId="58AC5D8B"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color w:val="000000"/>
          <w:vertAlign w:val="superscript"/>
        </w:rPr>
        <w:t>1</w:t>
      </w:r>
      <w:r w:rsidRPr="001C4D18">
        <w:rPr>
          <w:rFonts w:ascii="Times New Roman" w:eastAsia="Times New Roman" w:hAnsi="Times New Roman" w:cs="Times New Roman"/>
          <w:color w:val="000000"/>
        </w:rPr>
        <w:t xml:space="preserve">University of North Carolina at Chapel Hill, Chapel Hill, North Carolina; </w:t>
      </w:r>
      <w:r w:rsidRPr="001C4D18">
        <w:rPr>
          <w:rFonts w:ascii="Times New Roman" w:eastAsia="Times New Roman" w:hAnsi="Times New Roman" w:cs="Times New Roman"/>
          <w:color w:val="000000"/>
          <w:vertAlign w:val="superscript"/>
        </w:rPr>
        <w:t>2</w:t>
      </w:r>
      <w:r w:rsidRPr="001C4D18">
        <w:rPr>
          <w:rFonts w:ascii="Times New Roman" w:eastAsia="Times New Roman" w:hAnsi="Times New Roman" w:cs="Times New Roman"/>
          <w:color w:val="000000"/>
        </w:rPr>
        <w:t xml:space="preserve">Johns Hopkins Bloomberg School of Public Health, Baltimore, Maryland; </w:t>
      </w:r>
      <w:r w:rsidRPr="001C4D18">
        <w:rPr>
          <w:rFonts w:ascii="Times New Roman" w:eastAsia="Times New Roman" w:hAnsi="Times New Roman" w:cs="Times New Roman"/>
          <w:color w:val="000000"/>
          <w:vertAlign w:val="superscript"/>
        </w:rPr>
        <w:t>3</w:t>
      </w:r>
      <w:r w:rsidRPr="001C4D18">
        <w:rPr>
          <w:rFonts w:ascii="Times New Roman" w:eastAsia="Times New Roman" w:hAnsi="Times New Roman" w:cs="Times New Roman"/>
          <w:color w:val="000000"/>
        </w:rPr>
        <w:t xml:space="preserve">The Pennsylvania State University, State College, Pennsylvania; </w:t>
      </w:r>
      <w:r w:rsidRPr="001C4D18">
        <w:rPr>
          <w:rFonts w:ascii="Times New Roman" w:eastAsia="Times New Roman" w:hAnsi="Times New Roman" w:cs="Times New Roman"/>
          <w:color w:val="000000"/>
          <w:vertAlign w:val="superscript"/>
        </w:rPr>
        <w:t>4</w:t>
      </w:r>
      <w:r w:rsidRPr="001C4D18">
        <w:rPr>
          <w:rFonts w:ascii="Times New Roman" w:eastAsia="Times New Roman" w:hAnsi="Times New Roman" w:cs="Times New Roman"/>
          <w:color w:val="000000"/>
        </w:rPr>
        <w:t xml:space="preserve">University of Pittsburgh, Pittsburgh, Pennsylvania; </w:t>
      </w:r>
      <w:r w:rsidRPr="001C4D18">
        <w:rPr>
          <w:rFonts w:ascii="Times New Roman" w:eastAsia="Times New Roman" w:hAnsi="Times New Roman" w:cs="Times New Roman"/>
          <w:color w:val="000000"/>
          <w:vertAlign w:val="superscript"/>
        </w:rPr>
        <w:t>5</w:t>
      </w:r>
      <w:r w:rsidRPr="001C4D18">
        <w:rPr>
          <w:rFonts w:ascii="Times New Roman" w:eastAsia="Times New Roman" w:hAnsi="Times New Roman" w:cs="Times New Roman"/>
          <w:color w:val="000000"/>
        </w:rPr>
        <w:t xml:space="preserve">Fogarty International Center, National Institutes of Health, Bethesda, Maryland; </w:t>
      </w:r>
      <w:r w:rsidRPr="001C4D18">
        <w:rPr>
          <w:rFonts w:ascii="Times New Roman" w:eastAsia="Times New Roman" w:hAnsi="Times New Roman" w:cs="Times New Roman"/>
          <w:color w:val="000000"/>
          <w:vertAlign w:val="superscript"/>
        </w:rPr>
        <w:t>6</w:t>
      </w:r>
      <w:r w:rsidRPr="001C4D18">
        <w:rPr>
          <w:rFonts w:ascii="Times New Roman" w:eastAsia="Times New Roman" w:hAnsi="Times New Roman" w:cs="Times New Roman"/>
          <w:color w:val="000000"/>
        </w:rPr>
        <w:t xml:space="preserve">University of </w:t>
      </w:r>
      <w:r w:rsidRPr="001C4D18">
        <w:rPr>
          <w:rFonts w:ascii="Times New Roman" w:eastAsia="Times New Roman" w:hAnsi="Times New Roman" w:cs="Times New Roman"/>
          <w:color w:val="000000"/>
        </w:rPr>
        <w:lastRenderedPageBreak/>
        <w:t xml:space="preserve">Massachusetts Amherst, Amherst, Massachusetts; </w:t>
      </w:r>
      <w:r w:rsidRPr="001C4D18">
        <w:rPr>
          <w:rFonts w:ascii="Times New Roman" w:eastAsia="Times New Roman" w:hAnsi="Times New Roman" w:cs="Times New Roman"/>
          <w:color w:val="000000"/>
          <w:vertAlign w:val="superscript"/>
        </w:rPr>
        <w:t>7</w:t>
      </w:r>
      <w:r w:rsidRPr="001C4D18">
        <w:rPr>
          <w:rFonts w:ascii="Times New Roman" w:eastAsia="Times New Roman" w:hAnsi="Times New Roman" w:cs="Times New Roman"/>
          <w:color w:val="000000"/>
        </w:rPr>
        <w:t xml:space="preserve">Northeastern University, Boston, Massachusetts; </w:t>
      </w:r>
      <w:r w:rsidRPr="001C4D18">
        <w:rPr>
          <w:rFonts w:ascii="Times New Roman" w:eastAsia="Times New Roman" w:hAnsi="Times New Roman" w:cs="Times New Roman"/>
          <w:color w:val="000000"/>
          <w:vertAlign w:val="superscript"/>
        </w:rPr>
        <w:t>8</w:t>
      </w:r>
      <w:r w:rsidRPr="001C4D18">
        <w:rPr>
          <w:rFonts w:ascii="Times New Roman" w:eastAsia="Times New Roman" w:hAnsi="Times New Roman" w:cs="Times New Roman"/>
          <w:color w:val="000000"/>
        </w:rPr>
        <w:t xml:space="preserve">North Carolina State University, Raleigh, North Carolina; </w:t>
      </w:r>
      <w:r w:rsidRPr="001C4D18">
        <w:rPr>
          <w:rFonts w:ascii="Times New Roman" w:eastAsia="Times New Roman" w:hAnsi="Times New Roman" w:cs="Times New Roman"/>
          <w:color w:val="000000"/>
          <w:vertAlign w:val="superscript"/>
        </w:rPr>
        <w:t>9</w:t>
      </w:r>
      <w:r w:rsidRPr="001C4D18">
        <w:rPr>
          <w:rFonts w:ascii="Times New Roman" w:eastAsia="Times New Roman" w:hAnsi="Times New Roman" w:cs="Times New Roman"/>
          <w:color w:val="000000"/>
        </w:rPr>
        <w:t xml:space="preserve">University of Notre Dame, Notre Dame, Indiana; </w:t>
      </w:r>
      <w:r w:rsidRPr="001C4D18">
        <w:rPr>
          <w:rFonts w:ascii="Times New Roman" w:eastAsia="Times New Roman" w:hAnsi="Times New Roman" w:cs="Times New Roman"/>
          <w:color w:val="000000"/>
          <w:vertAlign w:val="superscript"/>
        </w:rPr>
        <w:t>10</w:t>
      </w:r>
      <w:r w:rsidRPr="001C4D18">
        <w:rPr>
          <w:rFonts w:ascii="Times New Roman" w:eastAsia="Times New Roman" w:hAnsi="Times New Roman" w:cs="Times New Roman"/>
          <w:color w:val="000000"/>
        </w:rPr>
        <w:t xml:space="preserve">University of North Carolina at Charlotte, Charlotte, North Carolina; </w:t>
      </w:r>
      <w:r w:rsidRPr="001C4D18">
        <w:rPr>
          <w:rFonts w:ascii="Times New Roman" w:eastAsia="Times New Roman" w:hAnsi="Times New Roman" w:cs="Times New Roman"/>
          <w:color w:val="000000"/>
          <w:vertAlign w:val="superscript"/>
        </w:rPr>
        <w:t>11</w:t>
      </w:r>
      <w:r w:rsidRPr="001C4D18">
        <w:rPr>
          <w:rFonts w:ascii="Times New Roman" w:eastAsia="Times New Roman" w:hAnsi="Times New Roman" w:cs="Times New Roman"/>
          <w:color w:val="000000"/>
        </w:rPr>
        <w:t xml:space="preserve">University of Southern California, Los Angeles, California; </w:t>
      </w:r>
      <w:r w:rsidRPr="001C4D18">
        <w:rPr>
          <w:rFonts w:ascii="Times New Roman" w:eastAsia="Times New Roman" w:hAnsi="Times New Roman" w:cs="Times New Roman"/>
          <w:color w:val="000000"/>
          <w:vertAlign w:val="superscript"/>
        </w:rPr>
        <w:t>12</w:t>
      </w:r>
      <w:r w:rsidRPr="001C4D18">
        <w:rPr>
          <w:rFonts w:ascii="Times New Roman" w:eastAsia="Times New Roman" w:hAnsi="Times New Roman" w:cs="Times New Roman"/>
          <w:color w:val="000000"/>
        </w:rPr>
        <w:t xml:space="preserve">University of Texas at Austin, Austin, Texas; </w:t>
      </w:r>
      <w:r w:rsidRPr="001C4D18">
        <w:rPr>
          <w:rFonts w:ascii="Times New Roman" w:eastAsia="Times New Roman" w:hAnsi="Times New Roman" w:cs="Times New Roman"/>
          <w:color w:val="000000"/>
          <w:vertAlign w:val="superscript"/>
        </w:rPr>
        <w:t>13</w:t>
      </w:r>
      <w:r w:rsidRPr="001C4D18">
        <w:rPr>
          <w:rFonts w:ascii="Times New Roman" w:eastAsia="Times New Roman" w:hAnsi="Times New Roman" w:cs="Times New Roman"/>
          <w:color w:val="000000"/>
        </w:rPr>
        <w:t xml:space="preserve">University of Texas at El Paso, El Paso, Texas; </w:t>
      </w:r>
      <w:r w:rsidRPr="001C4D18">
        <w:rPr>
          <w:rFonts w:ascii="Times New Roman" w:eastAsia="Times New Roman" w:hAnsi="Times New Roman" w:cs="Times New Roman"/>
          <w:color w:val="000000"/>
          <w:vertAlign w:val="superscript"/>
        </w:rPr>
        <w:t>14</w:t>
      </w:r>
      <w:r w:rsidRPr="001C4D18">
        <w:rPr>
          <w:rFonts w:ascii="Times New Roman" w:eastAsia="Times New Roman" w:hAnsi="Times New Roman" w:cs="Times New Roman"/>
          <w:color w:val="000000"/>
        </w:rPr>
        <w:t xml:space="preserve">University of Georgia, Athens, Georgia; </w:t>
      </w:r>
      <w:r w:rsidRPr="001C4D18">
        <w:rPr>
          <w:rFonts w:ascii="Times New Roman" w:eastAsia="Times New Roman" w:hAnsi="Times New Roman" w:cs="Times New Roman"/>
          <w:color w:val="000000"/>
          <w:vertAlign w:val="superscript"/>
        </w:rPr>
        <w:t>15</w:t>
      </w:r>
      <w:r w:rsidRPr="001C4D18">
        <w:rPr>
          <w:rFonts w:ascii="Times New Roman" w:eastAsia="Times New Roman" w:hAnsi="Times New Roman" w:cs="Times New Roman"/>
          <w:color w:val="000000"/>
        </w:rPr>
        <w:t xml:space="preserve">University of Virginia, Charlottesville, Virginia; </w:t>
      </w:r>
      <w:r w:rsidRPr="001C4D18">
        <w:rPr>
          <w:rFonts w:ascii="Times New Roman" w:eastAsia="Times New Roman" w:hAnsi="Times New Roman" w:cs="Times New Roman"/>
          <w:color w:val="000000"/>
          <w:vertAlign w:val="superscript"/>
        </w:rPr>
        <w:t>16</w:t>
      </w:r>
      <w:r w:rsidRPr="001C4D18">
        <w:rPr>
          <w:rFonts w:ascii="Times New Roman" w:eastAsia="Times New Roman" w:hAnsi="Times New Roman" w:cs="Times New Roman"/>
          <w:color w:val="000000"/>
        </w:rPr>
        <w:t>U.S. Geological Survey, Laurel, Maryland</w:t>
      </w:r>
    </w:p>
    <w:p w14:paraId="678D8CEA" w14:textId="77777777" w:rsidR="001C4D18" w:rsidRPr="001C4D18" w:rsidRDefault="001C4D18" w:rsidP="00B149ED">
      <w:pPr>
        <w:spacing w:line="480" w:lineRule="auto"/>
        <w:rPr>
          <w:rFonts w:ascii="Times New Roman" w:eastAsia="Times New Roman" w:hAnsi="Times New Roman" w:cs="Times New Roman"/>
        </w:rPr>
      </w:pPr>
    </w:p>
    <w:p w14:paraId="3C63CAAB"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color w:val="000000"/>
        </w:rPr>
        <w:t>* Correspondence to: Justin Lessler (</w:t>
      </w:r>
      <w:hyperlink r:id="rId5" w:history="1">
        <w:r w:rsidRPr="001C4D18">
          <w:rPr>
            <w:rFonts w:ascii="Times New Roman" w:eastAsia="Times New Roman" w:hAnsi="Times New Roman" w:cs="Times New Roman"/>
            <w:color w:val="1155CC"/>
          </w:rPr>
          <w:t>jlessler@unc.edu</w:t>
        </w:r>
      </w:hyperlink>
      <w:r w:rsidRPr="001C4D18">
        <w:rPr>
          <w:rFonts w:ascii="Times New Roman" w:eastAsia="Times New Roman" w:hAnsi="Times New Roman" w:cs="Times New Roman"/>
          <w:color w:val="000000"/>
        </w:rPr>
        <w:t>), University of North Carolina at Chapel Hill, Chapel Hill, North Carolina</w:t>
      </w:r>
    </w:p>
    <w:p w14:paraId="5B62DDE8" w14:textId="77777777" w:rsidR="001C4D18" w:rsidRPr="001C4D18" w:rsidRDefault="001C4D18" w:rsidP="00B149ED">
      <w:pPr>
        <w:spacing w:line="480" w:lineRule="auto"/>
        <w:rPr>
          <w:rFonts w:ascii="Times New Roman" w:eastAsia="Times New Roman" w:hAnsi="Times New Roman" w:cs="Times New Roman"/>
        </w:rPr>
      </w:pPr>
    </w:p>
    <w:p w14:paraId="7AE7FAAC"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color w:val="000000"/>
        </w:rPr>
        <w:t>Word count</w:t>
      </w:r>
      <w:r w:rsidRPr="001C4D18">
        <w:rPr>
          <w:rFonts w:ascii="Times New Roman" w:eastAsia="Times New Roman" w:hAnsi="Times New Roman" w:cs="Times New Roman"/>
          <w:color w:val="000000"/>
        </w:rPr>
        <w:t>: 2160</w:t>
      </w:r>
    </w:p>
    <w:p w14:paraId="3088A02E" w14:textId="77777777" w:rsidR="001C4D18" w:rsidRPr="001C4D18" w:rsidRDefault="001C4D18" w:rsidP="00B149ED">
      <w:pPr>
        <w:spacing w:line="480" w:lineRule="auto"/>
        <w:rPr>
          <w:rFonts w:ascii="Times New Roman" w:eastAsia="Times New Roman" w:hAnsi="Times New Roman" w:cs="Times New Roman"/>
        </w:rPr>
      </w:pPr>
    </w:p>
    <w:p w14:paraId="594227F3" w14:textId="77777777" w:rsidR="001C4D18" w:rsidRPr="00B149ED" w:rsidRDefault="001C4D18" w:rsidP="00B149ED">
      <w:pPr>
        <w:spacing w:line="480" w:lineRule="auto"/>
        <w:rPr>
          <w:rFonts w:ascii="Times New Roman" w:hAnsi="Times New Roman" w:cs="Times New Roman"/>
        </w:rPr>
        <w:sectPr w:rsidR="001C4D18" w:rsidRPr="00B149ED">
          <w:pgSz w:w="12240" w:h="15840"/>
          <w:pgMar w:top="1440" w:right="1440" w:bottom="1440" w:left="1440" w:header="708" w:footer="708" w:gutter="0"/>
          <w:cols w:space="708"/>
          <w:docGrid w:linePitch="360"/>
        </w:sectPr>
      </w:pPr>
    </w:p>
    <w:p w14:paraId="22A8FF19"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color w:val="000000"/>
          <w:sz w:val="30"/>
          <w:szCs w:val="30"/>
        </w:rPr>
        <w:lastRenderedPageBreak/>
        <w:t>Key points</w:t>
      </w:r>
    </w:p>
    <w:p w14:paraId="484F2332"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color w:val="000000"/>
        </w:rPr>
        <w:t xml:space="preserve">Question: </w:t>
      </w:r>
      <w:r w:rsidRPr="001C4D18">
        <w:rPr>
          <w:rFonts w:ascii="Times New Roman" w:eastAsia="Times New Roman" w:hAnsi="Times New Roman" w:cs="Times New Roman"/>
          <w:color w:val="000000"/>
        </w:rPr>
        <w:t>What is the likely impact of COVID-19 from April 2023–April 2025 and to what extent can vaccination reduce hospitalizations and deaths?</w:t>
      </w:r>
    </w:p>
    <w:p w14:paraId="1F060916"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color w:val="000000"/>
        </w:rPr>
        <w:t xml:space="preserve">Findings: </w:t>
      </w:r>
      <w:r w:rsidRPr="001C4D18">
        <w:rPr>
          <w:rFonts w:ascii="Times New Roman" w:eastAsia="Times New Roman" w:hAnsi="Times New Roman" w:cs="Times New Roman"/>
          <w:color w:val="000000"/>
        </w:rPr>
        <w:t>Under plausible assumptions about viral evolution and waning immunity, COVID-19 will likely cause annual epidemics peaking in November–January over the two-year projection period. Though significant, hospitalizations and deaths are unlikely to reach levels seen in previous winters. The projected health impacts of COVID-19 are reduced by 10–20% through moderate use of reformulated vaccines.</w:t>
      </w:r>
    </w:p>
    <w:p w14:paraId="45975540"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color w:val="000000"/>
        </w:rPr>
        <w:t xml:space="preserve">Meaning: </w:t>
      </w:r>
      <w:r w:rsidRPr="001C4D18">
        <w:rPr>
          <w:rFonts w:ascii="Times New Roman" w:eastAsia="Times New Roman" w:hAnsi="Times New Roman" w:cs="Times New Roman"/>
          <w:color w:val="000000"/>
        </w:rPr>
        <w:t>COVID-19 is projected to remain a significant public health threat. Annual vaccination can reduce morbidity, mortality, and strain on health systems. </w:t>
      </w:r>
    </w:p>
    <w:p w14:paraId="59AE644C" w14:textId="77777777" w:rsidR="001C4D18" w:rsidRPr="001C4D18" w:rsidRDefault="001C4D18" w:rsidP="00B149ED">
      <w:pPr>
        <w:spacing w:line="480" w:lineRule="auto"/>
        <w:rPr>
          <w:rFonts w:ascii="Times New Roman" w:eastAsia="Times New Roman" w:hAnsi="Times New Roman" w:cs="Times New Roman"/>
        </w:rPr>
      </w:pPr>
    </w:p>
    <w:p w14:paraId="124A8E9B"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color w:val="000000"/>
          <w:sz w:val="30"/>
          <w:szCs w:val="30"/>
        </w:rPr>
        <w:t>Abstract</w:t>
      </w:r>
    </w:p>
    <w:p w14:paraId="514D7F5D"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color w:val="000000"/>
        </w:rPr>
        <w:t xml:space="preserve">Importance: </w:t>
      </w:r>
      <w:r w:rsidRPr="001C4D18">
        <w:rPr>
          <w:rFonts w:ascii="Times New Roman" w:eastAsia="Times New Roman" w:hAnsi="Times New Roman" w:cs="Times New Roman"/>
          <w:color w:val="000000"/>
        </w:rPr>
        <w:t>COVID-19 continues to cause significant hospitalizations and deaths in the United States. Its continued burden and the impact of annually reformulated vaccines remain unclear.</w:t>
      </w:r>
    </w:p>
    <w:p w14:paraId="251BEF53"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color w:val="000000"/>
        </w:rPr>
        <w:t xml:space="preserve">Objective: </w:t>
      </w:r>
      <w:r w:rsidRPr="001C4D18">
        <w:rPr>
          <w:rFonts w:ascii="Times New Roman" w:eastAsia="Times New Roman" w:hAnsi="Times New Roman" w:cs="Times New Roman"/>
          <w:color w:val="000000"/>
        </w:rPr>
        <w:t>Project COVID-19 hospitalizations and deaths from April 2023–April 2025 under two plausible assumptions about immune escape (20% per year and 50% per year) and three possible recommendations for the use of annually reformulated vaccines (no recommendation, vaccination for those aged 65+, vaccination for all eligible groups). </w:t>
      </w:r>
    </w:p>
    <w:p w14:paraId="3BB90324"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color w:val="000000"/>
        </w:rPr>
        <w:t xml:space="preserve">Design: </w:t>
      </w:r>
      <w:r w:rsidRPr="001C4D18">
        <w:rPr>
          <w:rFonts w:ascii="Times New Roman" w:eastAsia="Times New Roman" w:hAnsi="Times New Roman" w:cs="Times New Roman"/>
          <w:color w:val="000000"/>
        </w:rPr>
        <w:t>The COVID-19 Scenario Modeling Hub solicited projections of COVID-19 hospitalization and deaths between April 15, 2023–April 15, 2025 under six scenarios representing the intersection of considered levels of immune escape and vaccination. State and national projections from eight modeling teams were ensembled to produce projections for each scenario.  </w:t>
      </w:r>
    </w:p>
    <w:p w14:paraId="43BA5A90"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color w:val="000000"/>
        </w:rPr>
        <w:lastRenderedPageBreak/>
        <w:t xml:space="preserve">Setting: </w:t>
      </w:r>
      <w:r w:rsidRPr="001C4D18">
        <w:rPr>
          <w:rFonts w:ascii="Times New Roman" w:eastAsia="Times New Roman" w:hAnsi="Times New Roman" w:cs="Times New Roman"/>
          <w:color w:val="000000"/>
        </w:rPr>
        <w:t>The entire United States. </w:t>
      </w:r>
    </w:p>
    <w:p w14:paraId="5F312206"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color w:val="000000"/>
        </w:rPr>
        <w:t xml:space="preserve">Participants: </w:t>
      </w:r>
      <w:r w:rsidRPr="001C4D18">
        <w:rPr>
          <w:rFonts w:ascii="Times New Roman" w:eastAsia="Times New Roman" w:hAnsi="Times New Roman" w:cs="Times New Roman"/>
          <w:color w:val="000000"/>
        </w:rPr>
        <w:t>None.</w:t>
      </w:r>
    </w:p>
    <w:p w14:paraId="7AF3269A"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color w:val="000000"/>
        </w:rPr>
        <w:t xml:space="preserve">Exposure: </w:t>
      </w:r>
      <w:r w:rsidRPr="001C4D18">
        <w:rPr>
          <w:rFonts w:ascii="Times New Roman" w:eastAsia="Times New Roman" w:hAnsi="Times New Roman" w:cs="Times New Roman"/>
          <w:color w:val="000000"/>
        </w:rPr>
        <w:t>Annually reformulated vaccines assumed to be 65% effective against strains circulating on June 15 of each year and to become available on September 1. Age and state specific coverage in recommended groups was assumed to match that seen for the first (fall 2021) COVID-19 booster.</w:t>
      </w:r>
    </w:p>
    <w:p w14:paraId="5D1CEDC3"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color w:val="000000"/>
        </w:rPr>
        <w:t xml:space="preserve">Main outcomes and measures: </w:t>
      </w:r>
      <w:r w:rsidRPr="001C4D18">
        <w:rPr>
          <w:rFonts w:ascii="Times New Roman" w:eastAsia="Times New Roman" w:hAnsi="Times New Roman" w:cs="Times New Roman"/>
          <w:color w:val="000000"/>
        </w:rPr>
        <w:t>Ensemble estimates of weekly and cumulative COVID-19 hospitalizations and deaths. Expected relative and absolute reductions in hospitalizations and deaths due to vaccination over the projection period. </w:t>
      </w:r>
    </w:p>
    <w:p w14:paraId="39DA2995"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color w:val="000000"/>
        </w:rPr>
        <w:t xml:space="preserve">Results: </w:t>
      </w:r>
      <w:r w:rsidRPr="001C4D18">
        <w:rPr>
          <w:rFonts w:ascii="Times New Roman" w:eastAsia="Times New Roman" w:hAnsi="Times New Roman" w:cs="Times New Roman"/>
          <w:color w:val="000000"/>
        </w:rPr>
        <w:t>From April 15, 2023–April 15, 2025, COVID-19 is projected to cause annual epidemics peaking November–January. In the most pessimistic scenario (high immune escape, no vaccination recommendation), we project 2.1 million (90% PI: 1,438,000–4,270,000) hospitalizations and 209,000 (90% PI: 139,000–461,000) deaths, exceeding pre-pandemic mortality of influenza and pneumonia. In high immune escape scenarios, vaccination of those aged 65+ results in 230,000 (95% CI: 104,000–355,000) fewer hospitalizations and 33,000 (95% CI: 12,000–54,000) fewer deaths, while vaccination of all eligible individuals results in 431,000 (95% CI: 264,000–598,000) fewer hospitalizations and 49,000 (95% CI: 29,000–69,000) fewer deaths. </w:t>
      </w:r>
    </w:p>
    <w:p w14:paraId="4D2BD80F" w14:textId="75FED8BA" w:rsidR="001C4D18" w:rsidRPr="00B149ED" w:rsidRDefault="001C4D18" w:rsidP="00B149ED">
      <w:pPr>
        <w:spacing w:line="480" w:lineRule="auto"/>
        <w:rPr>
          <w:rFonts w:ascii="Times New Roman" w:eastAsia="Times New Roman" w:hAnsi="Times New Roman" w:cs="Times New Roman"/>
          <w:color w:val="000000"/>
        </w:rPr>
      </w:pPr>
      <w:r w:rsidRPr="00B149ED">
        <w:rPr>
          <w:rFonts w:ascii="Times New Roman" w:eastAsia="Times New Roman" w:hAnsi="Times New Roman" w:cs="Times New Roman"/>
          <w:b/>
          <w:bCs/>
          <w:color w:val="000000"/>
        </w:rPr>
        <w:t xml:space="preserve">Conclusion and Relevance: </w:t>
      </w:r>
      <w:r w:rsidRPr="00B149ED">
        <w:rPr>
          <w:rFonts w:ascii="Times New Roman" w:eastAsia="Times New Roman" w:hAnsi="Times New Roman" w:cs="Times New Roman"/>
          <w:color w:val="000000"/>
        </w:rPr>
        <w:t>COVID-19 is projected to be a significant public health threat over the coming two years. Broad vaccination has the potential to substantially reduce the burden of this disease.</w:t>
      </w:r>
      <w:r w:rsidRPr="00B149ED">
        <w:rPr>
          <w:rFonts w:ascii="Times New Roman" w:eastAsia="Times New Roman" w:hAnsi="Times New Roman" w:cs="Times New Roman"/>
          <w:color w:val="000000"/>
        </w:rPr>
        <w:br w:type="page"/>
      </w:r>
    </w:p>
    <w:p w14:paraId="0E88CFFE"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color w:val="000000"/>
          <w:sz w:val="30"/>
          <w:szCs w:val="30"/>
        </w:rPr>
        <w:lastRenderedPageBreak/>
        <w:t>Main text</w:t>
      </w:r>
    </w:p>
    <w:p w14:paraId="31A00CB4"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color w:val="000000"/>
          <w:sz w:val="28"/>
          <w:szCs w:val="28"/>
        </w:rPr>
        <w:t>Introduction</w:t>
      </w:r>
    </w:p>
    <w:p w14:paraId="64142F87"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color w:val="000000"/>
        </w:rPr>
        <w:t>Three and a half years after the SARS-CoV-2 virus first emerged in Wuhan, China, it seems we have transitioned from confronting COVID-19 as a pandemic emergency to managing it as an endemic, seasonally recurring virus</w:t>
      </w:r>
      <w:hyperlink r:id="rId6" w:history="1">
        <w:r w:rsidRPr="001C4D18">
          <w:rPr>
            <w:rFonts w:ascii="Times New Roman" w:eastAsia="Times New Roman" w:hAnsi="Times New Roman" w:cs="Times New Roman"/>
            <w:color w:val="000000"/>
            <w:vertAlign w:val="superscript"/>
          </w:rPr>
          <w:t>1</w:t>
        </w:r>
      </w:hyperlink>
      <w:r w:rsidRPr="001C4D18">
        <w:rPr>
          <w:rFonts w:ascii="Times New Roman" w:eastAsia="Times New Roman" w:hAnsi="Times New Roman" w:cs="Times New Roman"/>
          <w:color w:val="000000"/>
        </w:rPr>
        <w:t>. While widespread immunity against SARS-CoV-2 has been achieved globally through vaccination and infections</w:t>
      </w:r>
      <w:hyperlink r:id="rId7" w:history="1">
        <w:r w:rsidRPr="001C4D18">
          <w:rPr>
            <w:rFonts w:ascii="Times New Roman" w:eastAsia="Times New Roman" w:hAnsi="Times New Roman" w:cs="Times New Roman"/>
            <w:color w:val="000000"/>
            <w:vertAlign w:val="superscript"/>
          </w:rPr>
          <w:t>2</w:t>
        </w:r>
      </w:hyperlink>
      <w:r w:rsidRPr="001C4D18">
        <w:rPr>
          <w:rFonts w:ascii="Times New Roman" w:eastAsia="Times New Roman" w:hAnsi="Times New Roman" w:cs="Times New Roman"/>
          <w:color w:val="000000"/>
        </w:rPr>
        <w:t>, the continued evolution of the virus causes antigenic changes and raises the potential for recurrent epidemics</w:t>
      </w:r>
      <w:hyperlink r:id="rId8" w:history="1">
        <w:r w:rsidRPr="001C4D18">
          <w:rPr>
            <w:rFonts w:ascii="Times New Roman" w:eastAsia="Times New Roman" w:hAnsi="Times New Roman" w:cs="Times New Roman"/>
            <w:color w:val="000000"/>
            <w:vertAlign w:val="superscript"/>
          </w:rPr>
          <w:t>3,4</w:t>
        </w:r>
      </w:hyperlink>
      <w:r w:rsidRPr="001C4D18">
        <w:rPr>
          <w:rFonts w:ascii="Times New Roman" w:eastAsia="Times New Roman" w:hAnsi="Times New Roman" w:cs="Times New Roman"/>
          <w:color w:val="000000"/>
        </w:rPr>
        <w:t>. Current evidence suggests that both patterns of human contact and environmental factors contribute to seasonality in the intensity of SARS-CoV-2 transmission</w:t>
      </w:r>
      <w:hyperlink r:id="rId9" w:history="1">
        <w:r w:rsidRPr="001C4D18">
          <w:rPr>
            <w:rFonts w:ascii="Times New Roman" w:eastAsia="Times New Roman" w:hAnsi="Times New Roman" w:cs="Times New Roman"/>
            <w:color w:val="000000"/>
            <w:vertAlign w:val="superscript"/>
          </w:rPr>
          <w:t>5–7</w:t>
        </w:r>
      </w:hyperlink>
      <w:r w:rsidRPr="001C4D18">
        <w:rPr>
          <w:rFonts w:ascii="Times New Roman" w:eastAsia="Times New Roman" w:hAnsi="Times New Roman" w:cs="Times New Roman"/>
          <w:color w:val="000000"/>
        </w:rPr>
        <w:t>. Combined, seasonality and ongoing “antigenic drift” of SARS-CoV-2 make it highly likely that the virus will pose a persistent threat to public health for the foreseeable future. </w:t>
      </w:r>
    </w:p>
    <w:p w14:paraId="75703B96" w14:textId="77777777" w:rsidR="001C4D18" w:rsidRPr="001C4D18" w:rsidRDefault="001C4D18" w:rsidP="00B149ED">
      <w:pPr>
        <w:spacing w:line="480" w:lineRule="auto"/>
        <w:rPr>
          <w:rFonts w:ascii="Times New Roman" w:eastAsia="Times New Roman" w:hAnsi="Times New Roman" w:cs="Times New Roman"/>
        </w:rPr>
      </w:pPr>
    </w:p>
    <w:p w14:paraId="6DAAD8C2"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color w:val="000000"/>
        </w:rPr>
        <w:t>Going forward, one of the main tools for mitigating the impact of annual COVID-19 epidemics will be vaccination. As with influenza</w:t>
      </w:r>
      <w:hyperlink r:id="rId10" w:history="1">
        <w:r w:rsidRPr="001C4D18">
          <w:rPr>
            <w:rFonts w:ascii="Times New Roman" w:eastAsia="Times New Roman" w:hAnsi="Times New Roman" w:cs="Times New Roman"/>
            <w:color w:val="000000"/>
            <w:vertAlign w:val="superscript"/>
          </w:rPr>
          <w:t>8,9</w:t>
        </w:r>
      </w:hyperlink>
      <w:r w:rsidRPr="001C4D18">
        <w:rPr>
          <w:rFonts w:ascii="Times New Roman" w:eastAsia="Times New Roman" w:hAnsi="Times New Roman" w:cs="Times New Roman"/>
          <w:color w:val="000000"/>
        </w:rPr>
        <w:t>, continued antigenic drift of SARS-CoV-2 and intrinsic waning of the protection offered by previous vaccinations and infections (i.e., loss of immunity due to waning of immune protection, independent of the evolution of the virus) means regular re-vaccination with reformulated SARS-CoV-2 vaccines will be needed to mitigate the virus’s impact</w:t>
      </w:r>
      <w:hyperlink r:id="rId11" w:history="1">
        <w:r w:rsidRPr="001C4D18">
          <w:rPr>
            <w:rFonts w:ascii="Times New Roman" w:eastAsia="Times New Roman" w:hAnsi="Times New Roman" w:cs="Times New Roman"/>
            <w:color w:val="000000"/>
            <w:vertAlign w:val="superscript"/>
          </w:rPr>
          <w:t>10</w:t>
        </w:r>
      </w:hyperlink>
      <w:r w:rsidRPr="001C4D18">
        <w:rPr>
          <w:rFonts w:ascii="Times New Roman" w:eastAsia="Times New Roman" w:hAnsi="Times New Roman" w:cs="Times New Roman"/>
          <w:color w:val="000000"/>
        </w:rPr>
        <w:t>. However, legitimate questions exist about how effective annual vaccination campaigns can be, given SARS-CoV-2’s rapid evolution, and what age ranges should be targeted, given the concentration of severe COVID-19 outcomes in older populations</w:t>
      </w:r>
      <w:hyperlink r:id="rId12" w:history="1">
        <w:r w:rsidRPr="001C4D18">
          <w:rPr>
            <w:rFonts w:ascii="Times New Roman" w:eastAsia="Times New Roman" w:hAnsi="Times New Roman" w:cs="Times New Roman"/>
            <w:color w:val="000000"/>
            <w:vertAlign w:val="superscript"/>
          </w:rPr>
          <w:t>11</w:t>
        </w:r>
      </w:hyperlink>
      <w:r w:rsidRPr="001C4D18">
        <w:rPr>
          <w:rFonts w:ascii="Times New Roman" w:eastAsia="Times New Roman" w:hAnsi="Times New Roman" w:cs="Times New Roman"/>
          <w:color w:val="000000"/>
        </w:rPr>
        <w:t>. Hence, well-grounded projections of COVID-19’s impact under different vaccination scenarios are needed to help inform future vaccination policy.</w:t>
      </w:r>
    </w:p>
    <w:p w14:paraId="4E4A80A3" w14:textId="77777777" w:rsidR="001C4D18" w:rsidRPr="001C4D18" w:rsidRDefault="001C4D18" w:rsidP="00B149ED">
      <w:pPr>
        <w:spacing w:line="480" w:lineRule="auto"/>
        <w:rPr>
          <w:rFonts w:ascii="Times New Roman" w:eastAsia="Times New Roman" w:hAnsi="Times New Roman" w:cs="Times New Roman"/>
        </w:rPr>
      </w:pPr>
    </w:p>
    <w:p w14:paraId="1B35D84A"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color w:val="000000"/>
        </w:rPr>
        <w:lastRenderedPageBreak/>
        <w:t>The U.S. COVID-19 Scenario Modeling Hub (SMH) is a long-standing multi-team modeling effort that aims to project how the COVID-19 epidemic is likely to unfold in the mid- to long-term under various conditions</w:t>
      </w:r>
      <w:hyperlink r:id="rId13" w:history="1">
        <w:r w:rsidRPr="001C4D18">
          <w:rPr>
            <w:rFonts w:ascii="Times New Roman" w:eastAsia="Times New Roman" w:hAnsi="Times New Roman" w:cs="Times New Roman"/>
            <w:color w:val="000000"/>
            <w:vertAlign w:val="superscript"/>
          </w:rPr>
          <w:t>12,13</w:t>
        </w:r>
      </w:hyperlink>
      <w:r w:rsidRPr="001C4D18">
        <w:rPr>
          <w:rFonts w:ascii="Times New Roman" w:eastAsia="Times New Roman" w:hAnsi="Times New Roman" w:cs="Times New Roman"/>
          <w:color w:val="000000"/>
        </w:rPr>
        <w:t>. These planning scenarios contrast various interventional strategies, characteristics of future viral variants, and other epidemiological or behavioral uncertainties, to provide projections of COVID-19 hospitalizations and deaths under each set of assumptions. By summarizing the results of multiple teams working on the same set of scenarios, the SMH takes advantage of the proven increased reliability of ensemble-based predictions over individual models</w:t>
      </w:r>
      <w:hyperlink r:id="rId14" w:history="1">
        <w:r w:rsidRPr="001C4D18">
          <w:rPr>
            <w:rFonts w:ascii="Times New Roman" w:eastAsia="Times New Roman" w:hAnsi="Times New Roman" w:cs="Times New Roman"/>
            <w:color w:val="000000"/>
            <w:vertAlign w:val="superscript"/>
          </w:rPr>
          <w:t>14</w:t>
        </w:r>
      </w:hyperlink>
      <w:r w:rsidRPr="001C4D18">
        <w:rPr>
          <w:rFonts w:ascii="Times New Roman" w:eastAsia="Times New Roman" w:hAnsi="Times New Roman" w:cs="Times New Roman"/>
          <w:color w:val="000000"/>
        </w:rPr>
        <w:t>. Ensemble approaches have proven useful in multiple fields and across pathogens to inform public health policy, situational awareness, and individual decision-making</w:t>
      </w:r>
      <w:hyperlink r:id="rId15" w:history="1">
        <w:r w:rsidRPr="001C4D18">
          <w:rPr>
            <w:rFonts w:ascii="Times New Roman" w:eastAsia="Times New Roman" w:hAnsi="Times New Roman" w:cs="Times New Roman"/>
            <w:color w:val="000000"/>
            <w:vertAlign w:val="superscript"/>
          </w:rPr>
          <w:t>12</w:t>
        </w:r>
      </w:hyperlink>
      <w:r w:rsidRPr="001C4D18">
        <w:rPr>
          <w:rFonts w:ascii="Times New Roman" w:eastAsia="Times New Roman" w:hAnsi="Times New Roman" w:cs="Times New Roman"/>
          <w:color w:val="000000"/>
        </w:rPr>
        <w:t>.</w:t>
      </w:r>
    </w:p>
    <w:p w14:paraId="7BB75802" w14:textId="77777777" w:rsidR="001C4D18" w:rsidRPr="001C4D18" w:rsidRDefault="001C4D18" w:rsidP="00B149ED">
      <w:pPr>
        <w:spacing w:line="480" w:lineRule="auto"/>
        <w:rPr>
          <w:rFonts w:ascii="Times New Roman" w:eastAsia="Times New Roman" w:hAnsi="Times New Roman" w:cs="Times New Roman"/>
        </w:rPr>
      </w:pPr>
    </w:p>
    <w:p w14:paraId="43B84FB8"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color w:val="000000"/>
        </w:rPr>
        <w:t>Here, we present the results of applying the SMH approach to project the likely course of the COVID-19 epidemic in the United States over a two-year period (April 15, 2023–April 15, 2025) under different assumptions about the average speed of antigenic drift and possible recommendations for the use of reformulated annual COVID-19 vaccines. </w:t>
      </w:r>
    </w:p>
    <w:p w14:paraId="10D71D97" w14:textId="77777777" w:rsidR="001C4D18" w:rsidRPr="001C4D18" w:rsidRDefault="001C4D18" w:rsidP="00B149ED">
      <w:pPr>
        <w:spacing w:line="480" w:lineRule="auto"/>
        <w:rPr>
          <w:rFonts w:ascii="Times New Roman" w:eastAsia="Times New Roman" w:hAnsi="Times New Roman" w:cs="Times New Roman"/>
        </w:rPr>
      </w:pPr>
    </w:p>
    <w:p w14:paraId="2796D1DE"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color w:val="000000"/>
          <w:sz w:val="28"/>
          <w:szCs w:val="28"/>
        </w:rPr>
        <w:t>Methods</w:t>
      </w:r>
    </w:p>
    <w:p w14:paraId="5FFE0B56"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color w:val="000000"/>
        </w:rPr>
        <w:t>To estimate the potential impact of vaccination on COVID-19 hospitalizations and deaths, we invited multiple teams in an open call to provide two years of projections for six scenarios within the SMH framework</w:t>
      </w:r>
      <w:hyperlink r:id="rId16" w:history="1">
        <w:r w:rsidRPr="001C4D18">
          <w:rPr>
            <w:rFonts w:ascii="Times New Roman" w:eastAsia="Times New Roman" w:hAnsi="Times New Roman" w:cs="Times New Roman"/>
            <w:color w:val="000000"/>
            <w:vertAlign w:val="superscript"/>
          </w:rPr>
          <w:t>13,14</w:t>
        </w:r>
      </w:hyperlink>
      <w:r w:rsidRPr="001C4D18">
        <w:rPr>
          <w:rFonts w:ascii="Times New Roman" w:eastAsia="Times New Roman" w:hAnsi="Times New Roman" w:cs="Times New Roman"/>
          <w:color w:val="000000"/>
        </w:rPr>
        <w:t>. Teams had broad discretion in the details of model implementation within scenario definitions (see below). Individual team projections were combined to produce ensemble projections for each scenario as well as an ensemble estimate of the expected impact of vaccination. </w:t>
      </w:r>
    </w:p>
    <w:p w14:paraId="3005CC58" w14:textId="77777777" w:rsidR="001C4D18" w:rsidRPr="001C4D18" w:rsidRDefault="001C4D18" w:rsidP="00B149ED">
      <w:pPr>
        <w:spacing w:line="480" w:lineRule="auto"/>
        <w:rPr>
          <w:rFonts w:ascii="Times New Roman" w:eastAsia="Times New Roman" w:hAnsi="Times New Roman" w:cs="Times New Roman"/>
        </w:rPr>
      </w:pPr>
    </w:p>
    <w:p w14:paraId="697D073C"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i/>
          <w:iCs/>
          <w:color w:val="000000"/>
        </w:rPr>
        <w:t>Scenario definitions </w:t>
      </w:r>
    </w:p>
    <w:p w14:paraId="7C8B7CA2"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color w:val="000000"/>
        </w:rPr>
        <w:t>Six scenarios were created representing the intersection of two axes: one representing the average speed of antigenic drift (i.e., immune escape) over the two-year projection period, and the second representing differing assumptions about recommendations for, and uptake of, a reformulated SARS-CoV-2 vaccine. The antigenic drift axis consisted of (1) a ‘low immune escape’ scenario, where the SARS-CoV-2 virus evolves away from the immune signature of circulating variants at a rate of 20% per year (e.g., a vaccine with efficacy against symptomatic infection of 65% on June 15, 2023 is assumed to have an efficacy of 0.8</w:t>
      </w:r>
      <w:r w:rsidRPr="001C4D18">
        <w:rPr>
          <w:rFonts w:ascii="Segoe UI Symbol" w:eastAsia="Times New Roman" w:hAnsi="Segoe UI Symbol" w:cs="Segoe UI Symbol"/>
          <w:color w:val="000000"/>
        </w:rPr>
        <w:t>✕</w:t>
      </w:r>
      <w:r w:rsidRPr="001C4D18">
        <w:rPr>
          <w:rFonts w:ascii="Times New Roman" w:eastAsia="Times New Roman" w:hAnsi="Times New Roman" w:cs="Times New Roman"/>
          <w:color w:val="000000"/>
        </w:rPr>
        <w:t>0.65=52% one year later), and (2) a ‘high immune escape’ scenario with an immune escape rate of 50% per year. </w:t>
      </w:r>
    </w:p>
    <w:p w14:paraId="0E394C04" w14:textId="77777777" w:rsidR="001C4D18" w:rsidRPr="001C4D18" w:rsidRDefault="001C4D18" w:rsidP="00B149ED">
      <w:pPr>
        <w:spacing w:line="480" w:lineRule="auto"/>
        <w:rPr>
          <w:rFonts w:ascii="Times New Roman" w:eastAsia="Times New Roman" w:hAnsi="Times New Roman" w:cs="Times New Roman"/>
        </w:rPr>
      </w:pPr>
    </w:p>
    <w:p w14:paraId="4725DDFD"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color w:val="000000"/>
          <w:shd w:val="clear" w:color="auto" w:fill="FFFFFF"/>
        </w:rPr>
        <w:t>The vaccination axis consisted of three levels: (1) no recommendation for annual vaccination with a reformulated vaccine, (2) a recommendation for those aged 65 and above (65+), and (3) a recommendation for all eligible groups. Across all scenarios, the vaccine is assumed to be reformulated to match the predominant variants circulating as of June 15 each year, and to become available to the public on September 1 of the same year. The annual uptake of reformulated vaccines in recommended groups is projected to follow the age group specific (0–17, 18–64, and 65+) uptake patterns observed for the first booster dose in each state (i.e., the first additional dose of vaccines after completing the primary series, authorized in September 2021)</w:t>
      </w:r>
      <w:hyperlink r:id="rId17" w:history="1">
        <w:r w:rsidRPr="001C4D18">
          <w:rPr>
            <w:rFonts w:ascii="Times New Roman" w:eastAsia="Times New Roman" w:hAnsi="Times New Roman" w:cs="Times New Roman"/>
            <w:color w:val="000000"/>
            <w:vertAlign w:val="superscript"/>
          </w:rPr>
          <w:t>15</w:t>
        </w:r>
      </w:hyperlink>
      <w:r w:rsidRPr="001C4D18">
        <w:rPr>
          <w:rFonts w:ascii="Times New Roman" w:eastAsia="Times New Roman" w:hAnsi="Times New Roman" w:cs="Times New Roman"/>
          <w:color w:val="000000"/>
          <w:shd w:val="clear" w:color="auto" w:fill="FFFFFF"/>
        </w:rPr>
        <w:t>. Uptake is assumed to saturate at levels reached one year after the recommendation (full uptake assumptions available on GitHub</w:t>
      </w:r>
      <w:hyperlink r:id="rId18" w:history="1">
        <w:r w:rsidRPr="001C4D18">
          <w:rPr>
            <w:rFonts w:ascii="Times New Roman" w:eastAsia="Times New Roman" w:hAnsi="Times New Roman" w:cs="Times New Roman"/>
            <w:color w:val="000000"/>
            <w:vertAlign w:val="superscript"/>
          </w:rPr>
          <w:t>16</w:t>
        </w:r>
      </w:hyperlink>
      <w:r w:rsidRPr="001C4D18">
        <w:rPr>
          <w:rFonts w:ascii="Times New Roman" w:eastAsia="Times New Roman" w:hAnsi="Times New Roman" w:cs="Times New Roman"/>
          <w:color w:val="000000"/>
        </w:rPr>
        <w:t xml:space="preserve">; corresponding to 65% coverage in ages 0–17, 33% in 18–64, and 9% in 65+ nationally). Reformulated </w:t>
      </w:r>
      <w:r w:rsidRPr="001C4D18">
        <w:rPr>
          <w:rFonts w:ascii="Times New Roman" w:eastAsia="Times New Roman" w:hAnsi="Times New Roman" w:cs="Times New Roman"/>
          <w:color w:val="000000"/>
          <w:shd w:val="clear" w:color="auto" w:fill="FFFFFF"/>
        </w:rPr>
        <w:t xml:space="preserve">vaccines are presumed to have 65% vaccine </w:t>
      </w:r>
      <w:r w:rsidRPr="001C4D18">
        <w:rPr>
          <w:rFonts w:ascii="Times New Roman" w:eastAsia="Times New Roman" w:hAnsi="Times New Roman" w:cs="Times New Roman"/>
          <w:color w:val="000000"/>
          <w:shd w:val="clear" w:color="auto" w:fill="FFFFFF"/>
        </w:rPr>
        <w:lastRenderedPageBreak/>
        <w:t>effectiveness against symptomatic disease at the time of reformulation, with protection declining based on waning immunity and antigenic drift. </w:t>
      </w:r>
    </w:p>
    <w:p w14:paraId="12C21704" w14:textId="77777777" w:rsidR="001C4D18" w:rsidRPr="001C4D18" w:rsidRDefault="001C4D18" w:rsidP="00B149ED">
      <w:pPr>
        <w:spacing w:line="480" w:lineRule="auto"/>
        <w:rPr>
          <w:rFonts w:ascii="Times New Roman" w:eastAsia="Times New Roman" w:hAnsi="Times New Roman" w:cs="Times New Roman"/>
        </w:rPr>
      </w:pPr>
    </w:p>
    <w:p w14:paraId="3AF9C1B4"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color w:val="000000"/>
          <w:shd w:val="clear" w:color="auto" w:fill="FFFFFF"/>
        </w:rPr>
        <w:t>All</w:t>
      </w:r>
      <w:r w:rsidRPr="001C4D18">
        <w:rPr>
          <w:rFonts w:ascii="Times New Roman" w:eastAsia="Times New Roman" w:hAnsi="Times New Roman" w:cs="Times New Roman"/>
          <w:color w:val="000000"/>
        </w:rPr>
        <w:t xml:space="preserve"> contributing models were directed to incorporate waning immunity, with a requirement that the median waning time of protection against infection aligned with the designated range of 3–10 months. Furthermore, the incorporation of SARS-CoV-2 seasonality was required, though teams had discretion in terms of its implementation. Teams were directed not to consider changes in non-pharmaceutical interventions over the projection period. Full scenario details are available at</w:t>
      </w:r>
      <w:hyperlink r:id="rId19" w:history="1">
        <w:r w:rsidRPr="001C4D18">
          <w:rPr>
            <w:rFonts w:ascii="Times New Roman" w:eastAsia="Times New Roman" w:hAnsi="Times New Roman" w:cs="Times New Roman"/>
            <w:color w:val="000000"/>
            <w:vertAlign w:val="superscript"/>
          </w:rPr>
          <w:t>16</w:t>
        </w:r>
      </w:hyperlink>
      <w:r w:rsidRPr="001C4D18">
        <w:rPr>
          <w:rFonts w:ascii="Times New Roman" w:eastAsia="Times New Roman" w:hAnsi="Times New Roman" w:cs="Times New Roman"/>
          <w:color w:val="000000"/>
        </w:rPr>
        <w:t>. </w:t>
      </w:r>
    </w:p>
    <w:p w14:paraId="1A88FAA6" w14:textId="77777777" w:rsidR="001C4D18" w:rsidRPr="001C4D18" w:rsidRDefault="001C4D18" w:rsidP="00B149ED">
      <w:pPr>
        <w:spacing w:line="480" w:lineRule="auto"/>
        <w:rPr>
          <w:rFonts w:ascii="Times New Roman" w:eastAsia="Times New Roman" w:hAnsi="Times New Roman" w:cs="Times New Roman"/>
        </w:rPr>
      </w:pPr>
    </w:p>
    <w:p w14:paraId="14046722"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i/>
          <w:iCs/>
          <w:color w:val="000000"/>
        </w:rPr>
        <w:t>Ensemble projections</w:t>
      </w:r>
    </w:p>
    <w:p w14:paraId="07F53901"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color w:val="000000"/>
        </w:rPr>
        <w:t>Eight different modeling teams contributed projections of weekly incident and cumulative COVID-19 hospitalizations and deaths for April 15, 2023–April 15, 2025 for all states and at the national level (one additional team provided projections for only North Carolina). Each team provided up to 100 representative epidemic trajectories for each scenario and outcome. Trajectories were used to generate a probability distribution of incident outcomes each week. Distributions at each week were combined using the trimmed-linear opinion pool method (LOP) to create ensemble projections</w:t>
      </w:r>
      <w:hyperlink r:id="rId20" w:history="1">
        <w:r w:rsidRPr="001C4D18">
          <w:rPr>
            <w:rFonts w:ascii="Times New Roman" w:eastAsia="Times New Roman" w:hAnsi="Times New Roman" w:cs="Times New Roman"/>
            <w:color w:val="000000"/>
            <w:vertAlign w:val="superscript"/>
          </w:rPr>
          <w:t>14,17–19</w:t>
        </w:r>
      </w:hyperlink>
      <w:r w:rsidRPr="001C4D18">
        <w:rPr>
          <w:rFonts w:ascii="Times New Roman" w:eastAsia="Times New Roman" w:hAnsi="Times New Roman" w:cs="Times New Roman"/>
          <w:color w:val="000000"/>
        </w:rPr>
        <w:t>. All reported numbers for incident and cumulative deaths and hospitalizations, and associated projection intervals (PIs), come from this ensemble. </w:t>
      </w:r>
    </w:p>
    <w:p w14:paraId="659890EF" w14:textId="77777777" w:rsidR="001C4D18" w:rsidRPr="001C4D18" w:rsidRDefault="001C4D18" w:rsidP="00B149ED">
      <w:pPr>
        <w:spacing w:line="480" w:lineRule="auto"/>
        <w:rPr>
          <w:rFonts w:ascii="Times New Roman" w:eastAsia="Times New Roman" w:hAnsi="Times New Roman" w:cs="Times New Roman"/>
        </w:rPr>
      </w:pPr>
    </w:p>
    <w:p w14:paraId="28FD1C28"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color w:val="000000"/>
        </w:rPr>
        <w:t xml:space="preserve">To estimate the expected impact of vaccination, the mean and variance in cumulative deaths and hospitalizations were calculated over the period of interest based on submitted trajectories. Within each model, the expected impact of vaccination was determined by calculating the </w:t>
      </w:r>
      <w:r w:rsidRPr="001C4D18">
        <w:rPr>
          <w:rFonts w:ascii="Times New Roman" w:eastAsia="Times New Roman" w:hAnsi="Times New Roman" w:cs="Times New Roman"/>
          <w:color w:val="000000"/>
        </w:rPr>
        <w:lastRenderedPageBreak/>
        <w:t>difference, or ratio, of projected deaths and hospitalizations between different vaccination scenarios sharing the same rate of immune escape, with variances estimated using the Delta method</w:t>
      </w:r>
      <w:hyperlink r:id="rId21" w:history="1">
        <w:r w:rsidRPr="001C4D18">
          <w:rPr>
            <w:rFonts w:ascii="Times New Roman" w:eastAsia="Times New Roman" w:hAnsi="Times New Roman" w:cs="Times New Roman"/>
            <w:color w:val="000000"/>
            <w:vertAlign w:val="superscript"/>
          </w:rPr>
          <w:t>20</w:t>
        </w:r>
      </w:hyperlink>
      <w:r w:rsidRPr="001C4D18">
        <w:rPr>
          <w:rFonts w:ascii="Times New Roman" w:eastAsia="Times New Roman" w:hAnsi="Times New Roman" w:cs="Times New Roman"/>
          <w:color w:val="000000"/>
        </w:rPr>
        <w:t>. These individual model level estimates were then combined to produce an ensembled estimate of expected vaccine impact and associated confidence intervals (CIs) using standard meta-analysis techniques as implemented in the R package ‘</w:t>
      </w:r>
      <w:r w:rsidRPr="001C4D18">
        <w:rPr>
          <w:rFonts w:ascii="Times New Roman" w:eastAsia="Times New Roman" w:hAnsi="Times New Roman" w:cs="Times New Roman"/>
          <w:i/>
          <w:iCs/>
          <w:color w:val="000000"/>
        </w:rPr>
        <w:t>metafor</w:t>
      </w:r>
      <w:r w:rsidRPr="001C4D18">
        <w:rPr>
          <w:rFonts w:ascii="Times New Roman" w:eastAsia="Times New Roman" w:hAnsi="Times New Roman" w:cs="Times New Roman"/>
          <w:color w:val="000000"/>
        </w:rPr>
        <w:t>’</w:t>
      </w:r>
      <w:hyperlink r:id="rId22" w:history="1">
        <w:r w:rsidRPr="001C4D18">
          <w:rPr>
            <w:rFonts w:ascii="Times New Roman" w:eastAsia="Times New Roman" w:hAnsi="Times New Roman" w:cs="Times New Roman"/>
            <w:color w:val="000000"/>
            <w:vertAlign w:val="superscript"/>
          </w:rPr>
          <w:t>21,22</w:t>
        </w:r>
      </w:hyperlink>
      <w:r w:rsidRPr="001C4D18">
        <w:rPr>
          <w:rFonts w:ascii="Times New Roman" w:eastAsia="Times New Roman" w:hAnsi="Times New Roman" w:cs="Times New Roman"/>
          <w:color w:val="000000"/>
        </w:rPr>
        <w:t>. We note that in estimating vaccine impact we (1) take the vaccine impacts estimated by each model and then ensemble those (rather than looking at the impact in ensemble estimates) and (2) use different techniques in combining vaccine impact estimates aimed at getting expected values and confidence intervals (rather than predictions intervals). Hence, vaccine impact estimates are not directly reproducible by comparing ensemble trajectories. </w:t>
      </w:r>
    </w:p>
    <w:p w14:paraId="112E03A0" w14:textId="77777777" w:rsidR="001C4D18" w:rsidRPr="001C4D18" w:rsidRDefault="001C4D18" w:rsidP="00B149ED">
      <w:pPr>
        <w:spacing w:line="480" w:lineRule="auto"/>
        <w:rPr>
          <w:rFonts w:ascii="Times New Roman" w:eastAsia="Times New Roman" w:hAnsi="Times New Roman" w:cs="Times New Roman"/>
        </w:rPr>
      </w:pPr>
    </w:p>
    <w:p w14:paraId="2D4DC37A"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color w:val="000000"/>
          <w:sz w:val="28"/>
          <w:szCs w:val="28"/>
        </w:rPr>
        <w:t>Results</w:t>
      </w:r>
    </w:p>
    <w:p w14:paraId="1B50FB8F"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color w:val="000000"/>
        </w:rPr>
        <w:t>Based on the ensemble of projections from eight contributing models, we project that between April 15, 2023 and April 15, 2025, the United States will experience annual COVID-19 epidemics peaking between November and January and causing approximately 1 million cumulative hospitalizations and 100,000 cumulative deaths each year (</w:t>
      </w:r>
      <w:r w:rsidRPr="001C4D18">
        <w:rPr>
          <w:rFonts w:ascii="Times New Roman" w:eastAsia="Times New Roman" w:hAnsi="Times New Roman" w:cs="Times New Roman"/>
          <w:b/>
          <w:bCs/>
          <w:color w:val="000000"/>
        </w:rPr>
        <w:t>Figure-1</w:t>
      </w:r>
      <w:r w:rsidRPr="001C4D18">
        <w:rPr>
          <w:rFonts w:ascii="Times New Roman" w:eastAsia="Times New Roman" w:hAnsi="Times New Roman" w:cs="Times New Roman"/>
          <w:color w:val="000000"/>
        </w:rPr>
        <w:t xml:space="preserve"> &amp; </w:t>
      </w:r>
      <w:r w:rsidRPr="001C4D18">
        <w:rPr>
          <w:rFonts w:ascii="Times New Roman" w:eastAsia="Times New Roman" w:hAnsi="Times New Roman" w:cs="Times New Roman"/>
          <w:b/>
          <w:bCs/>
          <w:color w:val="000000"/>
        </w:rPr>
        <w:t>Table-1</w:t>
      </w:r>
      <w:r w:rsidRPr="001C4D18">
        <w:rPr>
          <w:rFonts w:ascii="Times New Roman" w:eastAsia="Times New Roman" w:hAnsi="Times New Roman" w:cs="Times New Roman"/>
          <w:color w:val="000000"/>
        </w:rPr>
        <w:t>). The extent of COVID-19 impact over this period varies significantly by scenario, with 1.4 million (90% PI: 983,000–1,947,000​​) hospitalizations and 130,000 (90% PI: 71,000–201,000) deaths over the two-year projection period in the most optimistic scenario (reformulated vaccines recommended for all individuals, 20% immune escape) and 2.1 million (90% PI: 1,438,000–4,270,000) hospitalizations and 209,000 (90% PI: 139,000–461,000) deaths in the most pessimistic scenario (no recommendation, 50% immune escape) (</w:t>
      </w:r>
      <w:r w:rsidRPr="001C4D18">
        <w:rPr>
          <w:rFonts w:ascii="Times New Roman" w:eastAsia="Times New Roman" w:hAnsi="Times New Roman" w:cs="Times New Roman"/>
          <w:b/>
          <w:bCs/>
          <w:color w:val="000000"/>
        </w:rPr>
        <w:t>Figure-S1</w:t>
      </w:r>
      <w:r w:rsidRPr="001C4D18">
        <w:rPr>
          <w:rFonts w:ascii="Times New Roman" w:eastAsia="Times New Roman" w:hAnsi="Times New Roman" w:cs="Times New Roman"/>
          <w:color w:val="000000"/>
        </w:rPr>
        <w:t xml:space="preserve">). While significant, even in the most pessimistic scenario we project deaths and hospitalizations are unlikely to be as </w:t>
      </w:r>
      <w:r w:rsidRPr="001C4D18">
        <w:rPr>
          <w:rFonts w:ascii="Times New Roman" w:eastAsia="Times New Roman" w:hAnsi="Times New Roman" w:cs="Times New Roman"/>
          <w:color w:val="000000"/>
        </w:rPr>
        <w:lastRenderedPageBreak/>
        <w:t xml:space="preserve">high as the peak weekly hospitalizations seen in the first Omicron wave in early 2022 (150,000 hospitalizations per week). Furthermore, projected weekly hospitalizations are likely to remain at or below CDC-designated medium community transmission levels (10–19 weekly hospitalizations per year) </w:t>
      </w:r>
      <w:hyperlink r:id="rId23" w:history="1">
        <w:r w:rsidRPr="001C4D18">
          <w:rPr>
            <w:rFonts w:ascii="Times New Roman" w:eastAsia="Times New Roman" w:hAnsi="Times New Roman" w:cs="Times New Roman"/>
            <w:color w:val="000000"/>
            <w:vertAlign w:val="superscript"/>
          </w:rPr>
          <w:t>23</w:t>
        </w:r>
      </w:hyperlink>
      <w:r w:rsidRPr="001C4D18">
        <w:rPr>
          <w:rFonts w:ascii="Times New Roman" w:eastAsia="Times New Roman" w:hAnsi="Times New Roman" w:cs="Times New Roman"/>
          <w:color w:val="000000"/>
        </w:rPr>
        <w:t xml:space="preserve"> across all scenarios (</w:t>
      </w:r>
      <w:r w:rsidRPr="001C4D18">
        <w:rPr>
          <w:rFonts w:ascii="Times New Roman" w:eastAsia="Times New Roman" w:hAnsi="Times New Roman" w:cs="Times New Roman"/>
          <w:b/>
          <w:bCs/>
          <w:color w:val="000000"/>
        </w:rPr>
        <w:t>Figure-1</w:t>
      </w:r>
      <w:r w:rsidRPr="001C4D18">
        <w:rPr>
          <w:rFonts w:ascii="Times New Roman" w:eastAsia="Times New Roman" w:hAnsi="Times New Roman" w:cs="Times New Roman"/>
          <w:color w:val="000000"/>
        </w:rPr>
        <w:t>). There is moderate variation between states in peak timing and size of COVID-19 epidemic waves, although most generally follow national trends (</w:t>
      </w:r>
      <w:r w:rsidRPr="001C4D18">
        <w:rPr>
          <w:rFonts w:ascii="Times New Roman" w:eastAsia="Times New Roman" w:hAnsi="Times New Roman" w:cs="Times New Roman"/>
          <w:b/>
          <w:bCs/>
          <w:color w:val="000000"/>
        </w:rPr>
        <w:t>Figures-S2 &amp; S3</w:t>
      </w:r>
      <w:r w:rsidRPr="001C4D18">
        <w:rPr>
          <w:rFonts w:ascii="Times New Roman" w:eastAsia="Times New Roman" w:hAnsi="Times New Roman" w:cs="Times New Roman"/>
          <w:color w:val="000000"/>
        </w:rPr>
        <w:t>).</w:t>
      </w:r>
    </w:p>
    <w:p w14:paraId="0CCF676E" w14:textId="77777777" w:rsidR="001C4D18" w:rsidRPr="001C4D18" w:rsidRDefault="001C4D18" w:rsidP="00B149ED">
      <w:pPr>
        <w:spacing w:line="480" w:lineRule="auto"/>
        <w:rPr>
          <w:rFonts w:ascii="Times New Roman" w:eastAsia="Times New Roman" w:hAnsi="Times New Roman" w:cs="Times New Roman"/>
        </w:rPr>
      </w:pPr>
    </w:p>
    <w:p w14:paraId="0BBFAF92"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color w:val="000000"/>
        </w:rPr>
        <w:t>Ensemble projections indicate that annual vaccination has the potential to substantially reduce both hospitalizations and deaths from COVID-19 (</w:t>
      </w:r>
      <w:r w:rsidRPr="001C4D18">
        <w:rPr>
          <w:rFonts w:ascii="Times New Roman" w:eastAsia="Times New Roman" w:hAnsi="Times New Roman" w:cs="Times New Roman"/>
          <w:b/>
          <w:bCs/>
          <w:color w:val="000000"/>
        </w:rPr>
        <w:t>Figure-2</w:t>
      </w:r>
      <w:r w:rsidRPr="001C4D18">
        <w:rPr>
          <w:rFonts w:ascii="Times New Roman" w:eastAsia="Times New Roman" w:hAnsi="Times New Roman" w:cs="Times New Roman"/>
          <w:color w:val="000000"/>
        </w:rPr>
        <w:t>). In high immune escape scenarios, if vaccination is confined to 65+, and uptake patterns mirror what was seen for the first booster dose, we would expect a reduction in hospitalizations of 8% (95% CI: 5–12) compared to the no vaccination scenario and a reduction in deaths of 13% (95% CI: 7–18). This corresponds to absolute reductions of 230,000 (95% CI: 104,000–355,000) hospitalizations and 33,000 (95% CI: 12,000–54,000) deaths across the entire United States over the two-year projection period. </w:t>
      </w:r>
    </w:p>
    <w:p w14:paraId="53BF27E3" w14:textId="77777777" w:rsidR="001C4D18" w:rsidRPr="001C4D18" w:rsidRDefault="001C4D18" w:rsidP="00B149ED">
      <w:pPr>
        <w:spacing w:line="480" w:lineRule="auto"/>
        <w:rPr>
          <w:rFonts w:ascii="Times New Roman" w:eastAsia="Times New Roman" w:hAnsi="Times New Roman" w:cs="Times New Roman"/>
        </w:rPr>
      </w:pPr>
    </w:p>
    <w:p w14:paraId="676A23FA"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color w:val="000000"/>
        </w:rPr>
        <w:t>Expanding vaccination recommendations to all individuals would lead to substantial additional reductions in deaths and hospitalizations (</w:t>
      </w:r>
      <w:r w:rsidRPr="001C4D18">
        <w:rPr>
          <w:rFonts w:ascii="Times New Roman" w:eastAsia="Times New Roman" w:hAnsi="Times New Roman" w:cs="Times New Roman"/>
          <w:b/>
          <w:bCs/>
          <w:color w:val="000000"/>
        </w:rPr>
        <w:t>Figure-2</w:t>
      </w:r>
      <w:r w:rsidRPr="001C4D18">
        <w:rPr>
          <w:rFonts w:ascii="Times New Roman" w:eastAsia="Times New Roman" w:hAnsi="Times New Roman" w:cs="Times New Roman"/>
          <w:color w:val="000000"/>
        </w:rPr>
        <w:t xml:space="preserve">). Under the assumption that coverage equivalent to the first booster dose is attained, vaccination of all individuals reduces hospitalizations by 9% (95% CI: 5–13, N = 198,000, 95% CI: 120,000–276,000) and deaths by 8% (95% CI: 3–14, N = 16,000, 95% CI: 11,000–22,000) compared to vaccination of 65+ alone in high immune escape scenarios. This corresponds to a total reduction of 17% (95% CI: 12–22, N = 431,000, 95% CI: 264,000–598,000) in hospitalizations and 20% (95% CI: 12–28, N = </w:t>
      </w:r>
      <w:r w:rsidRPr="001C4D18">
        <w:rPr>
          <w:rFonts w:ascii="Times New Roman" w:eastAsia="Times New Roman" w:hAnsi="Times New Roman" w:cs="Times New Roman"/>
          <w:color w:val="000000"/>
        </w:rPr>
        <w:lastRenderedPageBreak/>
        <w:t>49,000, 95% CI: 29,000–69,000) in deaths compared to the no vaccination scenario. Results are similar in low immune escape scenarios. </w:t>
      </w:r>
    </w:p>
    <w:p w14:paraId="6DF318F7" w14:textId="77777777" w:rsidR="001C4D18" w:rsidRPr="001C4D18" w:rsidRDefault="001C4D18" w:rsidP="00B149ED">
      <w:pPr>
        <w:spacing w:line="480" w:lineRule="auto"/>
        <w:rPr>
          <w:rFonts w:ascii="Times New Roman" w:eastAsia="Times New Roman" w:hAnsi="Times New Roman" w:cs="Times New Roman"/>
        </w:rPr>
      </w:pPr>
    </w:p>
    <w:p w14:paraId="2211B232"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color w:val="000000"/>
        </w:rPr>
        <w:t>A significant factor contributing to state-level variation in the projected impact of vaccine recommendations is the assumed uptake level of reformulated vaccines (</w:t>
      </w:r>
      <w:r w:rsidRPr="001C4D18">
        <w:rPr>
          <w:rFonts w:ascii="Times New Roman" w:eastAsia="Times New Roman" w:hAnsi="Times New Roman" w:cs="Times New Roman"/>
          <w:b/>
          <w:bCs/>
          <w:color w:val="000000"/>
        </w:rPr>
        <w:t>Figure-3, S4, and S5</w:t>
      </w:r>
      <w:r w:rsidRPr="001C4D18">
        <w:rPr>
          <w:rFonts w:ascii="Times New Roman" w:eastAsia="Times New Roman" w:hAnsi="Times New Roman" w:cs="Times New Roman"/>
          <w:color w:val="000000"/>
        </w:rPr>
        <w:t>). States with higher coverage among 65+ are anticipated to experience substantial reductions in hospitalizations, exceeding 150 per 100,000 in high immune escape scenarios, if the reformulated vaccines are recommended to all. In contrast, the state with the lowest coverage in 65+, North Carolina, is expected to witness reductions of less than 75 per 100,000.</w:t>
      </w:r>
    </w:p>
    <w:p w14:paraId="1BEDE263" w14:textId="77777777" w:rsidR="001C4D18" w:rsidRPr="001C4D18" w:rsidRDefault="001C4D18" w:rsidP="00B149ED">
      <w:pPr>
        <w:spacing w:line="480" w:lineRule="auto"/>
        <w:rPr>
          <w:rFonts w:ascii="Times New Roman" w:eastAsia="Times New Roman" w:hAnsi="Times New Roman" w:cs="Times New Roman"/>
        </w:rPr>
      </w:pPr>
    </w:p>
    <w:p w14:paraId="1012A89D"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color w:val="000000"/>
          <w:sz w:val="28"/>
          <w:szCs w:val="28"/>
        </w:rPr>
        <w:t>Discussion</w:t>
      </w:r>
    </w:p>
    <w:p w14:paraId="36DB4ECD"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color w:val="000000"/>
        </w:rPr>
        <w:t xml:space="preserve">Based on the ensemble of projections from eight modeling teams for the next two years (April 2023–April 2025), it is expected that COVID-19 will remain a persistent public health threat in the United States for the foreseeable future. Nevertheless, our projections highlight that annual vaccination with reformulated </w:t>
      </w:r>
      <w:r w:rsidRPr="001C4D18">
        <w:rPr>
          <w:rFonts w:ascii="Times New Roman" w:eastAsia="Times New Roman" w:hAnsi="Times New Roman" w:cs="Times New Roman"/>
          <w:color w:val="000000"/>
          <w:shd w:val="clear" w:color="auto" w:fill="FFFFFF"/>
        </w:rPr>
        <w:t>vaccines</w:t>
      </w:r>
      <w:r w:rsidRPr="001C4D18">
        <w:rPr>
          <w:rFonts w:ascii="Times New Roman" w:eastAsia="Times New Roman" w:hAnsi="Times New Roman" w:cs="Times New Roman"/>
          <w:color w:val="000000"/>
        </w:rPr>
        <w:t xml:space="preserve"> can substantially mitigate this burden if coverage reaches levels observed for the first (i.e., fall 2021) COVID-19 booster.</w:t>
      </w:r>
    </w:p>
    <w:p w14:paraId="166AD80E" w14:textId="77777777" w:rsidR="001C4D18" w:rsidRPr="001C4D18" w:rsidRDefault="001C4D18" w:rsidP="00B149ED">
      <w:pPr>
        <w:spacing w:line="480" w:lineRule="auto"/>
        <w:rPr>
          <w:rFonts w:ascii="Times New Roman" w:eastAsia="Times New Roman" w:hAnsi="Times New Roman" w:cs="Times New Roman"/>
        </w:rPr>
      </w:pPr>
    </w:p>
    <w:p w14:paraId="1BEF52CD"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color w:val="000000"/>
        </w:rPr>
        <w:t>Across all scenarios, our projections indicate that COVID-19 hospitalizations and deaths would be substantially less than what was seen in the early stages of the pandemic (e.g., between April 2021–April 2023 there were 4.2 million hospitalizations and 570,000 deaths). Nonetheless, COVID-19 is projected to remain one of the leading causes of death in the United States</w:t>
      </w:r>
      <w:hyperlink r:id="rId24" w:history="1">
        <w:r w:rsidRPr="001C4D18">
          <w:rPr>
            <w:rFonts w:ascii="Times New Roman" w:eastAsia="Times New Roman" w:hAnsi="Times New Roman" w:cs="Times New Roman"/>
            <w:color w:val="000000"/>
            <w:vertAlign w:val="superscript"/>
          </w:rPr>
          <w:t>24</w:t>
        </w:r>
      </w:hyperlink>
      <w:r w:rsidRPr="001C4D18">
        <w:rPr>
          <w:rFonts w:ascii="Times New Roman" w:eastAsia="Times New Roman" w:hAnsi="Times New Roman" w:cs="Times New Roman"/>
          <w:color w:val="000000"/>
        </w:rPr>
        <w:t xml:space="preserve">. For context, in our most pessimistic scenario (no recommendation, high immune escape), annual COVID-19 mortality is expected to be similar to pre-pandemic mortality from Alzheimer’s </w:t>
      </w:r>
      <w:r w:rsidRPr="001C4D18">
        <w:rPr>
          <w:rFonts w:ascii="Times New Roman" w:eastAsia="Times New Roman" w:hAnsi="Times New Roman" w:cs="Times New Roman"/>
          <w:color w:val="000000"/>
        </w:rPr>
        <w:lastRenderedPageBreak/>
        <w:t>disease (</w:t>
      </w:r>
      <w:r w:rsidRPr="001C4D18">
        <w:rPr>
          <w:rFonts w:ascii="Times New Roman" w:eastAsia="Times New Roman" w:hAnsi="Times New Roman" w:cs="Times New Roman"/>
          <w:b/>
          <w:bCs/>
          <w:color w:val="000000"/>
        </w:rPr>
        <w:t>Figure-4</w:t>
      </w:r>
      <w:r w:rsidRPr="001C4D18">
        <w:rPr>
          <w:rFonts w:ascii="Times New Roman" w:eastAsia="Times New Roman" w:hAnsi="Times New Roman" w:cs="Times New Roman"/>
          <w:color w:val="000000"/>
        </w:rPr>
        <w:t>), while in the most optimistic scenario (vaccines recommended for all, low immune escape) mortality would be similar to that seen from diabetes in the pre-pandemic period. In all cases, COVID-19 mortality is projected to exceed that of influenza and pneumonia.</w:t>
      </w:r>
    </w:p>
    <w:p w14:paraId="4748416A" w14:textId="77777777" w:rsidR="001C4D18" w:rsidRPr="001C4D18" w:rsidRDefault="001C4D18" w:rsidP="00B149ED">
      <w:pPr>
        <w:spacing w:line="480" w:lineRule="auto"/>
        <w:rPr>
          <w:rFonts w:ascii="Times New Roman" w:eastAsia="Times New Roman" w:hAnsi="Times New Roman" w:cs="Times New Roman"/>
        </w:rPr>
      </w:pPr>
    </w:p>
    <w:p w14:paraId="3A02492A"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color w:val="000000"/>
        </w:rPr>
        <w:t>While the projected impact of annual vaccination on disease burden is significant, it is highly dependent on assumed vaccine uptake. This gives us reason for both caution and hope. Unfortunately, other booster recommendations, including that for the 2022 reformulated vaccine (i.e., bivalent vaccines authorized in August</w:t>
      </w:r>
      <w:r w:rsidRPr="001C4D18">
        <w:rPr>
          <w:rFonts w:ascii="Times New Roman" w:eastAsia="Times New Roman" w:hAnsi="Times New Roman" w:cs="Times New Roman"/>
          <w:color w:val="FF0000"/>
        </w:rPr>
        <w:t xml:space="preserve"> </w:t>
      </w:r>
      <w:r w:rsidRPr="001C4D18">
        <w:rPr>
          <w:rFonts w:ascii="Times New Roman" w:eastAsia="Times New Roman" w:hAnsi="Times New Roman" w:cs="Times New Roman"/>
          <w:color w:val="000000"/>
        </w:rPr>
        <w:t>2022), have not achieved the coverage observed for the first booster</w:t>
      </w:r>
      <w:hyperlink r:id="rId25" w:history="1">
        <w:r w:rsidRPr="001C4D18">
          <w:rPr>
            <w:rFonts w:ascii="Times New Roman" w:eastAsia="Times New Roman" w:hAnsi="Times New Roman" w:cs="Times New Roman"/>
            <w:color w:val="000000"/>
            <w:vertAlign w:val="superscript"/>
          </w:rPr>
          <w:t>25</w:t>
        </w:r>
      </w:hyperlink>
      <w:r w:rsidRPr="001C4D18">
        <w:rPr>
          <w:rFonts w:ascii="Times New Roman" w:eastAsia="Times New Roman" w:hAnsi="Times New Roman" w:cs="Times New Roman"/>
          <w:color w:val="000000"/>
        </w:rPr>
        <w:t>. Reduced coverage would substantially blunt the impact of any vaccine recommendations. However, it is worth noting that many states where we assume low vaccination coverage, such as North Carolina and Pennsylvania, have not historically been ranked among the states with the lowest vaccine coverage for annual influenza vaccines</w:t>
      </w:r>
      <w:hyperlink r:id="rId26" w:history="1">
        <w:r w:rsidRPr="001C4D18">
          <w:rPr>
            <w:rFonts w:ascii="Times New Roman" w:eastAsia="Times New Roman" w:hAnsi="Times New Roman" w:cs="Times New Roman"/>
            <w:color w:val="000000"/>
            <w:vertAlign w:val="superscript"/>
          </w:rPr>
          <w:t>26</w:t>
        </w:r>
      </w:hyperlink>
      <w:r w:rsidRPr="001C4D18">
        <w:rPr>
          <w:rFonts w:ascii="Times New Roman" w:eastAsia="Times New Roman" w:hAnsi="Times New Roman" w:cs="Times New Roman"/>
          <w:color w:val="000000"/>
        </w:rPr>
        <w:t>, suggesting potential for increasing vaccine uptake in these regions.</w:t>
      </w:r>
    </w:p>
    <w:p w14:paraId="04BD98F1" w14:textId="77777777" w:rsidR="001C4D18" w:rsidRPr="001C4D18" w:rsidRDefault="001C4D18" w:rsidP="00B149ED">
      <w:pPr>
        <w:spacing w:line="480" w:lineRule="auto"/>
        <w:rPr>
          <w:rFonts w:ascii="Times New Roman" w:eastAsia="Times New Roman" w:hAnsi="Times New Roman" w:cs="Times New Roman"/>
        </w:rPr>
      </w:pPr>
    </w:p>
    <w:p w14:paraId="78A1105E"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i/>
          <w:iCs/>
          <w:color w:val="000000"/>
        </w:rPr>
        <w:t>Limitations</w:t>
      </w:r>
    </w:p>
    <w:p w14:paraId="55FDD68A"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color w:val="000000"/>
        </w:rPr>
        <w:t>As with any attempt to project into the future, our projections come with major caveats and limitations. First and foremost, scenario projections are conditional on often strict scenario assumptions. Both vaccine coverage and effectiveness might deviate considerably from scenario assumptions, although historical trends of influenza vaccination suggest that achieving higher coverage is unlikely</w:t>
      </w:r>
      <w:hyperlink r:id="rId27" w:history="1">
        <w:r w:rsidRPr="001C4D18">
          <w:rPr>
            <w:rFonts w:ascii="Times New Roman" w:eastAsia="Times New Roman" w:hAnsi="Times New Roman" w:cs="Times New Roman"/>
            <w:color w:val="000000"/>
            <w:vertAlign w:val="superscript"/>
          </w:rPr>
          <w:t>27</w:t>
        </w:r>
      </w:hyperlink>
      <w:r w:rsidRPr="001C4D18">
        <w:rPr>
          <w:rFonts w:ascii="Times New Roman" w:eastAsia="Times New Roman" w:hAnsi="Times New Roman" w:cs="Times New Roman"/>
          <w:color w:val="000000"/>
        </w:rPr>
        <w:t xml:space="preserve">. Additionally, if future variants differ in intrinsic transmissibility or disease severity from that of the current Omicron lineages, the projected disease burden may alter accordingly. Furthermore, all scenarios were built on the assumption of continuous immune escape with a constant rate. However, the emergence of new SARS-CoV-2 variants showing a </w:t>
      </w:r>
      <w:r w:rsidRPr="001C4D18">
        <w:rPr>
          <w:rFonts w:ascii="Times New Roman" w:eastAsia="Times New Roman" w:hAnsi="Times New Roman" w:cs="Times New Roman"/>
          <w:color w:val="000000"/>
        </w:rPr>
        <w:lastRenderedPageBreak/>
        <w:t>significant level of antigenic drift within a very short span (e.g., Omicron</w:t>
      </w:r>
      <w:hyperlink r:id="rId28" w:history="1">
        <w:r w:rsidRPr="001C4D18">
          <w:rPr>
            <w:rFonts w:ascii="Times New Roman" w:eastAsia="Times New Roman" w:hAnsi="Times New Roman" w:cs="Times New Roman"/>
            <w:color w:val="000000"/>
            <w:vertAlign w:val="superscript"/>
          </w:rPr>
          <w:t>28,29</w:t>
        </w:r>
      </w:hyperlink>
      <w:r w:rsidRPr="001C4D18">
        <w:rPr>
          <w:rFonts w:ascii="Times New Roman" w:eastAsia="Times New Roman" w:hAnsi="Times New Roman" w:cs="Times New Roman"/>
          <w:color w:val="000000"/>
        </w:rPr>
        <w:t>) could increase the disease burden far beyond these projections.</w:t>
      </w:r>
    </w:p>
    <w:p w14:paraId="061C57A9" w14:textId="77777777" w:rsidR="001C4D18" w:rsidRPr="001C4D18" w:rsidRDefault="001C4D18" w:rsidP="00B149ED">
      <w:pPr>
        <w:spacing w:line="480" w:lineRule="auto"/>
        <w:rPr>
          <w:rFonts w:ascii="Times New Roman" w:eastAsia="Times New Roman" w:hAnsi="Times New Roman" w:cs="Times New Roman"/>
        </w:rPr>
      </w:pPr>
    </w:p>
    <w:p w14:paraId="085B949D"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color w:val="000000"/>
          <w:sz w:val="28"/>
          <w:szCs w:val="28"/>
        </w:rPr>
        <w:t>Conclusion</w:t>
      </w:r>
    </w:p>
    <w:p w14:paraId="152FFAFB" w14:textId="77777777" w:rsidR="001C4D18" w:rsidRPr="00B149ED" w:rsidRDefault="001C4D18" w:rsidP="00B149ED">
      <w:pPr>
        <w:spacing w:line="480" w:lineRule="auto"/>
        <w:rPr>
          <w:rFonts w:ascii="Times New Roman" w:eastAsia="Times New Roman" w:hAnsi="Times New Roman" w:cs="Times New Roman"/>
          <w:color w:val="000000"/>
        </w:rPr>
        <w:sectPr w:rsidR="001C4D18" w:rsidRPr="00B149ED">
          <w:pgSz w:w="12240" w:h="15840"/>
          <w:pgMar w:top="1440" w:right="1440" w:bottom="1440" w:left="1440" w:header="708" w:footer="708" w:gutter="0"/>
          <w:cols w:space="708"/>
          <w:docGrid w:linePitch="360"/>
        </w:sectPr>
      </w:pPr>
      <w:r w:rsidRPr="001C4D18">
        <w:rPr>
          <w:rFonts w:ascii="Times New Roman" w:eastAsia="Times New Roman" w:hAnsi="Times New Roman" w:cs="Times New Roman"/>
          <w:color w:val="000000"/>
        </w:rPr>
        <w:t>Despite its limitations, ensembling scenario-based projections from multiple teams is one of the most robust approaches for estimating COVID-19’s future burden and the potential benefits of vaccination, providing valuable information for public health planning. Our results show that COVID-19 will likely remain a major threat to human health in the coming years. In the face of this threat, broad vaccination against SARS-CoV-2 has the potential to save tens of thousands of lives each year. </w:t>
      </w:r>
    </w:p>
    <w:p w14:paraId="6DFA1150"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color w:val="000000"/>
          <w:sz w:val="28"/>
          <w:szCs w:val="28"/>
        </w:rPr>
        <w:lastRenderedPageBreak/>
        <w:t>Figure legends</w:t>
      </w:r>
    </w:p>
    <w:p w14:paraId="2D772911" w14:textId="77777777" w:rsidR="001C4D18" w:rsidRPr="001C4D18" w:rsidRDefault="001C4D18" w:rsidP="00B149ED">
      <w:pPr>
        <w:spacing w:line="480" w:lineRule="auto"/>
        <w:jc w:val="both"/>
        <w:rPr>
          <w:rFonts w:ascii="Times New Roman" w:eastAsia="Times New Roman" w:hAnsi="Times New Roman" w:cs="Times New Roman"/>
        </w:rPr>
      </w:pPr>
      <w:r w:rsidRPr="001C4D18">
        <w:rPr>
          <w:rFonts w:ascii="Times New Roman" w:eastAsia="Times New Roman" w:hAnsi="Times New Roman" w:cs="Times New Roman"/>
          <w:b/>
          <w:bCs/>
          <w:color w:val="000000"/>
        </w:rPr>
        <w:t>Figure 1. Projected weekly COVID-19 hospitalizations in the United States across scenarios, April 2023–April 2025.</w:t>
      </w:r>
    </w:p>
    <w:p w14:paraId="4F6F4685" w14:textId="77777777" w:rsidR="001C4D18" w:rsidRPr="001C4D18" w:rsidRDefault="001C4D18" w:rsidP="00B149ED">
      <w:pPr>
        <w:spacing w:line="480" w:lineRule="auto"/>
        <w:jc w:val="both"/>
        <w:rPr>
          <w:rFonts w:ascii="Times New Roman" w:eastAsia="Times New Roman" w:hAnsi="Times New Roman" w:cs="Times New Roman"/>
        </w:rPr>
      </w:pPr>
      <w:r w:rsidRPr="001C4D18">
        <w:rPr>
          <w:rFonts w:ascii="Times New Roman" w:eastAsia="Times New Roman" w:hAnsi="Times New Roman" w:cs="Times New Roman"/>
          <w:color w:val="000000"/>
        </w:rPr>
        <w:t>Ensemble projections from the COVID-19 Scenario Modeling Hub of national COVID-19 hospitalization for the period April 2023–April 2025 are shown by scenario. Dots indicate the observed weekly hospitalizations between December 2022 and August 12, 2023. Shading from lightest to darkest represents 90%, 80%, and 50% projection intervals. Red dashed lines correspond to the CDC-designated COVID-19 community-level indicators: medium (10–19 weekly hospitalizations per 100,000) and high (&gt;20 weekly hospitalizations per 100,000) levels. The vertical line on April 15, 2023 marks the start of the projection period.</w:t>
      </w:r>
    </w:p>
    <w:p w14:paraId="7AF131E2" w14:textId="77777777" w:rsidR="001C4D18" w:rsidRPr="001C4D18" w:rsidRDefault="001C4D18" w:rsidP="00B149ED">
      <w:pPr>
        <w:spacing w:line="480" w:lineRule="auto"/>
        <w:rPr>
          <w:rFonts w:ascii="Times New Roman" w:eastAsia="Times New Roman" w:hAnsi="Times New Roman" w:cs="Times New Roman"/>
        </w:rPr>
      </w:pPr>
    </w:p>
    <w:p w14:paraId="12139594" w14:textId="77777777" w:rsidR="001C4D18" w:rsidRPr="001C4D18" w:rsidRDefault="001C4D18" w:rsidP="00B149ED">
      <w:pPr>
        <w:spacing w:line="480" w:lineRule="auto"/>
        <w:jc w:val="both"/>
        <w:rPr>
          <w:rFonts w:ascii="Times New Roman" w:eastAsia="Times New Roman" w:hAnsi="Times New Roman" w:cs="Times New Roman"/>
        </w:rPr>
      </w:pPr>
      <w:r w:rsidRPr="001C4D18">
        <w:rPr>
          <w:rFonts w:ascii="Times New Roman" w:eastAsia="Times New Roman" w:hAnsi="Times New Roman" w:cs="Times New Roman"/>
          <w:b/>
          <w:bCs/>
          <w:color w:val="000000"/>
        </w:rPr>
        <w:t>Figure 2. Percent and total prevented COVID-19 hospitalizations and deaths by annual vaccination recommendation with reformulated vaccines.</w:t>
      </w:r>
    </w:p>
    <w:p w14:paraId="145E0697" w14:textId="77777777" w:rsidR="001C4D18" w:rsidRPr="001C4D18" w:rsidRDefault="001C4D18" w:rsidP="00B149ED">
      <w:pPr>
        <w:spacing w:line="480" w:lineRule="auto"/>
        <w:jc w:val="both"/>
        <w:rPr>
          <w:rFonts w:ascii="Times New Roman" w:eastAsia="Times New Roman" w:hAnsi="Times New Roman" w:cs="Times New Roman"/>
        </w:rPr>
      </w:pPr>
      <w:r w:rsidRPr="001C4D18">
        <w:rPr>
          <w:rFonts w:ascii="Times New Roman" w:eastAsia="Times New Roman" w:hAnsi="Times New Roman" w:cs="Times New Roman"/>
          <w:color w:val="000000"/>
        </w:rPr>
        <w:t>Relative and absolute differences in cumulative hospitalizations and deaths over the next two years (April 2023–April 2025) between different vaccination recommendations. Red and blue dots and error bars represent the median and 95% confidence interval of percent prevented outcomes in high and low immune escape scenarios, respectively.</w:t>
      </w:r>
    </w:p>
    <w:p w14:paraId="762F8EB1" w14:textId="77777777" w:rsidR="001C4D18" w:rsidRPr="001C4D18" w:rsidRDefault="001C4D18" w:rsidP="00B149ED">
      <w:pPr>
        <w:spacing w:line="480" w:lineRule="auto"/>
        <w:rPr>
          <w:rFonts w:ascii="Times New Roman" w:eastAsia="Times New Roman" w:hAnsi="Times New Roman" w:cs="Times New Roman"/>
        </w:rPr>
      </w:pPr>
    </w:p>
    <w:p w14:paraId="19821337" w14:textId="77777777" w:rsidR="001C4D18" w:rsidRPr="001C4D18" w:rsidRDefault="001C4D18" w:rsidP="00B149ED">
      <w:pPr>
        <w:spacing w:line="480" w:lineRule="auto"/>
        <w:jc w:val="both"/>
        <w:rPr>
          <w:rFonts w:ascii="Times New Roman" w:eastAsia="Times New Roman" w:hAnsi="Times New Roman" w:cs="Times New Roman"/>
        </w:rPr>
      </w:pPr>
      <w:r w:rsidRPr="001C4D18">
        <w:rPr>
          <w:rFonts w:ascii="Times New Roman" w:eastAsia="Times New Roman" w:hAnsi="Times New Roman" w:cs="Times New Roman"/>
          <w:b/>
          <w:bCs/>
          <w:color w:val="000000"/>
        </w:rPr>
        <w:t>Figure 3. Relationship between prevented COVID-19 hospitalizations and assumed vaccine coverage in individuals aged 65 and above across US states.</w:t>
      </w:r>
    </w:p>
    <w:p w14:paraId="2E27E2A6" w14:textId="77777777" w:rsidR="001C4D18" w:rsidRPr="001C4D18" w:rsidRDefault="001C4D18" w:rsidP="00B149ED">
      <w:pPr>
        <w:spacing w:line="480" w:lineRule="auto"/>
        <w:jc w:val="both"/>
        <w:rPr>
          <w:rFonts w:ascii="Times New Roman" w:eastAsia="Times New Roman" w:hAnsi="Times New Roman" w:cs="Times New Roman"/>
        </w:rPr>
      </w:pPr>
      <w:r w:rsidRPr="001C4D18">
        <w:rPr>
          <w:rFonts w:ascii="Times New Roman" w:eastAsia="Times New Roman" w:hAnsi="Times New Roman" w:cs="Times New Roman"/>
          <w:color w:val="000000"/>
        </w:rPr>
        <w:t xml:space="preserve">The relationship between the cumulative difference in COVID-19 hospitalizations for the next two years (April 2023–April 2025) under different vaccination recommendations and assumed vaccine uptake among those aged 65 and above (65+) in each US state: </w:t>
      </w:r>
      <w:r w:rsidRPr="001C4D18">
        <w:rPr>
          <w:rFonts w:ascii="Times New Roman" w:eastAsia="Times New Roman" w:hAnsi="Times New Roman" w:cs="Times New Roman"/>
          <w:b/>
          <w:bCs/>
          <w:color w:val="000000"/>
        </w:rPr>
        <w:t>(A &amp; B)</w:t>
      </w:r>
      <w:r w:rsidRPr="001C4D18">
        <w:rPr>
          <w:rFonts w:ascii="Times New Roman" w:eastAsia="Times New Roman" w:hAnsi="Times New Roman" w:cs="Times New Roman"/>
          <w:color w:val="000000"/>
        </w:rPr>
        <w:t xml:space="preserve"> vaccination of all </w:t>
      </w:r>
      <w:r w:rsidRPr="001C4D18">
        <w:rPr>
          <w:rFonts w:ascii="Times New Roman" w:eastAsia="Times New Roman" w:hAnsi="Times New Roman" w:cs="Times New Roman"/>
          <w:color w:val="000000"/>
        </w:rPr>
        <w:lastRenderedPageBreak/>
        <w:t xml:space="preserve">compared to no vaccination, and </w:t>
      </w:r>
      <w:r w:rsidRPr="001C4D18">
        <w:rPr>
          <w:rFonts w:ascii="Times New Roman" w:eastAsia="Times New Roman" w:hAnsi="Times New Roman" w:cs="Times New Roman"/>
          <w:b/>
          <w:bCs/>
          <w:color w:val="000000"/>
        </w:rPr>
        <w:t>(C &amp; D)</w:t>
      </w:r>
      <w:r w:rsidRPr="001C4D18">
        <w:rPr>
          <w:rFonts w:ascii="Times New Roman" w:eastAsia="Times New Roman" w:hAnsi="Times New Roman" w:cs="Times New Roman"/>
          <w:color w:val="000000"/>
        </w:rPr>
        <w:t xml:space="preserve"> vaccination of 65+, compared to no vaccination. The x-axis represents the assumed vaccine coverage among 65+ at saturation considering the higher severity in 65+, and dots in each panel correspond to individual US states.</w:t>
      </w:r>
    </w:p>
    <w:p w14:paraId="4B2EC096" w14:textId="77777777" w:rsidR="001C4D18" w:rsidRPr="001C4D18" w:rsidRDefault="001C4D18" w:rsidP="00B149ED">
      <w:pPr>
        <w:spacing w:line="480" w:lineRule="auto"/>
        <w:rPr>
          <w:rFonts w:ascii="Times New Roman" w:eastAsia="Times New Roman" w:hAnsi="Times New Roman" w:cs="Times New Roman"/>
        </w:rPr>
      </w:pPr>
    </w:p>
    <w:p w14:paraId="5B9F22DE" w14:textId="77777777" w:rsidR="001C4D18" w:rsidRPr="001C4D18" w:rsidRDefault="001C4D18" w:rsidP="00B149ED">
      <w:pPr>
        <w:spacing w:line="480" w:lineRule="auto"/>
        <w:jc w:val="both"/>
        <w:rPr>
          <w:rFonts w:ascii="Times New Roman" w:eastAsia="Times New Roman" w:hAnsi="Times New Roman" w:cs="Times New Roman"/>
        </w:rPr>
      </w:pPr>
      <w:r w:rsidRPr="001C4D18">
        <w:rPr>
          <w:rFonts w:ascii="Times New Roman" w:eastAsia="Times New Roman" w:hAnsi="Times New Roman" w:cs="Times New Roman"/>
          <w:b/>
          <w:bCs/>
          <w:color w:val="000000"/>
        </w:rPr>
        <w:t>Figure 4: Comparison between the projected COVID-19 mortality by scenario and the 10 leading causes of pre-pandemic mortality in the United States.</w:t>
      </w:r>
    </w:p>
    <w:p w14:paraId="503F1322" w14:textId="7CD6BE30" w:rsidR="001C4D18" w:rsidRPr="001C4D18" w:rsidRDefault="001C4D18" w:rsidP="00B149ED">
      <w:pPr>
        <w:spacing w:line="480" w:lineRule="auto"/>
        <w:jc w:val="both"/>
        <w:rPr>
          <w:rFonts w:ascii="Times New Roman" w:eastAsia="Times New Roman" w:hAnsi="Times New Roman" w:cs="Times New Roman"/>
        </w:rPr>
      </w:pPr>
      <w:r w:rsidRPr="001C4D18">
        <w:rPr>
          <w:rFonts w:ascii="Times New Roman" w:eastAsia="Times New Roman" w:hAnsi="Times New Roman" w:cs="Times New Roman"/>
          <w:color w:val="000000"/>
        </w:rPr>
        <w:t>Projected COVID-19 mortality by scenario and by period (April 2023–April 2024 and April 2024–April 2025) are compared with the 10 leading causes of mortality in the United States, which were obtained from the CDC age-adjusted disease burden rates in the pre-pandemic period</w:t>
      </w:r>
      <w:hyperlink r:id="rId29" w:history="1">
        <w:r w:rsidRPr="001C4D18">
          <w:rPr>
            <w:rFonts w:ascii="Times New Roman" w:eastAsia="Times New Roman" w:hAnsi="Times New Roman" w:cs="Times New Roman"/>
            <w:color w:val="000000"/>
            <w:sz w:val="14"/>
            <w:szCs w:val="14"/>
            <w:vertAlign w:val="superscript"/>
          </w:rPr>
          <w:t>24</w:t>
        </w:r>
      </w:hyperlink>
      <w:r w:rsidRPr="001C4D18">
        <w:rPr>
          <w:rFonts w:ascii="Times New Roman" w:eastAsia="Times New Roman" w:hAnsi="Times New Roman" w:cs="Times New Roman"/>
          <w:color w:val="000000"/>
        </w:rPr>
        <w:t>.</w:t>
      </w:r>
      <w:r w:rsidRPr="001C4D18">
        <w:rPr>
          <w:rFonts w:ascii="Times New Roman" w:eastAsia="Times New Roman" w:hAnsi="Times New Roman" w:cs="Times New Roman"/>
          <w:color w:val="000000"/>
        </w:rPr>
        <w:br/>
      </w:r>
    </w:p>
    <w:p w14:paraId="028B680C" w14:textId="77777777" w:rsidR="001C4D18" w:rsidRPr="00B149ED" w:rsidRDefault="001C4D18" w:rsidP="00B149ED">
      <w:pPr>
        <w:spacing w:line="480" w:lineRule="auto"/>
        <w:rPr>
          <w:rFonts w:ascii="Times New Roman" w:hAnsi="Times New Roman" w:cs="Times New Roman"/>
        </w:rPr>
        <w:sectPr w:rsidR="001C4D18" w:rsidRPr="00B149ED">
          <w:pgSz w:w="12240" w:h="15840"/>
          <w:pgMar w:top="1440" w:right="1440" w:bottom="1440" w:left="1440" w:header="708" w:footer="708" w:gutter="0"/>
          <w:cols w:space="708"/>
          <w:docGrid w:linePitch="360"/>
        </w:sectPr>
      </w:pPr>
    </w:p>
    <w:p w14:paraId="2D996C09" w14:textId="77777777" w:rsidR="001C4D18" w:rsidRPr="001C4D18" w:rsidRDefault="001C4D18" w:rsidP="00B149ED">
      <w:pPr>
        <w:spacing w:line="480" w:lineRule="auto"/>
        <w:jc w:val="both"/>
        <w:rPr>
          <w:rFonts w:ascii="Times New Roman" w:eastAsia="Times New Roman" w:hAnsi="Times New Roman" w:cs="Times New Roman"/>
        </w:rPr>
      </w:pPr>
      <w:r w:rsidRPr="001C4D18">
        <w:rPr>
          <w:rFonts w:ascii="Times New Roman" w:eastAsia="Times New Roman" w:hAnsi="Times New Roman" w:cs="Times New Roman"/>
          <w:b/>
          <w:bCs/>
          <w:color w:val="000000"/>
        </w:rPr>
        <w:lastRenderedPageBreak/>
        <w:t>Table 1. Projected national peak timing and peak size of hospitalizations across scenarios.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35"/>
        <w:gridCol w:w="1276"/>
        <w:gridCol w:w="1417"/>
        <w:gridCol w:w="1560"/>
        <w:gridCol w:w="1417"/>
        <w:gridCol w:w="1134"/>
        <w:gridCol w:w="1276"/>
        <w:gridCol w:w="1559"/>
        <w:gridCol w:w="1470"/>
      </w:tblGrid>
      <w:tr w:rsidR="001C4D18" w:rsidRPr="00B149ED" w14:paraId="57B02741" w14:textId="77777777" w:rsidTr="001C4D18">
        <w:trPr>
          <w:trHeight w:val="270"/>
        </w:trPr>
        <w:tc>
          <w:tcPr>
            <w:tcW w:w="1835"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71D2636B" w14:textId="65D0E8AD" w:rsidR="001C4D18" w:rsidRPr="001C4D18" w:rsidRDefault="001C4D18" w:rsidP="00B149ED">
            <w:pPr>
              <w:jc w:val="center"/>
              <w:rPr>
                <w:rFonts w:ascii="Times New Roman" w:eastAsia="Times New Roman" w:hAnsi="Times New Roman" w:cs="Times New Roman"/>
                <w:sz w:val="18"/>
                <w:szCs w:val="18"/>
              </w:rPr>
            </w:pPr>
          </w:p>
        </w:tc>
        <w:tc>
          <w:tcPr>
            <w:tcW w:w="5670" w:type="dxa"/>
            <w:gridSpan w:val="4"/>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2F3CEB05" w14:textId="77777777" w:rsidR="001C4D18" w:rsidRPr="001C4D18" w:rsidRDefault="001C4D18" w:rsidP="00B149ED">
            <w:pPr>
              <w:jc w:val="center"/>
              <w:rPr>
                <w:rFonts w:ascii="Times New Roman" w:eastAsia="Times New Roman" w:hAnsi="Times New Roman" w:cs="Times New Roman"/>
                <w:sz w:val="18"/>
                <w:szCs w:val="18"/>
              </w:rPr>
            </w:pPr>
            <w:r w:rsidRPr="001C4D18">
              <w:rPr>
                <w:rFonts w:ascii="Times New Roman" w:eastAsia="Times New Roman" w:hAnsi="Times New Roman" w:cs="Times New Roman"/>
                <w:b/>
                <w:bCs/>
                <w:color w:val="000000"/>
                <w:sz w:val="18"/>
                <w:szCs w:val="18"/>
              </w:rPr>
              <w:t>April 15, 2023–April 14, 2024</w:t>
            </w:r>
          </w:p>
        </w:tc>
        <w:tc>
          <w:tcPr>
            <w:tcW w:w="5439" w:type="dxa"/>
            <w:gridSpan w:val="4"/>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4F10EF10" w14:textId="77777777" w:rsidR="001C4D18" w:rsidRPr="001C4D18" w:rsidRDefault="001C4D18" w:rsidP="00B149ED">
            <w:pPr>
              <w:jc w:val="center"/>
              <w:rPr>
                <w:rFonts w:ascii="Times New Roman" w:eastAsia="Times New Roman" w:hAnsi="Times New Roman" w:cs="Times New Roman"/>
                <w:sz w:val="18"/>
                <w:szCs w:val="18"/>
              </w:rPr>
            </w:pPr>
            <w:r w:rsidRPr="001C4D18">
              <w:rPr>
                <w:rFonts w:ascii="Times New Roman" w:eastAsia="Times New Roman" w:hAnsi="Times New Roman" w:cs="Times New Roman"/>
                <w:b/>
                <w:bCs/>
                <w:color w:val="000000"/>
                <w:sz w:val="18"/>
                <w:szCs w:val="18"/>
              </w:rPr>
              <w:t>April 15, 2024–April 15, 2025</w:t>
            </w:r>
          </w:p>
        </w:tc>
      </w:tr>
      <w:tr w:rsidR="001C4D18" w:rsidRPr="00B149ED" w14:paraId="0C80EA8B" w14:textId="77777777" w:rsidTr="001C4D18">
        <w:trPr>
          <w:trHeight w:val="345"/>
        </w:trPr>
        <w:tc>
          <w:tcPr>
            <w:tcW w:w="1835" w:type="dxa"/>
            <w:tcBorders>
              <w:top w:val="single" w:sz="6" w:space="0" w:color="7F7F7F"/>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1BDEDEC7" w14:textId="77777777" w:rsidR="001C4D18" w:rsidRPr="001C4D18" w:rsidRDefault="001C4D18" w:rsidP="00B149ED">
            <w:pPr>
              <w:rPr>
                <w:rFonts w:ascii="Times New Roman" w:eastAsia="Times New Roman" w:hAnsi="Times New Roman" w:cs="Times New Roman"/>
                <w:sz w:val="18"/>
                <w:szCs w:val="18"/>
              </w:rPr>
            </w:pPr>
            <w:r w:rsidRPr="001C4D18">
              <w:rPr>
                <w:rFonts w:ascii="Times New Roman" w:eastAsia="Times New Roman" w:hAnsi="Times New Roman" w:cs="Times New Roman"/>
                <w:b/>
                <w:bCs/>
                <w:color w:val="000000"/>
                <w:sz w:val="18"/>
                <w:szCs w:val="18"/>
              </w:rPr>
              <w:t>Scenario</w:t>
            </w:r>
          </w:p>
        </w:tc>
        <w:tc>
          <w:tcPr>
            <w:tcW w:w="1276" w:type="dxa"/>
            <w:tcBorders>
              <w:top w:val="single" w:sz="6" w:space="0" w:color="7F7F7F"/>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50153CED" w14:textId="77777777" w:rsidR="001C4D18" w:rsidRPr="001C4D18" w:rsidRDefault="001C4D18" w:rsidP="00B149ED">
            <w:pPr>
              <w:jc w:val="center"/>
              <w:rPr>
                <w:rFonts w:ascii="Times New Roman" w:eastAsia="Times New Roman" w:hAnsi="Times New Roman" w:cs="Times New Roman"/>
                <w:sz w:val="18"/>
                <w:szCs w:val="18"/>
              </w:rPr>
            </w:pPr>
            <w:r w:rsidRPr="001C4D18">
              <w:rPr>
                <w:rFonts w:ascii="Times New Roman" w:eastAsia="Times New Roman" w:hAnsi="Times New Roman" w:cs="Times New Roman"/>
                <w:b/>
                <w:bCs/>
                <w:color w:val="000000"/>
                <w:sz w:val="18"/>
                <w:szCs w:val="18"/>
              </w:rPr>
              <w:t>Peak timing</w:t>
            </w:r>
          </w:p>
        </w:tc>
        <w:tc>
          <w:tcPr>
            <w:tcW w:w="1417" w:type="dxa"/>
            <w:tcBorders>
              <w:top w:val="single" w:sz="6" w:space="0" w:color="7F7F7F"/>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59CF389F" w14:textId="77777777" w:rsidR="001C4D18" w:rsidRPr="001C4D18" w:rsidRDefault="001C4D18" w:rsidP="00B149ED">
            <w:pPr>
              <w:jc w:val="center"/>
              <w:rPr>
                <w:rFonts w:ascii="Times New Roman" w:eastAsia="Times New Roman" w:hAnsi="Times New Roman" w:cs="Times New Roman"/>
                <w:sz w:val="18"/>
                <w:szCs w:val="18"/>
              </w:rPr>
            </w:pPr>
            <w:r w:rsidRPr="001C4D18">
              <w:rPr>
                <w:rFonts w:ascii="Times New Roman" w:eastAsia="Times New Roman" w:hAnsi="Times New Roman" w:cs="Times New Roman"/>
                <w:b/>
                <w:bCs/>
                <w:color w:val="000000"/>
                <w:sz w:val="18"/>
                <w:szCs w:val="18"/>
              </w:rPr>
              <w:t>Peak size</w:t>
            </w:r>
          </w:p>
        </w:tc>
        <w:tc>
          <w:tcPr>
            <w:tcW w:w="1560" w:type="dxa"/>
            <w:tcBorders>
              <w:top w:val="single" w:sz="6" w:space="0" w:color="7F7F7F"/>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7DBC1482" w14:textId="77777777" w:rsidR="001C4D18" w:rsidRPr="001C4D18" w:rsidRDefault="001C4D18" w:rsidP="00B149ED">
            <w:pPr>
              <w:jc w:val="center"/>
              <w:rPr>
                <w:rFonts w:ascii="Times New Roman" w:eastAsia="Times New Roman" w:hAnsi="Times New Roman" w:cs="Times New Roman"/>
                <w:sz w:val="18"/>
                <w:szCs w:val="18"/>
              </w:rPr>
            </w:pPr>
            <w:r w:rsidRPr="001C4D18">
              <w:rPr>
                <w:rFonts w:ascii="Times New Roman" w:eastAsia="Times New Roman" w:hAnsi="Times New Roman" w:cs="Times New Roman"/>
                <w:b/>
                <w:bCs/>
                <w:color w:val="000000"/>
                <w:sz w:val="18"/>
                <w:szCs w:val="18"/>
              </w:rPr>
              <w:t>Total hospitalizations</w:t>
            </w:r>
          </w:p>
        </w:tc>
        <w:tc>
          <w:tcPr>
            <w:tcW w:w="1417" w:type="dxa"/>
            <w:tcBorders>
              <w:top w:val="single" w:sz="6" w:space="0" w:color="7F7F7F"/>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336BBCE2" w14:textId="77777777" w:rsidR="001C4D18" w:rsidRPr="001C4D18" w:rsidRDefault="001C4D18" w:rsidP="00B149ED">
            <w:pPr>
              <w:jc w:val="center"/>
              <w:rPr>
                <w:rFonts w:ascii="Times New Roman" w:eastAsia="Times New Roman" w:hAnsi="Times New Roman" w:cs="Times New Roman"/>
                <w:sz w:val="18"/>
                <w:szCs w:val="18"/>
              </w:rPr>
            </w:pPr>
            <w:r w:rsidRPr="001C4D18">
              <w:rPr>
                <w:rFonts w:ascii="Times New Roman" w:eastAsia="Times New Roman" w:hAnsi="Times New Roman" w:cs="Times New Roman"/>
                <w:b/>
                <w:bCs/>
                <w:color w:val="000000"/>
                <w:sz w:val="18"/>
                <w:szCs w:val="18"/>
              </w:rPr>
              <w:t>Total deaths</w:t>
            </w:r>
          </w:p>
        </w:tc>
        <w:tc>
          <w:tcPr>
            <w:tcW w:w="1134" w:type="dxa"/>
            <w:tcBorders>
              <w:top w:val="single" w:sz="6" w:space="0" w:color="7F7F7F"/>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4739F51B" w14:textId="77777777" w:rsidR="001C4D18" w:rsidRPr="001C4D18" w:rsidRDefault="001C4D18" w:rsidP="00B149ED">
            <w:pPr>
              <w:jc w:val="center"/>
              <w:rPr>
                <w:rFonts w:ascii="Times New Roman" w:eastAsia="Times New Roman" w:hAnsi="Times New Roman" w:cs="Times New Roman"/>
                <w:sz w:val="18"/>
                <w:szCs w:val="18"/>
              </w:rPr>
            </w:pPr>
            <w:r w:rsidRPr="001C4D18">
              <w:rPr>
                <w:rFonts w:ascii="Times New Roman" w:eastAsia="Times New Roman" w:hAnsi="Times New Roman" w:cs="Times New Roman"/>
                <w:b/>
                <w:bCs/>
                <w:color w:val="000000"/>
                <w:sz w:val="18"/>
                <w:szCs w:val="18"/>
              </w:rPr>
              <w:t>Peak timing</w:t>
            </w:r>
          </w:p>
        </w:tc>
        <w:tc>
          <w:tcPr>
            <w:tcW w:w="1276" w:type="dxa"/>
            <w:tcBorders>
              <w:top w:val="single" w:sz="6" w:space="0" w:color="7F7F7F"/>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157CDFD5" w14:textId="77777777" w:rsidR="001C4D18" w:rsidRPr="001C4D18" w:rsidRDefault="001C4D18" w:rsidP="00B149ED">
            <w:pPr>
              <w:jc w:val="center"/>
              <w:rPr>
                <w:rFonts w:ascii="Times New Roman" w:eastAsia="Times New Roman" w:hAnsi="Times New Roman" w:cs="Times New Roman"/>
                <w:sz w:val="18"/>
                <w:szCs w:val="18"/>
              </w:rPr>
            </w:pPr>
            <w:r w:rsidRPr="001C4D18">
              <w:rPr>
                <w:rFonts w:ascii="Times New Roman" w:eastAsia="Times New Roman" w:hAnsi="Times New Roman" w:cs="Times New Roman"/>
                <w:b/>
                <w:bCs/>
                <w:color w:val="000000"/>
                <w:sz w:val="18"/>
                <w:szCs w:val="18"/>
              </w:rPr>
              <w:t>Peak size</w:t>
            </w:r>
          </w:p>
        </w:tc>
        <w:tc>
          <w:tcPr>
            <w:tcW w:w="1559" w:type="dxa"/>
            <w:tcBorders>
              <w:top w:val="single" w:sz="6" w:space="0" w:color="7F7F7F"/>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72A3ABBE" w14:textId="77777777" w:rsidR="001C4D18" w:rsidRPr="001C4D18" w:rsidRDefault="001C4D18" w:rsidP="00B149ED">
            <w:pPr>
              <w:jc w:val="center"/>
              <w:rPr>
                <w:rFonts w:ascii="Times New Roman" w:eastAsia="Times New Roman" w:hAnsi="Times New Roman" w:cs="Times New Roman"/>
                <w:sz w:val="18"/>
                <w:szCs w:val="18"/>
              </w:rPr>
            </w:pPr>
            <w:r w:rsidRPr="001C4D18">
              <w:rPr>
                <w:rFonts w:ascii="Times New Roman" w:eastAsia="Times New Roman" w:hAnsi="Times New Roman" w:cs="Times New Roman"/>
                <w:b/>
                <w:bCs/>
                <w:color w:val="000000"/>
                <w:sz w:val="18"/>
                <w:szCs w:val="18"/>
              </w:rPr>
              <w:t>Total hospitalizations</w:t>
            </w:r>
          </w:p>
        </w:tc>
        <w:tc>
          <w:tcPr>
            <w:tcW w:w="1470" w:type="dxa"/>
            <w:tcBorders>
              <w:top w:val="single" w:sz="6" w:space="0" w:color="7F7F7F"/>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0C008F2A" w14:textId="77777777" w:rsidR="001C4D18" w:rsidRPr="001C4D18" w:rsidRDefault="001C4D18" w:rsidP="00B149ED">
            <w:pPr>
              <w:jc w:val="center"/>
              <w:rPr>
                <w:rFonts w:ascii="Times New Roman" w:eastAsia="Times New Roman" w:hAnsi="Times New Roman" w:cs="Times New Roman"/>
                <w:sz w:val="18"/>
                <w:szCs w:val="18"/>
              </w:rPr>
            </w:pPr>
            <w:r w:rsidRPr="001C4D18">
              <w:rPr>
                <w:rFonts w:ascii="Times New Roman" w:eastAsia="Times New Roman" w:hAnsi="Times New Roman" w:cs="Times New Roman"/>
                <w:b/>
                <w:bCs/>
                <w:color w:val="000000"/>
                <w:sz w:val="18"/>
                <w:szCs w:val="18"/>
              </w:rPr>
              <w:t>Total deaths</w:t>
            </w:r>
          </w:p>
        </w:tc>
      </w:tr>
      <w:tr w:rsidR="001C4D18" w:rsidRPr="001C4D18" w14:paraId="06666FFC" w14:textId="77777777" w:rsidTr="001C4D18">
        <w:trPr>
          <w:trHeight w:val="345"/>
        </w:trPr>
        <w:tc>
          <w:tcPr>
            <w:tcW w:w="12944" w:type="dxa"/>
            <w:gridSpan w:val="9"/>
            <w:tcBorders>
              <w:top w:val="single" w:sz="6" w:space="0" w:color="7F7F7F"/>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8B29762" w14:textId="77777777" w:rsidR="001C4D18" w:rsidRPr="001C4D18" w:rsidRDefault="001C4D18" w:rsidP="00B149ED">
            <w:pPr>
              <w:rPr>
                <w:rFonts w:ascii="Times New Roman" w:eastAsia="Times New Roman" w:hAnsi="Times New Roman" w:cs="Times New Roman"/>
                <w:sz w:val="18"/>
                <w:szCs w:val="18"/>
              </w:rPr>
            </w:pPr>
            <w:r w:rsidRPr="001C4D18">
              <w:rPr>
                <w:rFonts w:ascii="Times New Roman" w:eastAsia="Times New Roman" w:hAnsi="Times New Roman" w:cs="Times New Roman"/>
                <w:b/>
                <w:bCs/>
                <w:color w:val="000000"/>
                <w:sz w:val="18"/>
                <w:szCs w:val="18"/>
              </w:rPr>
              <w:t>High immune escape</w:t>
            </w:r>
          </w:p>
        </w:tc>
      </w:tr>
      <w:tr w:rsidR="001C4D18" w:rsidRPr="00B149ED" w14:paraId="76A848AC" w14:textId="77777777" w:rsidTr="001C4D18">
        <w:trPr>
          <w:trHeight w:val="510"/>
        </w:trPr>
        <w:tc>
          <w:tcPr>
            <w:tcW w:w="1835"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22E2C0CF" w14:textId="77777777" w:rsidR="001C4D18" w:rsidRPr="001C4D18" w:rsidRDefault="001C4D18" w:rsidP="00B149ED">
            <w:pPr>
              <w:rPr>
                <w:rFonts w:ascii="Times New Roman" w:eastAsia="Times New Roman" w:hAnsi="Times New Roman" w:cs="Times New Roman"/>
                <w:sz w:val="18"/>
                <w:szCs w:val="18"/>
              </w:rPr>
            </w:pPr>
            <w:r w:rsidRPr="001C4D18">
              <w:rPr>
                <w:rFonts w:ascii="Times New Roman" w:eastAsia="Times New Roman" w:hAnsi="Times New Roman" w:cs="Times New Roman"/>
                <w:b/>
                <w:bCs/>
                <w:color w:val="000000"/>
                <w:sz w:val="18"/>
                <w:szCs w:val="18"/>
              </w:rPr>
              <w:t>No booster recommendation</w:t>
            </w:r>
          </w:p>
        </w:tc>
        <w:tc>
          <w:tcPr>
            <w:tcW w:w="1276"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700B89C2"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Dec 10</w:t>
            </w:r>
          </w:p>
          <w:p w14:paraId="05B0B909"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(Oct 15–Apr 14)</w:t>
            </w:r>
          </w:p>
        </w:tc>
        <w:tc>
          <w:tcPr>
            <w:tcW w:w="1417"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67B754ED"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42,000</w:t>
            </w:r>
          </w:p>
          <w:p w14:paraId="7F41ECF3"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(18,000–105,000)</w:t>
            </w:r>
          </w:p>
        </w:tc>
        <w:tc>
          <w:tcPr>
            <w:tcW w:w="1560"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1F2C12DA" w14:textId="16D0DD92"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1,017,000</w:t>
            </w:r>
          </w:p>
          <w:p w14:paraId="78DBF050"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(767,000–2,058,000)</w:t>
            </w:r>
          </w:p>
        </w:tc>
        <w:tc>
          <w:tcPr>
            <w:tcW w:w="1417"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289F12F7"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100,000</w:t>
            </w:r>
          </w:p>
          <w:p w14:paraId="79A768C4"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(68,000–217,000)</w:t>
            </w:r>
          </w:p>
        </w:tc>
        <w:tc>
          <w:tcPr>
            <w:tcW w:w="1134"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266B1BA5"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Dec 15</w:t>
            </w:r>
          </w:p>
          <w:p w14:paraId="761046E7"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(Oct 13–Apr 13)</w:t>
            </w:r>
          </w:p>
        </w:tc>
        <w:tc>
          <w:tcPr>
            <w:tcW w:w="1276"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697D146F"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45,000</w:t>
            </w:r>
          </w:p>
          <w:p w14:paraId="7E85E4BA"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(17,000–90,000)</w:t>
            </w:r>
          </w:p>
        </w:tc>
        <w:tc>
          <w:tcPr>
            <w:tcW w:w="1559"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71A49DD1"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1,093,000</w:t>
            </w:r>
          </w:p>
          <w:p w14:paraId="53474AA5"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(670,000–2,211,000)</w:t>
            </w:r>
          </w:p>
        </w:tc>
        <w:tc>
          <w:tcPr>
            <w:tcW w:w="1470"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71076F2F"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108,000</w:t>
            </w:r>
          </w:p>
          <w:p w14:paraId="454156B5"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(71,000–244,000)</w:t>
            </w:r>
          </w:p>
        </w:tc>
      </w:tr>
      <w:tr w:rsidR="001C4D18" w:rsidRPr="00B149ED" w14:paraId="00591B02" w14:textId="77777777" w:rsidTr="001C4D18">
        <w:trPr>
          <w:trHeight w:val="510"/>
        </w:trPr>
        <w:tc>
          <w:tcPr>
            <w:tcW w:w="1835" w:type="dxa"/>
            <w:tcBorders>
              <w:top w:val="single" w:sz="6" w:space="0" w:color="7F7F7F"/>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0F8F668" w14:textId="77777777" w:rsidR="001C4D18" w:rsidRPr="001C4D18" w:rsidRDefault="001C4D18" w:rsidP="00B149ED">
            <w:pPr>
              <w:rPr>
                <w:rFonts w:ascii="Times New Roman" w:eastAsia="Times New Roman" w:hAnsi="Times New Roman" w:cs="Times New Roman"/>
                <w:sz w:val="18"/>
                <w:szCs w:val="18"/>
              </w:rPr>
            </w:pPr>
            <w:r w:rsidRPr="001C4D18">
              <w:rPr>
                <w:rFonts w:ascii="Times New Roman" w:eastAsia="Times New Roman" w:hAnsi="Times New Roman" w:cs="Times New Roman"/>
                <w:b/>
                <w:bCs/>
                <w:color w:val="000000"/>
                <w:sz w:val="18"/>
                <w:szCs w:val="18"/>
              </w:rPr>
              <w:t>Booster recommended for 65+</w:t>
            </w:r>
          </w:p>
        </w:tc>
        <w:tc>
          <w:tcPr>
            <w:tcW w:w="1276" w:type="dxa"/>
            <w:tcBorders>
              <w:top w:val="single" w:sz="6" w:space="0" w:color="7F7F7F"/>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A11BA70"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Dec 10</w:t>
            </w:r>
          </w:p>
          <w:p w14:paraId="752A3F8A"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(Oct 15–Feb 7)</w:t>
            </w:r>
          </w:p>
        </w:tc>
        <w:tc>
          <w:tcPr>
            <w:tcW w:w="1417" w:type="dxa"/>
            <w:tcBorders>
              <w:top w:val="single" w:sz="6" w:space="0" w:color="7F7F7F"/>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0D47DB4"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39,000</w:t>
            </w:r>
          </w:p>
          <w:p w14:paraId="22E743E0"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(17,000–91,000)</w:t>
            </w:r>
          </w:p>
        </w:tc>
        <w:tc>
          <w:tcPr>
            <w:tcW w:w="1560" w:type="dxa"/>
            <w:tcBorders>
              <w:top w:val="single" w:sz="6" w:space="0" w:color="7F7F7F"/>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D23A7FE"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943,000</w:t>
            </w:r>
          </w:p>
          <w:p w14:paraId="7BF076EA"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(689,000–1,859,000)</w:t>
            </w:r>
          </w:p>
        </w:tc>
        <w:tc>
          <w:tcPr>
            <w:tcW w:w="1417" w:type="dxa"/>
            <w:tcBorders>
              <w:top w:val="single" w:sz="6" w:space="0" w:color="7F7F7F"/>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30EDF53"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94,000</w:t>
            </w:r>
          </w:p>
          <w:p w14:paraId="7C9A57C7"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(55,000–178,000)</w:t>
            </w:r>
          </w:p>
        </w:tc>
        <w:tc>
          <w:tcPr>
            <w:tcW w:w="1134" w:type="dxa"/>
            <w:tcBorders>
              <w:top w:val="single" w:sz="6" w:space="0" w:color="7F7F7F"/>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8266B52"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Dec 15</w:t>
            </w:r>
          </w:p>
          <w:p w14:paraId="04F016B6"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(Oct 13–Feb 23)</w:t>
            </w:r>
          </w:p>
        </w:tc>
        <w:tc>
          <w:tcPr>
            <w:tcW w:w="1276" w:type="dxa"/>
            <w:tcBorders>
              <w:top w:val="single" w:sz="6" w:space="0" w:color="7F7F7F"/>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9A40981"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41,000</w:t>
            </w:r>
          </w:p>
          <w:p w14:paraId="750D54FB"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(16,000–77,000)</w:t>
            </w:r>
          </w:p>
        </w:tc>
        <w:tc>
          <w:tcPr>
            <w:tcW w:w="1559" w:type="dxa"/>
            <w:tcBorders>
              <w:top w:val="single" w:sz="6" w:space="0" w:color="7F7F7F"/>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B820717"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1,049,000</w:t>
            </w:r>
          </w:p>
          <w:p w14:paraId="6656B207"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(584,000–1,959,000)</w:t>
            </w:r>
          </w:p>
        </w:tc>
        <w:tc>
          <w:tcPr>
            <w:tcW w:w="1470" w:type="dxa"/>
            <w:tcBorders>
              <w:top w:val="single" w:sz="6" w:space="0" w:color="7F7F7F"/>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6F8AAFC"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99,000</w:t>
            </w:r>
          </w:p>
          <w:p w14:paraId="2CC4435D"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(67,000–189,000)</w:t>
            </w:r>
          </w:p>
        </w:tc>
      </w:tr>
      <w:tr w:rsidR="001C4D18" w:rsidRPr="00B149ED" w14:paraId="1D2576C7" w14:textId="77777777" w:rsidTr="001C4D18">
        <w:trPr>
          <w:trHeight w:val="510"/>
        </w:trPr>
        <w:tc>
          <w:tcPr>
            <w:tcW w:w="1835"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756DD57E" w14:textId="77777777" w:rsidR="001C4D18" w:rsidRPr="001C4D18" w:rsidRDefault="001C4D18" w:rsidP="00B149ED">
            <w:pPr>
              <w:rPr>
                <w:rFonts w:ascii="Times New Roman" w:eastAsia="Times New Roman" w:hAnsi="Times New Roman" w:cs="Times New Roman"/>
                <w:sz w:val="18"/>
                <w:szCs w:val="18"/>
              </w:rPr>
            </w:pPr>
            <w:r w:rsidRPr="001C4D18">
              <w:rPr>
                <w:rFonts w:ascii="Times New Roman" w:eastAsia="Times New Roman" w:hAnsi="Times New Roman" w:cs="Times New Roman"/>
                <w:b/>
                <w:bCs/>
                <w:color w:val="000000"/>
                <w:sz w:val="18"/>
                <w:szCs w:val="18"/>
              </w:rPr>
              <w:t>Booster recommended for all</w:t>
            </w:r>
          </w:p>
        </w:tc>
        <w:tc>
          <w:tcPr>
            <w:tcW w:w="1276"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11A444B4"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Dec 10</w:t>
            </w:r>
          </w:p>
          <w:p w14:paraId="65EC6DE7"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(Oct 8–Feb 18)</w:t>
            </w:r>
          </w:p>
        </w:tc>
        <w:tc>
          <w:tcPr>
            <w:tcW w:w="1417"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3A411FD1"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35,000</w:t>
            </w:r>
          </w:p>
          <w:p w14:paraId="6F6E7A27"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(15,000–91,000)</w:t>
            </w:r>
          </w:p>
        </w:tc>
        <w:tc>
          <w:tcPr>
            <w:tcW w:w="1560"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7C511337"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836,000</w:t>
            </w:r>
          </w:p>
          <w:p w14:paraId="4D5B184B"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(595,000–1,723,000)</w:t>
            </w:r>
          </w:p>
        </w:tc>
        <w:tc>
          <w:tcPr>
            <w:tcW w:w="1417"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3ABFE411"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82,000</w:t>
            </w:r>
          </w:p>
          <w:p w14:paraId="6E9D2C73"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(53,000–173,000)</w:t>
            </w:r>
          </w:p>
        </w:tc>
        <w:tc>
          <w:tcPr>
            <w:tcW w:w="1134"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1EBF3489"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Dec 8</w:t>
            </w:r>
          </w:p>
          <w:p w14:paraId="284F2FE2"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(Jun 9–Feb 19)</w:t>
            </w:r>
          </w:p>
        </w:tc>
        <w:tc>
          <w:tcPr>
            <w:tcW w:w="1276"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00ECA8DA"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32,000</w:t>
            </w:r>
          </w:p>
          <w:p w14:paraId="12166C12"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(14,000–77,000)</w:t>
            </w:r>
          </w:p>
        </w:tc>
        <w:tc>
          <w:tcPr>
            <w:tcW w:w="1559"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013C9CDA"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949,000</w:t>
            </w:r>
          </w:p>
          <w:p w14:paraId="0D59F98E"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(606,000–1,741,000)</w:t>
            </w:r>
          </w:p>
        </w:tc>
        <w:tc>
          <w:tcPr>
            <w:tcW w:w="1470"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4FC767B5"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89,000</w:t>
            </w:r>
          </w:p>
          <w:p w14:paraId="2FE27168" w14:textId="77777777" w:rsidR="001C4D18" w:rsidRPr="001C4D18" w:rsidRDefault="001C4D18" w:rsidP="00B149ED">
            <w:pPr>
              <w:jc w:val="center"/>
              <w:rPr>
                <w:rFonts w:ascii="Times New Roman" w:eastAsia="Times New Roman" w:hAnsi="Times New Roman" w:cs="Times New Roman"/>
                <w:sz w:val="16"/>
                <w:szCs w:val="16"/>
              </w:rPr>
            </w:pPr>
            <w:r w:rsidRPr="001C4D18">
              <w:rPr>
                <w:rFonts w:ascii="Times New Roman" w:eastAsia="Times New Roman" w:hAnsi="Times New Roman" w:cs="Times New Roman"/>
                <w:color w:val="000000"/>
                <w:sz w:val="16"/>
                <w:szCs w:val="16"/>
              </w:rPr>
              <w:t>(64,000–182,000)</w:t>
            </w:r>
          </w:p>
        </w:tc>
      </w:tr>
      <w:tr w:rsidR="001C4D18" w:rsidRPr="001C4D18" w14:paraId="6171853D" w14:textId="77777777" w:rsidTr="001C4D18">
        <w:trPr>
          <w:trHeight w:val="375"/>
        </w:trPr>
        <w:tc>
          <w:tcPr>
            <w:tcW w:w="12944" w:type="dxa"/>
            <w:gridSpan w:val="9"/>
            <w:tcBorders>
              <w:top w:val="single" w:sz="6" w:space="0" w:color="7F7F7F"/>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14A7B85" w14:textId="77777777" w:rsidR="001C4D18" w:rsidRPr="001C4D18" w:rsidRDefault="001C4D18" w:rsidP="00B149ED">
            <w:pPr>
              <w:rPr>
                <w:rFonts w:ascii="Times New Roman" w:eastAsia="Times New Roman" w:hAnsi="Times New Roman" w:cs="Times New Roman"/>
              </w:rPr>
            </w:pPr>
            <w:r w:rsidRPr="001C4D18">
              <w:rPr>
                <w:rFonts w:ascii="Times New Roman" w:eastAsia="Times New Roman" w:hAnsi="Times New Roman" w:cs="Times New Roman"/>
                <w:b/>
                <w:bCs/>
                <w:color w:val="000000"/>
                <w:sz w:val="18"/>
                <w:szCs w:val="18"/>
              </w:rPr>
              <w:t>Low immune escape</w:t>
            </w:r>
          </w:p>
        </w:tc>
      </w:tr>
      <w:tr w:rsidR="001C4D18" w:rsidRPr="00B149ED" w14:paraId="202E765F" w14:textId="77777777" w:rsidTr="001C4D18">
        <w:trPr>
          <w:trHeight w:val="510"/>
        </w:trPr>
        <w:tc>
          <w:tcPr>
            <w:tcW w:w="1835"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5B1172E3" w14:textId="77777777" w:rsidR="001C4D18" w:rsidRPr="001C4D18" w:rsidRDefault="001C4D18" w:rsidP="00B149ED">
            <w:pPr>
              <w:rPr>
                <w:rFonts w:ascii="Times New Roman" w:eastAsia="Times New Roman" w:hAnsi="Times New Roman" w:cs="Times New Roman"/>
                <w:sz w:val="18"/>
                <w:szCs w:val="18"/>
              </w:rPr>
            </w:pPr>
            <w:r w:rsidRPr="001C4D18">
              <w:rPr>
                <w:rFonts w:ascii="Times New Roman" w:eastAsia="Times New Roman" w:hAnsi="Times New Roman" w:cs="Times New Roman"/>
                <w:b/>
                <w:bCs/>
                <w:color w:val="000000"/>
                <w:sz w:val="18"/>
                <w:szCs w:val="18"/>
              </w:rPr>
              <w:t>No booster recommendation</w:t>
            </w:r>
          </w:p>
        </w:tc>
        <w:tc>
          <w:tcPr>
            <w:tcW w:w="1276"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477166BA"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Dec 13</w:t>
            </w:r>
          </w:p>
          <w:p w14:paraId="647EB580"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(Aug 13–Apr 14)</w:t>
            </w:r>
          </w:p>
        </w:tc>
        <w:tc>
          <w:tcPr>
            <w:tcW w:w="1417"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6C05D7B9"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36,000</w:t>
            </w:r>
          </w:p>
          <w:p w14:paraId="3731C773"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(16,000–81,000)</w:t>
            </w:r>
          </w:p>
        </w:tc>
        <w:tc>
          <w:tcPr>
            <w:tcW w:w="1560"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0BBD4858"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825,000</w:t>
            </w:r>
          </w:p>
          <w:p w14:paraId="778D08F8"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(676,000–1,169,000)</w:t>
            </w:r>
          </w:p>
        </w:tc>
        <w:tc>
          <w:tcPr>
            <w:tcW w:w="1417"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789E0A5A"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79,000</w:t>
            </w:r>
          </w:p>
          <w:p w14:paraId="62000D10"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(57,000–124,000)</w:t>
            </w:r>
          </w:p>
        </w:tc>
        <w:tc>
          <w:tcPr>
            <w:tcW w:w="1134"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37020E15"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Dec 29</w:t>
            </w:r>
          </w:p>
          <w:p w14:paraId="64E30B5A"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(Oct 27–Apr 13)</w:t>
            </w:r>
          </w:p>
        </w:tc>
        <w:tc>
          <w:tcPr>
            <w:tcW w:w="1276"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75375FB9"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35,000</w:t>
            </w:r>
          </w:p>
          <w:p w14:paraId="686028DA"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(14,000–76,000)</w:t>
            </w:r>
          </w:p>
        </w:tc>
        <w:tc>
          <w:tcPr>
            <w:tcW w:w="1559"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4C0C1BB8"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956,000</w:t>
            </w:r>
          </w:p>
          <w:p w14:paraId="07904A99"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(578,000–1,304,000)</w:t>
            </w:r>
          </w:p>
        </w:tc>
        <w:tc>
          <w:tcPr>
            <w:tcW w:w="1470"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458A8083"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85,000</w:t>
            </w:r>
          </w:p>
          <w:p w14:paraId="6D70EC84"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(49,000–166,000)</w:t>
            </w:r>
          </w:p>
        </w:tc>
      </w:tr>
      <w:tr w:rsidR="001C4D18" w:rsidRPr="00B149ED" w14:paraId="6614A94C" w14:textId="77777777" w:rsidTr="001C4D18">
        <w:trPr>
          <w:trHeight w:val="510"/>
        </w:trPr>
        <w:tc>
          <w:tcPr>
            <w:tcW w:w="1835" w:type="dxa"/>
            <w:tcBorders>
              <w:top w:val="single" w:sz="6" w:space="0" w:color="7F7F7F"/>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17FDC13" w14:textId="77777777" w:rsidR="001C4D18" w:rsidRPr="001C4D18" w:rsidRDefault="001C4D18" w:rsidP="00B149ED">
            <w:pPr>
              <w:rPr>
                <w:rFonts w:ascii="Times New Roman" w:eastAsia="Times New Roman" w:hAnsi="Times New Roman" w:cs="Times New Roman"/>
                <w:sz w:val="18"/>
                <w:szCs w:val="18"/>
              </w:rPr>
            </w:pPr>
            <w:r w:rsidRPr="001C4D18">
              <w:rPr>
                <w:rFonts w:ascii="Times New Roman" w:eastAsia="Times New Roman" w:hAnsi="Times New Roman" w:cs="Times New Roman"/>
                <w:b/>
                <w:bCs/>
                <w:color w:val="000000"/>
                <w:sz w:val="18"/>
                <w:szCs w:val="18"/>
              </w:rPr>
              <w:t>Booster recommended for 65+</w:t>
            </w:r>
          </w:p>
        </w:tc>
        <w:tc>
          <w:tcPr>
            <w:tcW w:w="1276" w:type="dxa"/>
            <w:tcBorders>
              <w:top w:val="single" w:sz="6" w:space="0" w:color="7F7F7F"/>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12A9C46"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Dec 10</w:t>
            </w:r>
          </w:p>
          <w:p w14:paraId="2AB9D4F7"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(Aug 13–Feb 18)</w:t>
            </w:r>
          </w:p>
        </w:tc>
        <w:tc>
          <w:tcPr>
            <w:tcW w:w="1417" w:type="dxa"/>
            <w:tcBorders>
              <w:top w:val="single" w:sz="6" w:space="0" w:color="7F7F7F"/>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62BCFAA"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34,000</w:t>
            </w:r>
          </w:p>
          <w:p w14:paraId="49CA6E9F"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(15,000–68,000)</w:t>
            </w:r>
          </w:p>
        </w:tc>
        <w:tc>
          <w:tcPr>
            <w:tcW w:w="1560" w:type="dxa"/>
            <w:tcBorders>
              <w:top w:val="single" w:sz="6" w:space="0" w:color="7F7F7F"/>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60296A3"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767,000</w:t>
            </w:r>
          </w:p>
          <w:p w14:paraId="5C59D2FD"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(620,000–1,020,000)</w:t>
            </w:r>
          </w:p>
        </w:tc>
        <w:tc>
          <w:tcPr>
            <w:tcW w:w="1417" w:type="dxa"/>
            <w:tcBorders>
              <w:top w:val="single" w:sz="6" w:space="0" w:color="7F7F7F"/>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D0023C6"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70,000</w:t>
            </w:r>
          </w:p>
          <w:p w14:paraId="09696A67"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(45,000–111,000)</w:t>
            </w:r>
          </w:p>
        </w:tc>
        <w:tc>
          <w:tcPr>
            <w:tcW w:w="1134" w:type="dxa"/>
            <w:tcBorders>
              <w:top w:val="single" w:sz="6" w:space="0" w:color="7F7F7F"/>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C23B47B"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Dec 22</w:t>
            </w:r>
          </w:p>
          <w:p w14:paraId="70CF9BF6"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(Oct 27–Mar 9)</w:t>
            </w:r>
          </w:p>
        </w:tc>
        <w:tc>
          <w:tcPr>
            <w:tcW w:w="1276" w:type="dxa"/>
            <w:tcBorders>
              <w:top w:val="single" w:sz="6" w:space="0" w:color="7F7F7F"/>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79F1EEE"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32,000</w:t>
            </w:r>
          </w:p>
          <w:p w14:paraId="5E728652"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(13,000–65,000)</w:t>
            </w:r>
          </w:p>
        </w:tc>
        <w:tc>
          <w:tcPr>
            <w:tcW w:w="1559" w:type="dxa"/>
            <w:tcBorders>
              <w:top w:val="single" w:sz="6" w:space="0" w:color="7F7F7F"/>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A97ED46"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857,000</w:t>
            </w:r>
          </w:p>
          <w:p w14:paraId="61768F70"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(485,000–1,128,000)</w:t>
            </w:r>
          </w:p>
        </w:tc>
        <w:tc>
          <w:tcPr>
            <w:tcW w:w="1470" w:type="dxa"/>
            <w:tcBorders>
              <w:top w:val="single" w:sz="6" w:space="0" w:color="7F7F7F"/>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C69A2F1"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80,000</w:t>
            </w:r>
          </w:p>
          <w:p w14:paraId="1B9CB691"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(34,000–109,000)</w:t>
            </w:r>
          </w:p>
        </w:tc>
      </w:tr>
      <w:tr w:rsidR="001C4D18" w:rsidRPr="00B149ED" w14:paraId="03805947" w14:textId="77777777" w:rsidTr="001C4D18">
        <w:trPr>
          <w:trHeight w:val="510"/>
        </w:trPr>
        <w:tc>
          <w:tcPr>
            <w:tcW w:w="1835"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41AFB388" w14:textId="77777777" w:rsidR="001C4D18" w:rsidRPr="001C4D18" w:rsidRDefault="001C4D18" w:rsidP="00B149ED">
            <w:pPr>
              <w:rPr>
                <w:rFonts w:ascii="Times New Roman" w:eastAsia="Times New Roman" w:hAnsi="Times New Roman" w:cs="Times New Roman"/>
                <w:sz w:val="18"/>
                <w:szCs w:val="18"/>
              </w:rPr>
            </w:pPr>
            <w:r w:rsidRPr="001C4D18">
              <w:rPr>
                <w:rFonts w:ascii="Times New Roman" w:eastAsia="Times New Roman" w:hAnsi="Times New Roman" w:cs="Times New Roman"/>
                <w:b/>
                <w:bCs/>
                <w:color w:val="000000"/>
                <w:sz w:val="18"/>
                <w:szCs w:val="18"/>
              </w:rPr>
              <w:t>Booster recommended for all</w:t>
            </w:r>
          </w:p>
        </w:tc>
        <w:tc>
          <w:tcPr>
            <w:tcW w:w="1276"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0C8749F7"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Dec 3</w:t>
            </w:r>
          </w:p>
          <w:p w14:paraId="3D2D4F3D"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(Apr 30–Mar 3)</w:t>
            </w:r>
          </w:p>
        </w:tc>
        <w:tc>
          <w:tcPr>
            <w:tcW w:w="1417"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0E45AE15"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26,000</w:t>
            </w:r>
          </w:p>
          <w:p w14:paraId="223403B8"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(13,000–57,000)</w:t>
            </w:r>
          </w:p>
        </w:tc>
        <w:tc>
          <w:tcPr>
            <w:tcW w:w="1560"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407F6423"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670,000</w:t>
            </w:r>
          </w:p>
          <w:p w14:paraId="723178B1"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(487,000–920,000)</w:t>
            </w:r>
          </w:p>
        </w:tc>
        <w:tc>
          <w:tcPr>
            <w:tcW w:w="1417"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6EF0004E"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63,000</w:t>
            </w:r>
          </w:p>
          <w:p w14:paraId="0848A0A8"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(38,000–101,000)</w:t>
            </w:r>
          </w:p>
        </w:tc>
        <w:tc>
          <w:tcPr>
            <w:tcW w:w="1134"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65480B4B"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Dec 15</w:t>
            </w:r>
          </w:p>
          <w:p w14:paraId="17E63A47"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(Jun 12–Mar 9)</w:t>
            </w:r>
          </w:p>
        </w:tc>
        <w:tc>
          <w:tcPr>
            <w:tcW w:w="1276"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76567D32"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28,000</w:t>
            </w:r>
          </w:p>
          <w:p w14:paraId="6F0DEB56"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(12,000–51,000)</w:t>
            </w:r>
          </w:p>
        </w:tc>
        <w:tc>
          <w:tcPr>
            <w:tcW w:w="1559"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040A2BF8"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717,000</w:t>
            </w:r>
          </w:p>
          <w:p w14:paraId="154587F6"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(496,000–1,027,000)</w:t>
            </w:r>
          </w:p>
        </w:tc>
        <w:tc>
          <w:tcPr>
            <w:tcW w:w="1470" w:type="dxa"/>
            <w:tcBorders>
              <w:top w:val="single" w:sz="6" w:space="0" w:color="000000"/>
              <w:left w:val="single" w:sz="6" w:space="0" w:color="000000"/>
              <w:bottom w:val="single" w:sz="6" w:space="0" w:color="7F7F7F"/>
              <w:right w:val="single" w:sz="6" w:space="0" w:color="000000"/>
            </w:tcBorders>
            <w:tcMar>
              <w:top w:w="0" w:type="dxa"/>
              <w:left w:w="100" w:type="dxa"/>
              <w:bottom w:w="0" w:type="dxa"/>
              <w:right w:w="100" w:type="dxa"/>
            </w:tcMar>
            <w:vAlign w:val="center"/>
            <w:hideMark/>
          </w:tcPr>
          <w:p w14:paraId="277DAB0E"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67,000</w:t>
            </w:r>
          </w:p>
          <w:p w14:paraId="1B1804E4" w14:textId="77777777" w:rsidR="001C4D18" w:rsidRPr="001C4D18" w:rsidRDefault="001C4D18" w:rsidP="00B149ED">
            <w:pPr>
              <w:jc w:val="center"/>
              <w:rPr>
                <w:rFonts w:ascii="Times New Roman" w:eastAsia="Times New Roman" w:hAnsi="Times New Roman" w:cs="Times New Roman"/>
                <w:sz w:val="15"/>
                <w:szCs w:val="15"/>
              </w:rPr>
            </w:pPr>
            <w:r w:rsidRPr="001C4D18">
              <w:rPr>
                <w:rFonts w:ascii="Times New Roman" w:eastAsia="Times New Roman" w:hAnsi="Times New Roman" w:cs="Times New Roman"/>
                <w:color w:val="000000"/>
                <w:sz w:val="15"/>
                <w:szCs w:val="15"/>
              </w:rPr>
              <w:t>(33,000–100,000)</w:t>
            </w:r>
          </w:p>
        </w:tc>
      </w:tr>
    </w:tbl>
    <w:p w14:paraId="6DED9FFA" w14:textId="77777777" w:rsidR="001C4D18" w:rsidRPr="001C4D18" w:rsidRDefault="001C4D18" w:rsidP="00B149ED">
      <w:pPr>
        <w:spacing w:line="480" w:lineRule="auto"/>
        <w:jc w:val="both"/>
        <w:rPr>
          <w:rFonts w:ascii="Times New Roman" w:eastAsia="Times New Roman" w:hAnsi="Times New Roman" w:cs="Times New Roman"/>
        </w:rPr>
      </w:pPr>
      <w:r w:rsidRPr="001C4D18">
        <w:rPr>
          <w:rFonts w:ascii="Times New Roman" w:eastAsia="Times New Roman" w:hAnsi="Times New Roman" w:cs="Times New Roman"/>
          <w:color w:val="000000"/>
        </w:rPr>
        <w:t>Each value represents the median projection with 90% projection interval below</w:t>
      </w:r>
    </w:p>
    <w:p w14:paraId="501F39F2" w14:textId="77777777" w:rsidR="001C4D18" w:rsidRPr="001C4D18" w:rsidRDefault="001C4D18" w:rsidP="00B149ED">
      <w:pPr>
        <w:spacing w:line="480" w:lineRule="auto"/>
        <w:rPr>
          <w:rFonts w:ascii="Times New Roman" w:eastAsia="Times New Roman" w:hAnsi="Times New Roman" w:cs="Times New Roman"/>
        </w:rPr>
      </w:pPr>
    </w:p>
    <w:p w14:paraId="39233C12" w14:textId="77777777" w:rsidR="001C4D18" w:rsidRPr="00B149ED" w:rsidRDefault="001C4D18" w:rsidP="00B149ED">
      <w:pPr>
        <w:spacing w:line="480" w:lineRule="auto"/>
        <w:rPr>
          <w:rFonts w:ascii="Times New Roman" w:hAnsi="Times New Roman" w:cs="Times New Roman"/>
        </w:rPr>
        <w:sectPr w:rsidR="001C4D18" w:rsidRPr="00B149ED" w:rsidSect="001C4D18">
          <w:pgSz w:w="15840" w:h="12240" w:orient="landscape"/>
          <w:pgMar w:top="1440" w:right="1440" w:bottom="1440" w:left="1440" w:header="708" w:footer="708" w:gutter="0"/>
          <w:cols w:space="708"/>
          <w:docGrid w:linePitch="360"/>
        </w:sectPr>
      </w:pPr>
    </w:p>
    <w:p w14:paraId="7F7808DF" w14:textId="77777777" w:rsidR="001C4D18" w:rsidRPr="001C4D18" w:rsidRDefault="001C4D18" w:rsidP="00B149ED">
      <w:pPr>
        <w:spacing w:line="480" w:lineRule="auto"/>
        <w:jc w:val="both"/>
        <w:rPr>
          <w:rFonts w:ascii="Times New Roman" w:eastAsia="Times New Roman" w:hAnsi="Times New Roman" w:cs="Times New Roman"/>
        </w:rPr>
      </w:pPr>
      <w:r w:rsidRPr="001C4D18">
        <w:rPr>
          <w:rFonts w:ascii="Times New Roman" w:eastAsia="Times New Roman" w:hAnsi="Times New Roman" w:cs="Times New Roman"/>
          <w:b/>
          <w:bCs/>
          <w:color w:val="000000"/>
          <w:sz w:val="28"/>
          <w:szCs w:val="28"/>
        </w:rPr>
        <w:lastRenderedPageBreak/>
        <w:t>Supplementary figure legends</w:t>
      </w:r>
    </w:p>
    <w:p w14:paraId="3AF951B7" w14:textId="77777777" w:rsidR="001C4D18" w:rsidRPr="001C4D18" w:rsidRDefault="001C4D18" w:rsidP="00B149ED">
      <w:pPr>
        <w:spacing w:line="480" w:lineRule="auto"/>
        <w:rPr>
          <w:rFonts w:ascii="Times New Roman" w:eastAsia="Times New Roman" w:hAnsi="Times New Roman" w:cs="Times New Roman"/>
        </w:rPr>
      </w:pPr>
    </w:p>
    <w:p w14:paraId="09C0B951" w14:textId="77777777" w:rsidR="001C4D18" w:rsidRPr="001C4D18" w:rsidRDefault="001C4D18" w:rsidP="00B149ED">
      <w:pPr>
        <w:spacing w:line="480" w:lineRule="auto"/>
        <w:jc w:val="both"/>
        <w:rPr>
          <w:rFonts w:ascii="Times New Roman" w:eastAsia="Times New Roman" w:hAnsi="Times New Roman" w:cs="Times New Roman"/>
        </w:rPr>
      </w:pPr>
      <w:r w:rsidRPr="001C4D18">
        <w:rPr>
          <w:rFonts w:ascii="Times New Roman" w:eastAsia="Times New Roman" w:hAnsi="Times New Roman" w:cs="Times New Roman"/>
          <w:b/>
          <w:bCs/>
          <w:color w:val="000000"/>
        </w:rPr>
        <w:t>Figure S1: Projected cumulative COVID-19 hospitalizations and deaths in the United States by scenario, April 2023–April 2025.</w:t>
      </w:r>
    </w:p>
    <w:p w14:paraId="4192181D" w14:textId="77777777" w:rsidR="001C4D18" w:rsidRPr="001C4D18" w:rsidRDefault="001C4D18" w:rsidP="00B149ED">
      <w:pPr>
        <w:spacing w:line="480" w:lineRule="auto"/>
        <w:jc w:val="both"/>
        <w:rPr>
          <w:rFonts w:ascii="Times New Roman" w:eastAsia="Times New Roman" w:hAnsi="Times New Roman" w:cs="Times New Roman"/>
        </w:rPr>
      </w:pPr>
      <w:r w:rsidRPr="001C4D18">
        <w:rPr>
          <w:rFonts w:ascii="Times New Roman" w:eastAsia="Times New Roman" w:hAnsi="Times New Roman" w:cs="Times New Roman"/>
          <w:color w:val="000000"/>
        </w:rPr>
        <w:t xml:space="preserve">Ensemble projections for cumulative COVID-19 hospitalization and deaths in the United States for the next two years (April 2023–April 2025) are shown by scenario. Lines and shades indicate the median of projected outcomes and 90% projection intervals. Each color represents different annual vaccination recommendations (no recommendation, reformulated vaccines </w:t>
      </w:r>
      <w:r w:rsidRPr="001C4D18">
        <w:rPr>
          <w:rFonts w:ascii="Times New Roman" w:eastAsia="Times New Roman" w:hAnsi="Times New Roman" w:cs="Times New Roman"/>
          <w:color w:val="000000"/>
          <w:shd w:val="clear" w:color="auto" w:fill="FFFFFF"/>
        </w:rPr>
        <w:t>recommended for those aged 65 and above, and recommended for all age groups). </w:t>
      </w:r>
    </w:p>
    <w:p w14:paraId="1CB3F983" w14:textId="77777777" w:rsidR="001C4D18" w:rsidRPr="001C4D18" w:rsidRDefault="001C4D18" w:rsidP="00B149ED">
      <w:pPr>
        <w:spacing w:line="480" w:lineRule="auto"/>
        <w:rPr>
          <w:rFonts w:ascii="Times New Roman" w:eastAsia="Times New Roman" w:hAnsi="Times New Roman" w:cs="Times New Roman"/>
        </w:rPr>
      </w:pPr>
    </w:p>
    <w:p w14:paraId="3F77DC6C" w14:textId="77777777" w:rsidR="001C4D18" w:rsidRPr="001C4D18" w:rsidRDefault="001C4D18" w:rsidP="00B149ED">
      <w:pPr>
        <w:spacing w:line="480" w:lineRule="auto"/>
        <w:jc w:val="both"/>
        <w:rPr>
          <w:rFonts w:ascii="Times New Roman" w:eastAsia="Times New Roman" w:hAnsi="Times New Roman" w:cs="Times New Roman"/>
        </w:rPr>
      </w:pPr>
      <w:r w:rsidRPr="001C4D18">
        <w:rPr>
          <w:rFonts w:ascii="Times New Roman" w:eastAsia="Times New Roman" w:hAnsi="Times New Roman" w:cs="Times New Roman"/>
          <w:b/>
          <w:bCs/>
          <w:color w:val="000000"/>
        </w:rPr>
        <w:t>Figure S2: State-level peak COVID-19 hospitalizations in high immune escape scenarios by season and vaccination scenario.</w:t>
      </w:r>
    </w:p>
    <w:p w14:paraId="74500029" w14:textId="77777777" w:rsidR="001C4D18" w:rsidRPr="001C4D18" w:rsidRDefault="001C4D18" w:rsidP="00B149ED">
      <w:pPr>
        <w:spacing w:line="480" w:lineRule="auto"/>
        <w:jc w:val="both"/>
        <w:rPr>
          <w:rFonts w:ascii="Times New Roman" w:eastAsia="Times New Roman" w:hAnsi="Times New Roman" w:cs="Times New Roman"/>
        </w:rPr>
      </w:pPr>
      <w:r w:rsidRPr="001C4D18">
        <w:rPr>
          <w:rFonts w:ascii="Times New Roman" w:eastAsia="Times New Roman" w:hAnsi="Times New Roman" w:cs="Times New Roman"/>
          <w:color w:val="000000"/>
        </w:rPr>
        <w:t xml:space="preserve">The peak hospitalizations per 100,000 over the next two years (April 2023–April 2025) under high immune escape assumption are shown by US state and by vaccination scenario (no recommendation, reformulated vaccines </w:t>
      </w:r>
      <w:r w:rsidRPr="001C4D18">
        <w:rPr>
          <w:rFonts w:ascii="Times New Roman" w:eastAsia="Times New Roman" w:hAnsi="Times New Roman" w:cs="Times New Roman"/>
          <w:color w:val="000000"/>
          <w:shd w:val="clear" w:color="auto" w:fill="FFFFFF"/>
        </w:rPr>
        <w:t>recommended for those aged 65 and above, and recommended for all age groups)</w:t>
      </w:r>
      <w:r w:rsidRPr="001C4D18">
        <w:rPr>
          <w:rFonts w:ascii="Times New Roman" w:eastAsia="Times New Roman" w:hAnsi="Times New Roman" w:cs="Times New Roman"/>
          <w:color w:val="000000"/>
        </w:rPr>
        <w:t>. Shades of blue indicate states with lower values and shades of red indicate states with higher values. For visualizations, square root scaling was applied in x-axes.</w:t>
      </w:r>
    </w:p>
    <w:p w14:paraId="3C23186F" w14:textId="77777777" w:rsidR="001C4D18" w:rsidRPr="001C4D18" w:rsidRDefault="001C4D18" w:rsidP="00B149ED">
      <w:pPr>
        <w:spacing w:line="480" w:lineRule="auto"/>
        <w:rPr>
          <w:rFonts w:ascii="Times New Roman" w:eastAsia="Times New Roman" w:hAnsi="Times New Roman" w:cs="Times New Roman"/>
        </w:rPr>
      </w:pPr>
    </w:p>
    <w:p w14:paraId="296D37C3" w14:textId="77777777" w:rsidR="001C4D18" w:rsidRPr="001C4D18" w:rsidRDefault="001C4D18" w:rsidP="00B149ED">
      <w:pPr>
        <w:spacing w:line="480" w:lineRule="auto"/>
        <w:jc w:val="both"/>
        <w:rPr>
          <w:rFonts w:ascii="Times New Roman" w:eastAsia="Times New Roman" w:hAnsi="Times New Roman" w:cs="Times New Roman"/>
        </w:rPr>
      </w:pPr>
      <w:r w:rsidRPr="001C4D18">
        <w:rPr>
          <w:rFonts w:ascii="Times New Roman" w:eastAsia="Times New Roman" w:hAnsi="Times New Roman" w:cs="Times New Roman"/>
          <w:b/>
          <w:bCs/>
          <w:color w:val="000000"/>
        </w:rPr>
        <w:t>Figure S3: State-level peak timing of COVID-19 hospitalizations in high immune escape scenarios by season and vaccination scenario.</w:t>
      </w:r>
    </w:p>
    <w:p w14:paraId="5E00FAB8" w14:textId="77777777" w:rsidR="001C4D18" w:rsidRPr="001C4D18" w:rsidRDefault="001C4D18" w:rsidP="00B149ED">
      <w:pPr>
        <w:spacing w:line="480" w:lineRule="auto"/>
        <w:jc w:val="both"/>
        <w:rPr>
          <w:rFonts w:ascii="Times New Roman" w:eastAsia="Times New Roman" w:hAnsi="Times New Roman" w:cs="Times New Roman"/>
        </w:rPr>
      </w:pPr>
      <w:r w:rsidRPr="001C4D18">
        <w:rPr>
          <w:rFonts w:ascii="Times New Roman" w:eastAsia="Times New Roman" w:hAnsi="Times New Roman" w:cs="Times New Roman"/>
          <w:color w:val="000000"/>
        </w:rPr>
        <w:t xml:space="preserve">The peak timing of hospitalizations under high immune escape assumption is shown by US state and by vaccination scenario (no recommendation, reformulated vaccines </w:t>
      </w:r>
      <w:r w:rsidRPr="001C4D18">
        <w:rPr>
          <w:rFonts w:ascii="Times New Roman" w:eastAsia="Times New Roman" w:hAnsi="Times New Roman" w:cs="Times New Roman"/>
          <w:color w:val="000000"/>
          <w:shd w:val="clear" w:color="auto" w:fill="FFFFFF"/>
        </w:rPr>
        <w:t xml:space="preserve">recommended for those </w:t>
      </w:r>
      <w:r w:rsidRPr="001C4D18">
        <w:rPr>
          <w:rFonts w:ascii="Times New Roman" w:eastAsia="Times New Roman" w:hAnsi="Times New Roman" w:cs="Times New Roman"/>
          <w:color w:val="000000"/>
          <w:shd w:val="clear" w:color="auto" w:fill="FFFFFF"/>
        </w:rPr>
        <w:lastRenderedPageBreak/>
        <w:t>aged 65 and above, and recommended for all age groups)</w:t>
      </w:r>
      <w:r w:rsidRPr="001C4D18">
        <w:rPr>
          <w:rFonts w:ascii="Times New Roman" w:eastAsia="Times New Roman" w:hAnsi="Times New Roman" w:cs="Times New Roman"/>
          <w:color w:val="000000"/>
        </w:rPr>
        <w:t>. Shades of blue indicate states with lower values and shades of red indicate states with higher values.</w:t>
      </w:r>
    </w:p>
    <w:p w14:paraId="669F5E9A" w14:textId="77777777" w:rsidR="001C4D18" w:rsidRPr="001C4D18" w:rsidRDefault="001C4D18" w:rsidP="00B149ED">
      <w:pPr>
        <w:spacing w:line="480" w:lineRule="auto"/>
        <w:rPr>
          <w:rFonts w:ascii="Times New Roman" w:eastAsia="Times New Roman" w:hAnsi="Times New Roman" w:cs="Times New Roman"/>
        </w:rPr>
      </w:pPr>
    </w:p>
    <w:p w14:paraId="0AFD1A28" w14:textId="77777777" w:rsidR="001C4D18" w:rsidRPr="001C4D18" w:rsidRDefault="001C4D18" w:rsidP="00B149ED">
      <w:pPr>
        <w:spacing w:line="480" w:lineRule="auto"/>
        <w:jc w:val="both"/>
        <w:rPr>
          <w:rFonts w:ascii="Times New Roman" w:eastAsia="Times New Roman" w:hAnsi="Times New Roman" w:cs="Times New Roman"/>
        </w:rPr>
      </w:pPr>
      <w:r w:rsidRPr="001C4D18">
        <w:rPr>
          <w:rFonts w:ascii="Times New Roman" w:eastAsia="Times New Roman" w:hAnsi="Times New Roman" w:cs="Times New Roman"/>
          <w:b/>
          <w:bCs/>
          <w:color w:val="000000"/>
        </w:rPr>
        <w:t>Figure S4: State-level percent prevented COVID-19 hospitalizations between the annual vaccination scenarios from April 2023 to April 2025 by scenario.</w:t>
      </w:r>
    </w:p>
    <w:p w14:paraId="2AE12CB3" w14:textId="77777777" w:rsidR="001C4D18" w:rsidRPr="001C4D18" w:rsidRDefault="001C4D18" w:rsidP="00B149ED">
      <w:pPr>
        <w:spacing w:line="480" w:lineRule="auto"/>
        <w:jc w:val="both"/>
        <w:rPr>
          <w:rFonts w:ascii="Times New Roman" w:eastAsia="Times New Roman" w:hAnsi="Times New Roman" w:cs="Times New Roman"/>
        </w:rPr>
      </w:pPr>
      <w:r w:rsidRPr="001C4D18">
        <w:rPr>
          <w:rFonts w:ascii="Times New Roman" w:eastAsia="Times New Roman" w:hAnsi="Times New Roman" w:cs="Times New Roman"/>
          <w:color w:val="000000"/>
        </w:rPr>
        <w:t>Relative differences in cumulative COVID-19 hospitalizations over the next two years (April 2023–April 2025) between different vaccination scenarios are shown by immune escape level and by US state. Shades of yellow indicate states with lower values and shades of purple indicate states with higher values.</w:t>
      </w:r>
    </w:p>
    <w:p w14:paraId="1B7CA366" w14:textId="77777777" w:rsidR="001C4D18" w:rsidRPr="001C4D18" w:rsidRDefault="001C4D18" w:rsidP="00B149ED">
      <w:pPr>
        <w:spacing w:line="480" w:lineRule="auto"/>
        <w:rPr>
          <w:rFonts w:ascii="Times New Roman" w:eastAsia="Times New Roman" w:hAnsi="Times New Roman" w:cs="Times New Roman"/>
        </w:rPr>
      </w:pPr>
    </w:p>
    <w:p w14:paraId="179547C4" w14:textId="77777777" w:rsidR="001C4D18" w:rsidRPr="001C4D18" w:rsidRDefault="001C4D18" w:rsidP="00B149ED">
      <w:pPr>
        <w:spacing w:line="480" w:lineRule="auto"/>
        <w:jc w:val="both"/>
        <w:rPr>
          <w:rFonts w:ascii="Times New Roman" w:eastAsia="Times New Roman" w:hAnsi="Times New Roman" w:cs="Times New Roman"/>
        </w:rPr>
      </w:pPr>
      <w:r w:rsidRPr="001C4D18">
        <w:rPr>
          <w:rFonts w:ascii="Times New Roman" w:eastAsia="Times New Roman" w:hAnsi="Times New Roman" w:cs="Times New Roman"/>
          <w:b/>
          <w:bCs/>
          <w:color w:val="000000"/>
        </w:rPr>
        <w:t>Figure S5: State-level percent prevented COVID-19 deaths between the annual vaccination scenarios from April 2023 to April 2025 by scenario.</w:t>
      </w:r>
    </w:p>
    <w:p w14:paraId="54EED729" w14:textId="3172155E" w:rsidR="001C4D18" w:rsidRPr="00B149ED" w:rsidRDefault="001C4D18" w:rsidP="00B149ED">
      <w:pPr>
        <w:spacing w:line="480" w:lineRule="auto"/>
        <w:jc w:val="both"/>
        <w:rPr>
          <w:rFonts w:ascii="Times New Roman" w:eastAsia="Times New Roman" w:hAnsi="Times New Roman" w:cs="Times New Roman"/>
          <w:color w:val="000000"/>
        </w:rPr>
      </w:pPr>
      <w:r w:rsidRPr="001C4D18">
        <w:rPr>
          <w:rFonts w:ascii="Times New Roman" w:eastAsia="Times New Roman" w:hAnsi="Times New Roman" w:cs="Times New Roman"/>
          <w:color w:val="000000"/>
        </w:rPr>
        <w:t>Relative differences in cumulative COVID-19 deaths over the next two years (April 2023–April 2025) between different vaccination scenarios are shown by immune escape level and by US state. Shades of yellow indicate states with lower values and shades of purple indicate states with higher values.</w:t>
      </w:r>
      <w:r w:rsidRPr="00B149ED">
        <w:rPr>
          <w:rFonts w:ascii="Times New Roman" w:eastAsia="Times New Roman" w:hAnsi="Times New Roman" w:cs="Times New Roman"/>
          <w:color w:val="000000"/>
        </w:rPr>
        <w:br w:type="page"/>
      </w:r>
    </w:p>
    <w:p w14:paraId="00AA903F" w14:textId="77777777" w:rsidR="001C4D18" w:rsidRPr="001C4D18" w:rsidRDefault="001C4D18" w:rsidP="00B149ED">
      <w:pPr>
        <w:spacing w:line="480" w:lineRule="auto"/>
        <w:jc w:val="both"/>
        <w:rPr>
          <w:rFonts w:ascii="Times New Roman" w:eastAsia="Times New Roman" w:hAnsi="Times New Roman" w:cs="Times New Roman"/>
        </w:rPr>
      </w:pPr>
    </w:p>
    <w:p w14:paraId="69C11922" w14:textId="77777777" w:rsidR="001C4D18" w:rsidRPr="001C4D18" w:rsidRDefault="001C4D18" w:rsidP="00B149ED">
      <w:pPr>
        <w:spacing w:after="300" w:line="480" w:lineRule="auto"/>
        <w:rPr>
          <w:rFonts w:ascii="Times New Roman" w:eastAsia="Times New Roman" w:hAnsi="Times New Roman" w:cs="Times New Roman"/>
        </w:rPr>
      </w:pPr>
      <w:r w:rsidRPr="001C4D18">
        <w:rPr>
          <w:rFonts w:ascii="Times New Roman" w:eastAsia="Times New Roman" w:hAnsi="Times New Roman" w:cs="Times New Roman"/>
          <w:b/>
          <w:bCs/>
          <w:i/>
          <w:iCs/>
          <w:color w:val="000000"/>
        </w:rPr>
        <w:t xml:space="preserve">Author Contributions: </w:t>
      </w:r>
      <w:r w:rsidRPr="001C4D18">
        <w:rPr>
          <w:rFonts w:ascii="Times New Roman" w:eastAsia="Times New Roman" w:hAnsi="Times New Roman" w:cs="Times New Roman"/>
          <w:color w:val="000000"/>
        </w:rPr>
        <w:t xml:space="preserve">J. Lessler had full access to all of the data in the study and takes responsibility for the integrity of the data and the accuracy of the data analysis; Concept and design: J. Lessler, C. Viboud, K. Shea, S. Truelove, H. </w:t>
      </w:r>
      <w:r w:rsidRPr="001C4D18">
        <w:rPr>
          <w:rFonts w:ascii="Times New Roman" w:eastAsia="Times New Roman" w:hAnsi="Times New Roman" w:cs="Times New Roman"/>
          <w:color w:val="000000"/>
          <w:shd w:val="clear" w:color="auto" w:fill="FFFFFF"/>
        </w:rPr>
        <w:t xml:space="preserve">Hochheiser, </w:t>
      </w:r>
      <w:r w:rsidRPr="001C4D18">
        <w:rPr>
          <w:rFonts w:ascii="Times New Roman" w:eastAsia="Times New Roman" w:hAnsi="Times New Roman" w:cs="Times New Roman"/>
          <w:color w:val="000000"/>
        </w:rPr>
        <w:t xml:space="preserve">M. Runge, N. Reich; Acquisition, analysis, or interpretation of data: All authors; Drafting of the manuscript: S. Jung, J. Lessler; Statistical analysis: S. Jung, S. Loo. E. Howerton, L. </w:t>
      </w:r>
      <w:r w:rsidRPr="001C4D18">
        <w:rPr>
          <w:rFonts w:ascii="Times New Roman" w:eastAsia="Times New Roman" w:hAnsi="Times New Roman" w:cs="Times New Roman"/>
          <w:color w:val="000000"/>
          <w:shd w:val="clear" w:color="auto" w:fill="FFFFFF"/>
        </w:rPr>
        <w:t xml:space="preserve">Contamin, </w:t>
      </w:r>
      <w:r w:rsidRPr="001C4D18">
        <w:rPr>
          <w:rFonts w:ascii="Times New Roman" w:eastAsia="Times New Roman" w:hAnsi="Times New Roman" w:cs="Times New Roman"/>
          <w:color w:val="000000"/>
        </w:rPr>
        <w:t xml:space="preserve">S. Truelove, J. Lessler; Obtained funding: J. Lessler, S. Truelove, K. Shea, H. </w:t>
      </w:r>
      <w:r w:rsidRPr="001C4D18">
        <w:rPr>
          <w:rFonts w:ascii="Times New Roman" w:eastAsia="Times New Roman" w:hAnsi="Times New Roman" w:cs="Times New Roman"/>
          <w:color w:val="000000"/>
          <w:shd w:val="clear" w:color="auto" w:fill="FFFFFF"/>
        </w:rPr>
        <w:t xml:space="preserve">Hochheiser, </w:t>
      </w:r>
      <w:r w:rsidRPr="001C4D18">
        <w:rPr>
          <w:rFonts w:ascii="Times New Roman" w:eastAsia="Times New Roman" w:hAnsi="Times New Roman" w:cs="Times New Roman"/>
          <w:color w:val="000000"/>
        </w:rPr>
        <w:t>A. Vespignani, J. Swann, S. Moore, L. Meyers, B. Lewis, M. Marathe;</w:t>
      </w:r>
      <w:r w:rsidRPr="001C4D18">
        <w:rPr>
          <w:rFonts w:ascii="Times New Roman" w:eastAsia="Times New Roman" w:hAnsi="Times New Roman" w:cs="Times New Roman"/>
          <w:color w:val="FF0000"/>
        </w:rPr>
        <w:t xml:space="preserve"> </w:t>
      </w:r>
      <w:r w:rsidRPr="001C4D18">
        <w:rPr>
          <w:rFonts w:ascii="Times New Roman" w:eastAsia="Times New Roman" w:hAnsi="Times New Roman" w:cs="Times New Roman"/>
          <w:color w:val="000000"/>
        </w:rPr>
        <w:t xml:space="preserve">Administrative, technical, or material support: None; Supervision: J. Lessler, C. Viboud, K. Shea, S. Truelove, H. </w:t>
      </w:r>
      <w:r w:rsidRPr="001C4D18">
        <w:rPr>
          <w:rFonts w:ascii="Times New Roman" w:eastAsia="Times New Roman" w:hAnsi="Times New Roman" w:cs="Times New Roman"/>
          <w:color w:val="000000"/>
          <w:shd w:val="clear" w:color="auto" w:fill="FFFFFF"/>
        </w:rPr>
        <w:t xml:space="preserve">Hochheiser, </w:t>
      </w:r>
      <w:r w:rsidRPr="001C4D18">
        <w:rPr>
          <w:rFonts w:ascii="Times New Roman" w:eastAsia="Times New Roman" w:hAnsi="Times New Roman" w:cs="Times New Roman"/>
          <w:color w:val="000000"/>
        </w:rPr>
        <w:t>M. Runge, A. Vespignani, J. Swann, S. Chen, S. Moore, A. Srivastava, L. Meyers, B. Lewis, M. Marathe.</w:t>
      </w:r>
    </w:p>
    <w:p w14:paraId="2FEE1401"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i/>
          <w:iCs/>
          <w:color w:val="000000"/>
        </w:rPr>
        <w:t>Conflict of Interest Disclosures</w:t>
      </w:r>
    </w:p>
    <w:p w14:paraId="5B823E5B" w14:textId="6913C9D5" w:rsidR="001C4D18" w:rsidRPr="00054FA9" w:rsidRDefault="001C4D18" w:rsidP="00B149ED">
      <w:pPr>
        <w:spacing w:line="480" w:lineRule="auto"/>
        <w:rPr>
          <w:rFonts w:ascii="Times New Roman" w:eastAsia="Times New Roman" w:hAnsi="Times New Roman" w:cs="Times New Roman"/>
          <w:lang w:val="en-US"/>
        </w:rPr>
      </w:pPr>
      <w:r w:rsidRPr="001C4D18">
        <w:rPr>
          <w:rFonts w:ascii="Times New Roman" w:eastAsia="Times New Roman" w:hAnsi="Times New Roman" w:cs="Times New Roman"/>
          <w:color w:val="1F1F1F"/>
          <w:shd w:val="clear" w:color="auto" w:fill="FFFFFF"/>
        </w:rPr>
        <w:t>J. Espino is president of General Biodefense LLC, a private consulting group for public health informatics, and has interest in READE.ai, a medical artificial intelligence solutions company. M. Runge reports stock ownership in Becton Dickinson &amp; Co., which manufactures medical equipment used in COVID-19 testing, vaccination, and treatment. J. Lessler has served as an expert witness on cases where the likely length of the pandemic was of issue</w:t>
      </w:r>
      <w:r w:rsidR="00054FA9">
        <w:rPr>
          <w:rFonts w:ascii="Times New Roman" w:eastAsia="Times New Roman" w:hAnsi="Times New Roman" w:cs="Times New Roman"/>
          <w:color w:val="1F1F1F"/>
          <w:shd w:val="clear" w:color="auto" w:fill="FFFFFF"/>
          <w:lang w:val="en-US"/>
        </w:rPr>
        <w:t>.</w:t>
      </w:r>
    </w:p>
    <w:p w14:paraId="2E9F1AA7" w14:textId="77777777" w:rsidR="001C4D18" w:rsidRPr="001C4D18" w:rsidRDefault="001C4D18" w:rsidP="00B149ED">
      <w:pPr>
        <w:spacing w:line="480" w:lineRule="auto"/>
        <w:rPr>
          <w:rFonts w:ascii="Times New Roman" w:eastAsia="Times New Roman" w:hAnsi="Times New Roman" w:cs="Times New Roman"/>
        </w:rPr>
      </w:pPr>
    </w:p>
    <w:p w14:paraId="28CE3A3B"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i/>
          <w:iCs/>
          <w:color w:val="000000"/>
        </w:rPr>
        <w:t>Funding/Support</w:t>
      </w:r>
    </w:p>
    <w:p w14:paraId="0A9CC0CE" w14:textId="2CB99BD5"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color w:val="1F1F1F"/>
          <w:shd w:val="clear" w:color="auto" w:fill="FFFFFF"/>
        </w:rPr>
        <w:t xml:space="preserve">S. Jung, S, Loo, E. </w:t>
      </w:r>
      <w:r w:rsidRPr="001C4D18">
        <w:rPr>
          <w:rFonts w:ascii="Times New Roman" w:eastAsia="Times New Roman" w:hAnsi="Times New Roman" w:cs="Times New Roman"/>
          <w:color w:val="000000"/>
          <w:shd w:val="clear" w:color="auto" w:fill="FFFFFF"/>
        </w:rPr>
        <w:t>Carcelén</w:t>
      </w:r>
      <w:r w:rsidRPr="001C4D18">
        <w:rPr>
          <w:rFonts w:ascii="Times New Roman" w:eastAsia="Times New Roman" w:hAnsi="Times New Roman" w:cs="Times New Roman"/>
          <w:color w:val="1F1F1F"/>
          <w:shd w:val="clear" w:color="auto" w:fill="FFFFFF"/>
        </w:rPr>
        <w:t xml:space="preserve">, C. Smith, J. Lemaitre, K. Sato, C. Mckee, S. Truelove, A.Hill, and J. Lessler were supported by Centers for Disease Control and Prevention (200-2016-91781). C. Smith, S. Truelove, and A. Hill were supported by the National Science Foundation (2127976). C. Smith, A. Hill, S. Truelove, and J. Lessler were supported by the US Department of Health </w:t>
      </w:r>
      <w:r w:rsidRPr="001C4D18">
        <w:rPr>
          <w:rFonts w:ascii="Times New Roman" w:eastAsia="Times New Roman" w:hAnsi="Times New Roman" w:cs="Times New Roman"/>
          <w:color w:val="1F1F1F"/>
          <w:shd w:val="clear" w:color="auto" w:fill="FFFFFF"/>
        </w:rPr>
        <w:lastRenderedPageBreak/>
        <w:t xml:space="preserve">and Human Services / Department of Homeland Security; California Department of Public Health; Johns Hopkins University. J. Lemaitre, C. Smith, A. Hill, S. Truelove, and J. Lessler were supported by Amazon Web Services. J. Lessler (R01GM140564) and J. Lemaitre (5R01AI102939) were supported by the National Institutes of Health. J. Lemaitre was supported by the Swiss National Science Foundation (200021-172578). L. Contamin, J. Levander, J. Kerr, J. Espino, and H. Hochheiser were supported by NIGMS 5U24GM132013. E. Howerton, K. Shea, and R. Borchering were supported by NSF RAPID awards DEB-2028301, DEB-2037885, DEB-2126278, and DEB-2220903. K. Yan was supported by NSF Grant No. DGE1255832. E. Howerton was supported by the Eberly College of Science Barbara McClintock Science Achievement Graduate Scholarship in Biology at the Pennsylvania State University. M. Chinazzi, J. T. Davis, K. Mu, X. Xiong, A. Pastore y Piontti, and A. Vespignani were supported by HHS/CDC 6U01IP001137, HHS/CDC 5U01IP0001137 and the Cooperative Agreement no. NU38OT000297 from the Council of State and Territorial Epidemiologists (CSTE). P. Porebski, S. Venkatramanan, A. Adiga, B. Lewis, B. Klahn, J. Outten, B. Hurt, H. Mortveit, A. Wilson, M. Marathe, J. Chen, S. Hoops, P. Bhattacharya, D. Machi acknowledge support from SMC Fellowship 75D30121F00005-2005604290, VDH Grant PV-BII VDH COVID-19 Modeling Program VDH-21-501-0135, NSF Grant No. OAC-1916805, NSF Expeditions in Computing Grant CCF-1918656, DTRA subcontract/ARA S-D00189-15-TO-01-UVA, and UVA strategic funds. Model computation was supported by NSF ACCESS CIS230005 and UVA. K. Bi, S.R. Bandekar, A. Bouchnita, S. Fox, and L. Meyers were supported by CSTE NU38OT000297, CDC Supplement U01IP001136- Suppl, CDC 75D30122C14776 and NIH Supplement R01AI151176-Suppl. E. Rosenstrom, J. Ivy, M. Mayorga, and J. Swann were supported by TRACS/NIH grant UL1TR002489; CSTE and CDC cooperative agreement no. NU38OT000297. G. España and </w:t>
      </w:r>
      <w:r w:rsidRPr="001C4D18">
        <w:rPr>
          <w:rFonts w:ascii="Times New Roman" w:eastAsia="Times New Roman" w:hAnsi="Times New Roman" w:cs="Times New Roman"/>
          <w:color w:val="1F1F1F"/>
          <w:shd w:val="clear" w:color="auto" w:fill="FFFFFF"/>
        </w:rPr>
        <w:lastRenderedPageBreak/>
        <w:t>S.M. Moore were supported by Scenario Modeling Hub Consortium fellowship. S.M. Moore was supported by NIAID R21AI164391. T.A. Perkins was supported by NIGMS R35 MIRA program R35GM143029.</w:t>
      </w:r>
    </w:p>
    <w:p w14:paraId="3A9D4A5F" w14:textId="77777777" w:rsidR="001C4D18" w:rsidRPr="001C4D18" w:rsidRDefault="001C4D18" w:rsidP="00B149ED">
      <w:pPr>
        <w:spacing w:line="480" w:lineRule="auto"/>
        <w:rPr>
          <w:rFonts w:ascii="Times New Roman" w:eastAsia="Times New Roman" w:hAnsi="Times New Roman" w:cs="Times New Roman"/>
        </w:rPr>
      </w:pPr>
    </w:p>
    <w:p w14:paraId="3F3AE671" w14:textId="77777777" w:rsidR="001C4D18" w:rsidRPr="001C4D18" w:rsidRDefault="001C4D18" w:rsidP="00B149ED">
      <w:pPr>
        <w:spacing w:line="480" w:lineRule="auto"/>
        <w:rPr>
          <w:rFonts w:ascii="Times New Roman" w:eastAsia="Times New Roman" w:hAnsi="Times New Roman" w:cs="Times New Roman"/>
        </w:rPr>
      </w:pPr>
      <w:r w:rsidRPr="001C4D18">
        <w:rPr>
          <w:rFonts w:ascii="Times New Roman" w:eastAsia="Times New Roman" w:hAnsi="Times New Roman" w:cs="Times New Roman"/>
          <w:b/>
          <w:bCs/>
          <w:i/>
          <w:iCs/>
          <w:color w:val="000000"/>
        </w:rPr>
        <w:t>Role of the Funder/Sponsor</w:t>
      </w:r>
    </w:p>
    <w:p w14:paraId="14C49E74" w14:textId="3B32237C" w:rsidR="001C4D18" w:rsidRPr="00B149ED" w:rsidRDefault="001C4D18" w:rsidP="00B149ED">
      <w:pPr>
        <w:spacing w:line="480" w:lineRule="auto"/>
        <w:rPr>
          <w:rFonts w:ascii="Times New Roman" w:eastAsia="Times New Roman" w:hAnsi="Times New Roman" w:cs="Times New Roman"/>
          <w:color w:val="000000"/>
        </w:rPr>
        <w:sectPr w:rsidR="001C4D18" w:rsidRPr="00B149ED">
          <w:pgSz w:w="12240" w:h="15840"/>
          <w:pgMar w:top="1440" w:right="1440" w:bottom="1440" w:left="1440" w:header="708" w:footer="708" w:gutter="0"/>
          <w:cols w:space="708"/>
          <w:docGrid w:linePitch="360"/>
        </w:sectPr>
      </w:pPr>
      <w:r w:rsidRPr="001C4D18">
        <w:rPr>
          <w:rFonts w:ascii="Times New Roman" w:eastAsia="Times New Roman" w:hAnsi="Times New Roman" w:cs="Times New Roman"/>
          <w:color w:val="000000"/>
        </w:rPr>
        <w:t>The funder had no role in the design and conduct of the study; collection, management, analysis, and interpretation of the data; preparation, review, or approval of the manuscript; and decision to submit the manuscript for publication</w:t>
      </w:r>
    </w:p>
    <w:p w14:paraId="3D991B2E" w14:textId="77777777" w:rsidR="001C4D18" w:rsidRPr="001C4D18" w:rsidRDefault="001C4D18" w:rsidP="001C4D18">
      <w:pPr>
        <w:spacing w:line="480" w:lineRule="auto"/>
        <w:rPr>
          <w:rFonts w:ascii="Times New Roman" w:eastAsia="Times New Roman" w:hAnsi="Times New Roman" w:cs="Times New Roman"/>
        </w:rPr>
      </w:pPr>
      <w:r w:rsidRPr="001C4D18">
        <w:rPr>
          <w:rFonts w:ascii="Times New Roman" w:eastAsia="Times New Roman" w:hAnsi="Times New Roman" w:cs="Times New Roman"/>
          <w:b/>
          <w:bCs/>
          <w:color w:val="000000"/>
          <w:sz w:val="28"/>
          <w:szCs w:val="28"/>
        </w:rPr>
        <w:lastRenderedPageBreak/>
        <w:t>References</w:t>
      </w:r>
    </w:p>
    <w:p w14:paraId="35B486A8" w14:textId="77777777" w:rsidR="001C4D18" w:rsidRPr="001C4D18" w:rsidRDefault="00000000" w:rsidP="001C4D18">
      <w:pPr>
        <w:spacing w:line="480" w:lineRule="auto"/>
        <w:ind w:hanging="384"/>
        <w:rPr>
          <w:rFonts w:ascii="Times New Roman" w:eastAsia="Times New Roman" w:hAnsi="Times New Roman" w:cs="Times New Roman"/>
        </w:rPr>
      </w:pPr>
      <w:hyperlink r:id="rId30" w:history="1">
        <w:r w:rsidR="001C4D18" w:rsidRPr="001C4D18">
          <w:rPr>
            <w:rFonts w:ascii="Times New Roman" w:eastAsia="Times New Roman" w:hAnsi="Times New Roman" w:cs="Times New Roman"/>
            <w:color w:val="000000"/>
            <w:sz w:val="22"/>
            <w:szCs w:val="22"/>
          </w:rPr>
          <w:t>1.</w:t>
        </w:r>
        <w:r w:rsidR="001C4D18" w:rsidRPr="001C4D18">
          <w:rPr>
            <w:rFonts w:ascii="Times New Roman" w:eastAsia="Times New Roman" w:hAnsi="Times New Roman" w:cs="Times New Roman"/>
            <w:color w:val="000000"/>
            <w:sz w:val="22"/>
            <w:szCs w:val="22"/>
          </w:rPr>
          <w:tab/>
          <w:t xml:space="preserve">Lavine JS, Bjornstad ON, Antia R. Immunological characteristics govern the transition of COVID-19 to endemicity. </w:t>
        </w:r>
        <w:r w:rsidR="001C4D18" w:rsidRPr="001C4D18">
          <w:rPr>
            <w:rFonts w:ascii="Times New Roman" w:eastAsia="Times New Roman" w:hAnsi="Times New Roman" w:cs="Times New Roman"/>
            <w:i/>
            <w:iCs/>
            <w:color w:val="000000"/>
            <w:sz w:val="22"/>
            <w:szCs w:val="22"/>
          </w:rPr>
          <w:t>Science</w:t>
        </w:r>
        <w:r w:rsidR="001C4D18" w:rsidRPr="001C4D18">
          <w:rPr>
            <w:rFonts w:ascii="Times New Roman" w:eastAsia="Times New Roman" w:hAnsi="Times New Roman" w:cs="Times New Roman"/>
            <w:color w:val="000000"/>
            <w:sz w:val="22"/>
            <w:szCs w:val="22"/>
          </w:rPr>
          <w:t>. 2021;371(6530):741-745. doi:10.1126/science.abe6522</w:t>
        </w:r>
      </w:hyperlink>
    </w:p>
    <w:p w14:paraId="699EB7CA" w14:textId="77777777" w:rsidR="001C4D18" w:rsidRPr="001C4D18" w:rsidRDefault="00000000" w:rsidP="001C4D18">
      <w:pPr>
        <w:spacing w:line="480" w:lineRule="auto"/>
        <w:ind w:hanging="384"/>
        <w:rPr>
          <w:rFonts w:ascii="Times New Roman" w:eastAsia="Times New Roman" w:hAnsi="Times New Roman" w:cs="Times New Roman"/>
        </w:rPr>
      </w:pPr>
      <w:hyperlink r:id="rId31" w:history="1">
        <w:r w:rsidR="001C4D18" w:rsidRPr="001C4D18">
          <w:rPr>
            <w:rFonts w:ascii="Times New Roman" w:eastAsia="Times New Roman" w:hAnsi="Times New Roman" w:cs="Times New Roman"/>
            <w:color w:val="000000"/>
            <w:sz w:val="22"/>
            <w:szCs w:val="22"/>
          </w:rPr>
          <w:t>2.</w:t>
        </w:r>
        <w:r w:rsidR="001C4D18" w:rsidRPr="001C4D18">
          <w:rPr>
            <w:rFonts w:ascii="Times New Roman" w:eastAsia="Times New Roman" w:hAnsi="Times New Roman" w:cs="Times New Roman"/>
            <w:color w:val="000000"/>
            <w:sz w:val="22"/>
            <w:szCs w:val="22"/>
          </w:rPr>
          <w:tab/>
          <w:t xml:space="preserve">Bobrovitz N, Ware H, Ma X, et al. Protective effectiveness of previous SARS-CoV-2 infection and hybrid immunity against the omicron variant and severe disease: a systematic review and meta-regression. </w:t>
        </w:r>
        <w:r w:rsidR="001C4D18" w:rsidRPr="001C4D18">
          <w:rPr>
            <w:rFonts w:ascii="Times New Roman" w:eastAsia="Times New Roman" w:hAnsi="Times New Roman" w:cs="Times New Roman"/>
            <w:i/>
            <w:iCs/>
            <w:color w:val="000000"/>
            <w:sz w:val="22"/>
            <w:szCs w:val="22"/>
          </w:rPr>
          <w:t>Lancet Infect Dis</w:t>
        </w:r>
        <w:r w:rsidR="001C4D18" w:rsidRPr="001C4D18">
          <w:rPr>
            <w:rFonts w:ascii="Times New Roman" w:eastAsia="Times New Roman" w:hAnsi="Times New Roman" w:cs="Times New Roman"/>
            <w:color w:val="000000"/>
            <w:sz w:val="22"/>
            <w:szCs w:val="22"/>
          </w:rPr>
          <w:t>. 2023;23(5):556-567. doi:10.1016/S1473-3099(22)00801-5</w:t>
        </w:r>
      </w:hyperlink>
    </w:p>
    <w:p w14:paraId="08FDBBA5" w14:textId="77777777" w:rsidR="001C4D18" w:rsidRPr="001C4D18" w:rsidRDefault="00000000" w:rsidP="001C4D18">
      <w:pPr>
        <w:spacing w:line="480" w:lineRule="auto"/>
        <w:ind w:hanging="384"/>
        <w:rPr>
          <w:rFonts w:ascii="Times New Roman" w:eastAsia="Times New Roman" w:hAnsi="Times New Roman" w:cs="Times New Roman"/>
        </w:rPr>
      </w:pPr>
      <w:hyperlink r:id="rId32" w:history="1">
        <w:r w:rsidR="001C4D18" w:rsidRPr="001C4D18">
          <w:rPr>
            <w:rFonts w:ascii="Times New Roman" w:eastAsia="Times New Roman" w:hAnsi="Times New Roman" w:cs="Times New Roman"/>
            <w:color w:val="000000"/>
            <w:sz w:val="22"/>
            <w:szCs w:val="22"/>
          </w:rPr>
          <w:t>3.</w:t>
        </w:r>
        <w:r w:rsidR="001C4D18" w:rsidRPr="001C4D18">
          <w:rPr>
            <w:rFonts w:ascii="Times New Roman" w:eastAsia="Times New Roman" w:hAnsi="Times New Roman" w:cs="Times New Roman"/>
            <w:color w:val="000000"/>
            <w:sz w:val="22"/>
            <w:szCs w:val="22"/>
          </w:rPr>
          <w:tab/>
          <w:t xml:space="preserve">Sasaki A, Lion S, Boots M. Antigenic escape selects for the evolution of higher pathogen transmission and virulence. </w:t>
        </w:r>
        <w:r w:rsidR="001C4D18" w:rsidRPr="001C4D18">
          <w:rPr>
            <w:rFonts w:ascii="Times New Roman" w:eastAsia="Times New Roman" w:hAnsi="Times New Roman" w:cs="Times New Roman"/>
            <w:i/>
            <w:iCs/>
            <w:color w:val="000000"/>
            <w:sz w:val="22"/>
            <w:szCs w:val="22"/>
          </w:rPr>
          <w:t>Nat Ecol Evol</w:t>
        </w:r>
        <w:r w:rsidR="001C4D18" w:rsidRPr="001C4D18">
          <w:rPr>
            <w:rFonts w:ascii="Times New Roman" w:eastAsia="Times New Roman" w:hAnsi="Times New Roman" w:cs="Times New Roman"/>
            <w:color w:val="000000"/>
            <w:sz w:val="22"/>
            <w:szCs w:val="22"/>
          </w:rPr>
          <w:t>. 2021;6(1):51-62. doi:10.1038/s41559-021-01603-z</w:t>
        </w:r>
      </w:hyperlink>
    </w:p>
    <w:p w14:paraId="091454B4" w14:textId="77777777" w:rsidR="001C4D18" w:rsidRPr="001C4D18" w:rsidRDefault="00000000" w:rsidP="001C4D18">
      <w:pPr>
        <w:spacing w:line="480" w:lineRule="auto"/>
        <w:ind w:hanging="384"/>
        <w:rPr>
          <w:rFonts w:ascii="Times New Roman" w:eastAsia="Times New Roman" w:hAnsi="Times New Roman" w:cs="Times New Roman"/>
        </w:rPr>
      </w:pPr>
      <w:hyperlink r:id="rId33" w:history="1">
        <w:r w:rsidR="001C4D18" w:rsidRPr="001C4D18">
          <w:rPr>
            <w:rFonts w:ascii="Times New Roman" w:eastAsia="Times New Roman" w:hAnsi="Times New Roman" w:cs="Times New Roman"/>
            <w:color w:val="000000"/>
            <w:sz w:val="22"/>
            <w:szCs w:val="22"/>
          </w:rPr>
          <w:t>4.</w:t>
        </w:r>
        <w:r w:rsidR="001C4D18" w:rsidRPr="001C4D18">
          <w:rPr>
            <w:rFonts w:ascii="Times New Roman" w:eastAsia="Times New Roman" w:hAnsi="Times New Roman" w:cs="Times New Roman"/>
            <w:color w:val="000000"/>
            <w:sz w:val="22"/>
            <w:szCs w:val="22"/>
          </w:rPr>
          <w:tab/>
          <w:t xml:space="preserve">Telenti A, Arvin A, Corey L, et al. After the pandemic: perspectives on the future trajectory of COVID-19. </w:t>
        </w:r>
        <w:r w:rsidR="001C4D18" w:rsidRPr="001C4D18">
          <w:rPr>
            <w:rFonts w:ascii="Times New Roman" w:eastAsia="Times New Roman" w:hAnsi="Times New Roman" w:cs="Times New Roman"/>
            <w:i/>
            <w:iCs/>
            <w:color w:val="000000"/>
            <w:sz w:val="22"/>
            <w:szCs w:val="22"/>
          </w:rPr>
          <w:t>Nature</w:t>
        </w:r>
        <w:r w:rsidR="001C4D18" w:rsidRPr="001C4D18">
          <w:rPr>
            <w:rFonts w:ascii="Times New Roman" w:eastAsia="Times New Roman" w:hAnsi="Times New Roman" w:cs="Times New Roman"/>
            <w:color w:val="000000"/>
            <w:sz w:val="22"/>
            <w:szCs w:val="22"/>
          </w:rPr>
          <w:t>. 2021;596(7873):495-504. doi:10.1038/s41586-021-03792-w</w:t>
        </w:r>
      </w:hyperlink>
    </w:p>
    <w:p w14:paraId="6C0233DC" w14:textId="77777777" w:rsidR="001C4D18" w:rsidRPr="001C4D18" w:rsidRDefault="00000000" w:rsidP="001C4D18">
      <w:pPr>
        <w:spacing w:line="480" w:lineRule="auto"/>
        <w:ind w:hanging="384"/>
        <w:rPr>
          <w:rFonts w:ascii="Times New Roman" w:eastAsia="Times New Roman" w:hAnsi="Times New Roman" w:cs="Times New Roman"/>
        </w:rPr>
      </w:pPr>
      <w:hyperlink r:id="rId34" w:history="1">
        <w:r w:rsidR="001C4D18" w:rsidRPr="001C4D18">
          <w:rPr>
            <w:rFonts w:ascii="Times New Roman" w:eastAsia="Times New Roman" w:hAnsi="Times New Roman" w:cs="Times New Roman"/>
            <w:color w:val="000000"/>
            <w:sz w:val="22"/>
            <w:szCs w:val="22"/>
          </w:rPr>
          <w:t>5.</w:t>
        </w:r>
        <w:r w:rsidR="001C4D18" w:rsidRPr="001C4D18">
          <w:rPr>
            <w:rFonts w:ascii="Times New Roman" w:eastAsia="Times New Roman" w:hAnsi="Times New Roman" w:cs="Times New Roman"/>
            <w:color w:val="000000"/>
            <w:sz w:val="22"/>
            <w:szCs w:val="22"/>
          </w:rPr>
          <w:tab/>
          <w:t xml:space="preserve">Gavenčiak T, Monrad JT, Leech G, et al. Seasonal variation in SARS-CoV-2 transmission in temperate climates: A Bayesian modelling study in 143 European regions. Struchiner CJ, ed. </w:t>
        </w:r>
        <w:r w:rsidR="001C4D18" w:rsidRPr="001C4D18">
          <w:rPr>
            <w:rFonts w:ascii="Times New Roman" w:eastAsia="Times New Roman" w:hAnsi="Times New Roman" w:cs="Times New Roman"/>
            <w:i/>
            <w:iCs/>
            <w:color w:val="000000"/>
            <w:sz w:val="22"/>
            <w:szCs w:val="22"/>
          </w:rPr>
          <w:t>PLOS Comput Biol</w:t>
        </w:r>
        <w:r w:rsidR="001C4D18" w:rsidRPr="001C4D18">
          <w:rPr>
            <w:rFonts w:ascii="Times New Roman" w:eastAsia="Times New Roman" w:hAnsi="Times New Roman" w:cs="Times New Roman"/>
            <w:color w:val="000000"/>
            <w:sz w:val="22"/>
            <w:szCs w:val="22"/>
          </w:rPr>
          <w:t>. 2022;18(8):e1010435. doi:10.1371/journal.pcbi.1010435</w:t>
        </w:r>
      </w:hyperlink>
    </w:p>
    <w:p w14:paraId="2B8C8126" w14:textId="77777777" w:rsidR="001C4D18" w:rsidRPr="001C4D18" w:rsidRDefault="00000000" w:rsidP="001C4D18">
      <w:pPr>
        <w:spacing w:line="480" w:lineRule="auto"/>
        <w:ind w:hanging="384"/>
        <w:rPr>
          <w:rFonts w:ascii="Times New Roman" w:eastAsia="Times New Roman" w:hAnsi="Times New Roman" w:cs="Times New Roman"/>
        </w:rPr>
      </w:pPr>
      <w:hyperlink r:id="rId35" w:history="1">
        <w:r w:rsidR="001C4D18" w:rsidRPr="001C4D18">
          <w:rPr>
            <w:rFonts w:ascii="Times New Roman" w:eastAsia="Times New Roman" w:hAnsi="Times New Roman" w:cs="Times New Roman"/>
            <w:color w:val="000000"/>
            <w:sz w:val="22"/>
            <w:szCs w:val="22"/>
          </w:rPr>
          <w:t>6.</w:t>
        </w:r>
        <w:r w:rsidR="001C4D18" w:rsidRPr="001C4D18">
          <w:rPr>
            <w:rFonts w:ascii="Times New Roman" w:eastAsia="Times New Roman" w:hAnsi="Times New Roman" w:cs="Times New Roman"/>
            <w:color w:val="000000"/>
            <w:sz w:val="22"/>
            <w:szCs w:val="22"/>
          </w:rPr>
          <w:tab/>
          <w:t xml:space="preserve">Lin G, Hamilton A, Gatalo O, Haghpanah F, Igusa T, Klein E. Investigating the effects of absolute humidity and movement on COVID-19 seasonality in the United States. </w:t>
        </w:r>
        <w:r w:rsidR="001C4D18" w:rsidRPr="001C4D18">
          <w:rPr>
            <w:rFonts w:ascii="Times New Roman" w:eastAsia="Times New Roman" w:hAnsi="Times New Roman" w:cs="Times New Roman"/>
            <w:i/>
            <w:iCs/>
            <w:color w:val="000000"/>
            <w:sz w:val="22"/>
            <w:szCs w:val="22"/>
          </w:rPr>
          <w:t>Sci Rep</w:t>
        </w:r>
        <w:r w:rsidR="001C4D18" w:rsidRPr="001C4D18">
          <w:rPr>
            <w:rFonts w:ascii="Times New Roman" w:eastAsia="Times New Roman" w:hAnsi="Times New Roman" w:cs="Times New Roman"/>
            <w:color w:val="000000"/>
            <w:sz w:val="22"/>
            <w:szCs w:val="22"/>
          </w:rPr>
          <w:t>. 2022;12(1):16729. doi:10.1038/s41598-022-19898-8</w:t>
        </w:r>
      </w:hyperlink>
    </w:p>
    <w:p w14:paraId="48435CF4" w14:textId="77777777" w:rsidR="001C4D18" w:rsidRPr="001C4D18" w:rsidRDefault="00000000" w:rsidP="001C4D18">
      <w:pPr>
        <w:spacing w:line="480" w:lineRule="auto"/>
        <w:ind w:hanging="384"/>
        <w:rPr>
          <w:rFonts w:ascii="Times New Roman" w:eastAsia="Times New Roman" w:hAnsi="Times New Roman" w:cs="Times New Roman"/>
        </w:rPr>
      </w:pPr>
      <w:hyperlink r:id="rId36" w:history="1">
        <w:r w:rsidR="001C4D18" w:rsidRPr="001C4D18">
          <w:rPr>
            <w:rFonts w:ascii="Times New Roman" w:eastAsia="Times New Roman" w:hAnsi="Times New Roman" w:cs="Times New Roman"/>
            <w:color w:val="000000"/>
            <w:sz w:val="22"/>
            <w:szCs w:val="22"/>
          </w:rPr>
          <w:t>7.</w:t>
        </w:r>
        <w:r w:rsidR="001C4D18" w:rsidRPr="001C4D18">
          <w:rPr>
            <w:rFonts w:ascii="Times New Roman" w:eastAsia="Times New Roman" w:hAnsi="Times New Roman" w:cs="Times New Roman"/>
            <w:color w:val="000000"/>
            <w:sz w:val="22"/>
            <w:szCs w:val="22"/>
          </w:rPr>
          <w:tab/>
          <w:t xml:space="preserve">Smith TP, Flaxman S, Gallinat AS, et al. Temperature and population density influence SARS-CoV-2 transmission in the absence of nonpharmaceutical interventions. </w:t>
        </w:r>
        <w:r w:rsidR="001C4D18" w:rsidRPr="001C4D18">
          <w:rPr>
            <w:rFonts w:ascii="Times New Roman" w:eastAsia="Times New Roman" w:hAnsi="Times New Roman" w:cs="Times New Roman"/>
            <w:i/>
            <w:iCs/>
            <w:color w:val="000000"/>
            <w:sz w:val="22"/>
            <w:szCs w:val="22"/>
          </w:rPr>
          <w:t>Proc Natl Acad Sci</w:t>
        </w:r>
        <w:r w:rsidR="001C4D18" w:rsidRPr="001C4D18">
          <w:rPr>
            <w:rFonts w:ascii="Times New Roman" w:eastAsia="Times New Roman" w:hAnsi="Times New Roman" w:cs="Times New Roman"/>
            <w:color w:val="000000"/>
            <w:sz w:val="22"/>
            <w:szCs w:val="22"/>
          </w:rPr>
          <w:t>. 2021;118(25):e2019284118. doi:10.1073/pnas.2019284118</w:t>
        </w:r>
      </w:hyperlink>
    </w:p>
    <w:p w14:paraId="5B51E7C9" w14:textId="77777777" w:rsidR="001C4D18" w:rsidRPr="001C4D18" w:rsidRDefault="00000000" w:rsidP="001C4D18">
      <w:pPr>
        <w:spacing w:line="480" w:lineRule="auto"/>
        <w:ind w:hanging="384"/>
        <w:rPr>
          <w:rFonts w:ascii="Times New Roman" w:eastAsia="Times New Roman" w:hAnsi="Times New Roman" w:cs="Times New Roman"/>
        </w:rPr>
      </w:pPr>
      <w:hyperlink r:id="rId37" w:history="1">
        <w:r w:rsidR="001C4D18" w:rsidRPr="001C4D18">
          <w:rPr>
            <w:rFonts w:ascii="Times New Roman" w:eastAsia="Times New Roman" w:hAnsi="Times New Roman" w:cs="Times New Roman"/>
            <w:color w:val="000000"/>
            <w:sz w:val="22"/>
            <w:szCs w:val="22"/>
          </w:rPr>
          <w:t>8.</w:t>
        </w:r>
        <w:r w:rsidR="001C4D18" w:rsidRPr="001C4D18">
          <w:rPr>
            <w:rFonts w:ascii="Times New Roman" w:eastAsia="Times New Roman" w:hAnsi="Times New Roman" w:cs="Times New Roman"/>
            <w:color w:val="000000"/>
            <w:sz w:val="22"/>
            <w:szCs w:val="22"/>
          </w:rPr>
          <w:tab/>
          <w:t xml:space="preserve">Boni MF. Vaccination and antigenic drift in influenza. </w:t>
        </w:r>
        <w:r w:rsidR="001C4D18" w:rsidRPr="001C4D18">
          <w:rPr>
            <w:rFonts w:ascii="Times New Roman" w:eastAsia="Times New Roman" w:hAnsi="Times New Roman" w:cs="Times New Roman"/>
            <w:i/>
            <w:iCs/>
            <w:color w:val="000000"/>
            <w:sz w:val="22"/>
            <w:szCs w:val="22"/>
          </w:rPr>
          <w:t>Vaccine</w:t>
        </w:r>
        <w:r w:rsidR="001C4D18" w:rsidRPr="001C4D18">
          <w:rPr>
            <w:rFonts w:ascii="Times New Roman" w:eastAsia="Times New Roman" w:hAnsi="Times New Roman" w:cs="Times New Roman"/>
            <w:color w:val="000000"/>
            <w:sz w:val="22"/>
            <w:szCs w:val="22"/>
          </w:rPr>
          <w:t>. 2008;26:C8-C14. doi:10.1016/j.vaccine.2008.04.011</w:t>
        </w:r>
      </w:hyperlink>
    </w:p>
    <w:p w14:paraId="7036007B" w14:textId="77777777" w:rsidR="001C4D18" w:rsidRPr="001C4D18" w:rsidRDefault="00000000" w:rsidP="001C4D18">
      <w:pPr>
        <w:spacing w:line="480" w:lineRule="auto"/>
        <w:ind w:hanging="384"/>
        <w:rPr>
          <w:rFonts w:ascii="Times New Roman" w:eastAsia="Times New Roman" w:hAnsi="Times New Roman" w:cs="Times New Roman"/>
        </w:rPr>
      </w:pPr>
      <w:hyperlink r:id="rId38" w:history="1">
        <w:r w:rsidR="001C4D18" w:rsidRPr="001C4D18">
          <w:rPr>
            <w:rFonts w:ascii="Times New Roman" w:eastAsia="Times New Roman" w:hAnsi="Times New Roman" w:cs="Times New Roman"/>
            <w:color w:val="000000"/>
            <w:sz w:val="22"/>
            <w:szCs w:val="22"/>
          </w:rPr>
          <w:t>9.</w:t>
        </w:r>
        <w:r w:rsidR="001C4D18" w:rsidRPr="001C4D18">
          <w:rPr>
            <w:rFonts w:ascii="Times New Roman" w:eastAsia="Times New Roman" w:hAnsi="Times New Roman" w:cs="Times New Roman"/>
            <w:color w:val="000000"/>
            <w:sz w:val="22"/>
            <w:szCs w:val="22"/>
          </w:rPr>
          <w:tab/>
          <w:t xml:space="preserve">Carrat F, Flahault A. Influenza vaccine: The challenge of antigenic drift. </w:t>
        </w:r>
        <w:r w:rsidR="001C4D18" w:rsidRPr="001C4D18">
          <w:rPr>
            <w:rFonts w:ascii="Times New Roman" w:eastAsia="Times New Roman" w:hAnsi="Times New Roman" w:cs="Times New Roman"/>
            <w:i/>
            <w:iCs/>
            <w:color w:val="000000"/>
            <w:sz w:val="22"/>
            <w:szCs w:val="22"/>
          </w:rPr>
          <w:t>Vaccine</w:t>
        </w:r>
        <w:r w:rsidR="001C4D18" w:rsidRPr="001C4D18">
          <w:rPr>
            <w:rFonts w:ascii="Times New Roman" w:eastAsia="Times New Roman" w:hAnsi="Times New Roman" w:cs="Times New Roman"/>
            <w:color w:val="000000"/>
            <w:sz w:val="22"/>
            <w:szCs w:val="22"/>
          </w:rPr>
          <w:t>. 2007;25(39-40):6852-6862. doi:10.1016/j.vaccine.2007.07.027</w:t>
        </w:r>
      </w:hyperlink>
    </w:p>
    <w:p w14:paraId="62BD4F30" w14:textId="77777777" w:rsidR="001C4D18" w:rsidRPr="001C4D18" w:rsidRDefault="00000000" w:rsidP="001C4D18">
      <w:pPr>
        <w:spacing w:line="480" w:lineRule="auto"/>
        <w:ind w:hanging="384"/>
        <w:rPr>
          <w:rFonts w:ascii="Times New Roman" w:eastAsia="Times New Roman" w:hAnsi="Times New Roman" w:cs="Times New Roman"/>
        </w:rPr>
      </w:pPr>
      <w:hyperlink r:id="rId39" w:history="1">
        <w:r w:rsidR="001C4D18" w:rsidRPr="001C4D18">
          <w:rPr>
            <w:rFonts w:ascii="Times New Roman" w:eastAsia="Times New Roman" w:hAnsi="Times New Roman" w:cs="Times New Roman"/>
            <w:color w:val="000000"/>
            <w:sz w:val="22"/>
            <w:szCs w:val="22"/>
          </w:rPr>
          <w:t>10.</w:t>
        </w:r>
        <w:r w:rsidR="001C4D18" w:rsidRPr="001C4D18">
          <w:rPr>
            <w:rFonts w:ascii="Times New Roman" w:eastAsia="Times New Roman" w:hAnsi="Times New Roman" w:cs="Times New Roman"/>
            <w:color w:val="000000"/>
            <w:sz w:val="22"/>
            <w:szCs w:val="22"/>
          </w:rPr>
          <w:tab/>
          <w:t xml:space="preserve">Link-Gelles R, Ciesla AA, Roper LE, et al. Early Estimates of Bivalent mRNA Booster Dose Vaccine Effectiveness in Preventing Symptomatic SARS-CoV-2 Infection Attributable to Omicron BA.5– and </w:t>
        </w:r>
        <w:r w:rsidR="001C4D18" w:rsidRPr="001C4D18">
          <w:rPr>
            <w:rFonts w:ascii="Times New Roman" w:eastAsia="Times New Roman" w:hAnsi="Times New Roman" w:cs="Times New Roman"/>
            <w:color w:val="000000"/>
            <w:sz w:val="22"/>
            <w:szCs w:val="22"/>
          </w:rPr>
          <w:lastRenderedPageBreak/>
          <w:t xml:space="preserve">XBB/XBB.1.5–Related Sublineages Among Immunocompetent Adults — Increasing Community Access to Testing Program, United States, December 2022–January 2023. </w:t>
        </w:r>
        <w:r w:rsidR="001C4D18" w:rsidRPr="001C4D18">
          <w:rPr>
            <w:rFonts w:ascii="Times New Roman" w:eastAsia="Times New Roman" w:hAnsi="Times New Roman" w:cs="Times New Roman"/>
            <w:i/>
            <w:iCs/>
            <w:color w:val="000000"/>
            <w:sz w:val="22"/>
            <w:szCs w:val="22"/>
          </w:rPr>
          <w:t>MMWR Morb Mortal Wkly Rep</w:t>
        </w:r>
        <w:r w:rsidR="001C4D18" w:rsidRPr="001C4D18">
          <w:rPr>
            <w:rFonts w:ascii="Times New Roman" w:eastAsia="Times New Roman" w:hAnsi="Times New Roman" w:cs="Times New Roman"/>
            <w:color w:val="000000"/>
            <w:sz w:val="22"/>
            <w:szCs w:val="22"/>
          </w:rPr>
          <w:t>. 2023;72(5):119-124. doi:10.15585/mmwr.mm7205e1</w:t>
        </w:r>
      </w:hyperlink>
    </w:p>
    <w:p w14:paraId="1393E2D8" w14:textId="77777777" w:rsidR="001C4D18" w:rsidRPr="001C4D18" w:rsidRDefault="00000000" w:rsidP="001C4D18">
      <w:pPr>
        <w:spacing w:line="480" w:lineRule="auto"/>
        <w:ind w:hanging="384"/>
        <w:rPr>
          <w:rFonts w:ascii="Times New Roman" w:eastAsia="Times New Roman" w:hAnsi="Times New Roman" w:cs="Times New Roman"/>
        </w:rPr>
      </w:pPr>
      <w:hyperlink r:id="rId40" w:history="1">
        <w:r w:rsidR="001C4D18" w:rsidRPr="001C4D18">
          <w:rPr>
            <w:rFonts w:ascii="Times New Roman" w:eastAsia="Times New Roman" w:hAnsi="Times New Roman" w:cs="Times New Roman"/>
            <w:color w:val="000000"/>
            <w:sz w:val="22"/>
            <w:szCs w:val="22"/>
          </w:rPr>
          <w:t>11.</w:t>
        </w:r>
        <w:r w:rsidR="001C4D18" w:rsidRPr="001C4D18">
          <w:rPr>
            <w:rFonts w:ascii="Times New Roman" w:eastAsia="Times New Roman" w:hAnsi="Times New Roman" w:cs="Times New Roman"/>
            <w:color w:val="000000"/>
            <w:sz w:val="22"/>
            <w:szCs w:val="22"/>
          </w:rPr>
          <w:tab/>
          <w:t xml:space="preserve">Romero Starke K, Reissig D, Petereit-Haack G, Schmauder S, Nienhaus A, Seidler A. The isolated effect of age on the risk of COVID-19 severe outcomes: a systematic review with meta-analysis. </w:t>
        </w:r>
        <w:r w:rsidR="001C4D18" w:rsidRPr="001C4D18">
          <w:rPr>
            <w:rFonts w:ascii="Times New Roman" w:eastAsia="Times New Roman" w:hAnsi="Times New Roman" w:cs="Times New Roman"/>
            <w:i/>
            <w:iCs/>
            <w:color w:val="000000"/>
            <w:sz w:val="22"/>
            <w:szCs w:val="22"/>
          </w:rPr>
          <w:t>BMJ Glob Health</w:t>
        </w:r>
        <w:r w:rsidR="001C4D18" w:rsidRPr="001C4D18">
          <w:rPr>
            <w:rFonts w:ascii="Times New Roman" w:eastAsia="Times New Roman" w:hAnsi="Times New Roman" w:cs="Times New Roman"/>
            <w:color w:val="000000"/>
            <w:sz w:val="22"/>
            <w:szCs w:val="22"/>
          </w:rPr>
          <w:t>. 2021;6(12):e006434. doi:10.1136/bmjgh-2021-006434</w:t>
        </w:r>
      </w:hyperlink>
    </w:p>
    <w:p w14:paraId="2B723C5B" w14:textId="77777777" w:rsidR="001C4D18" w:rsidRPr="001C4D18" w:rsidRDefault="00000000" w:rsidP="001C4D18">
      <w:pPr>
        <w:spacing w:line="480" w:lineRule="auto"/>
        <w:ind w:hanging="384"/>
        <w:rPr>
          <w:rFonts w:ascii="Times New Roman" w:eastAsia="Times New Roman" w:hAnsi="Times New Roman" w:cs="Times New Roman"/>
        </w:rPr>
      </w:pPr>
      <w:hyperlink r:id="rId41" w:history="1">
        <w:r w:rsidR="001C4D18" w:rsidRPr="001C4D18">
          <w:rPr>
            <w:rFonts w:ascii="Times New Roman" w:eastAsia="Times New Roman" w:hAnsi="Times New Roman" w:cs="Times New Roman"/>
            <w:color w:val="000000"/>
            <w:sz w:val="22"/>
            <w:szCs w:val="22"/>
          </w:rPr>
          <w:t>12.</w:t>
        </w:r>
        <w:r w:rsidR="001C4D18" w:rsidRPr="001C4D18">
          <w:rPr>
            <w:rFonts w:ascii="Times New Roman" w:eastAsia="Times New Roman" w:hAnsi="Times New Roman" w:cs="Times New Roman"/>
            <w:color w:val="000000"/>
            <w:sz w:val="22"/>
            <w:szCs w:val="22"/>
          </w:rPr>
          <w:tab/>
          <w:t xml:space="preserve">Reich NG, Lessler J, Funk S, et al. Collaborative Hubs: Making the Most of Predictive Epidemic Modeling. </w:t>
        </w:r>
        <w:r w:rsidR="001C4D18" w:rsidRPr="001C4D18">
          <w:rPr>
            <w:rFonts w:ascii="Times New Roman" w:eastAsia="Times New Roman" w:hAnsi="Times New Roman" w:cs="Times New Roman"/>
            <w:i/>
            <w:iCs/>
            <w:color w:val="000000"/>
            <w:sz w:val="22"/>
            <w:szCs w:val="22"/>
          </w:rPr>
          <w:t>Am J Public Health</w:t>
        </w:r>
        <w:r w:rsidR="001C4D18" w:rsidRPr="001C4D18">
          <w:rPr>
            <w:rFonts w:ascii="Times New Roman" w:eastAsia="Times New Roman" w:hAnsi="Times New Roman" w:cs="Times New Roman"/>
            <w:color w:val="000000"/>
            <w:sz w:val="22"/>
            <w:szCs w:val="22"/>
          </w:rPr>
          <w:t>. 2022;112(6):839-842. doi:10.2105/AJPH.2022.306831</w:t>
        </w:r>
      </w:hyperlink>
    </w:p>
    <w:p w14:paraId="58823843" w14:textId="77777777" w:rsidR="001C4D18" w:rsidRPr="001C4D18" w:rsidRDefault="00000000" w:rsidP="001C4D18">
      <w:pPr>
        <w:spacing w:line="480" w:lineRule="auto"/>
        <w:ind w:hanging="384"/>
        <w:rPr>
          <w:rFonts w:ascii="Times New Roman" w:eastAsia="Times New Roman" w:hAnsi="Times New Roman" w:cs="Times New Roman"/>
        </w:rPr>
      </w:pPr>
      <w:hyperlink r:id="rId42" w:history="1">
        <w:r w:rsidR="001C4D18" w:rsidRPr="001C4D18">
          <w:rPr>
            <w:rFonts w:ascii="Times New Roman" w:eastAsia="Times New Roman" w:hAnsi="Times New Roman" w:cs="Times New Roman"/>
            <w:color w:val="000000"/>
            <w:sz w:val="22"/>
            <w:szCs w:val="22"/>
          </w:rPr>
          <w:t>13.</w:t>
        </w:r>
        <w:r w:rsidR="001C4D18" w:rsidRPr="001C4D18">
          <w:rPr>
            <w:rFonts w:ascii="Times New Roman" w:eastAsia="Times New Roman" w:hAnsi="Times New Roman" w:cs="Times New Roman"/>
            <w:color w:val="000000"/>
            <w:sz w:val="22"/>
            <w:szCs w:val="22"/>
          </w:rPr>
          <w:tab/>
          <w:t>COVID-19 Scenario Modeling Hub. Accessed August 24, 2023. https://viz.covid19scenariomodelinghub.org/</w:t>
        </w:r>
      </w:hyperlink>
    </w:p>
    <w:p w14:paraId="16B54DF1" w14:textId="77777777" w:rsidR="001C4D18" w:rsidRPr="001C4D18" w:rsidRDefault="00000000" w:rsidP="001C4D18">
      <w:pPr>
        <w:spacing w:line="480" w:lineRule="auto"/>
        <w:ind w:hanging="384"/>
        <w:rPr>
          <w:rFonts w:ascii="Times New Roman" w:eastAsia="Times New Roman" w:hAnsi="Times New Roman" w:cs="Times New Roman"/>
        </w:rPr>
      </w:pPr>
      <w:hyperlink r:id="rId43" w:history="1">
        <w:r w:rsidR="001C4D18" w:rsidRPr="001C4D18">
          <w:rPr>
            <w:rFonts w:ascii="Times New Roman" w:eastAsia="Times New Roman" w:hAnsi="Times New Roman" w:cs="Times New Roman"/>
            <w:color w:val="000000"/>
            <w:sz w:val="22"/>
            <w:szCs w:val="22"/>
          </w:rPr>
          <w:t>14.</w:t>
        </w:r>
        <w:r w:rsidR="001C4D18" w:rsidRPr="001C4D18">
          <w:rPr>
            <w:rFonts w:ascii="Times New Roman" w:eastAsia="Times New Roman" w:hAnsi="Times New Roman" w:cs="Times New Roman"/>
            <w:color w:val="000000"/>
            <w:sz w:val="22"/>
            <w:szCs w:val="22"/>
          </w:rPr>
          <w:tab/>
          <w:t xml:space="preserve">Howerton E, Contamin L, Mullany LC, et al. </w:t>
        </w:r>
        <w:r w:rsidR="001C4D18" w:rsidRPr="001C4D18">
          <w:rPr>
            <w:rFonts w:ascii="Times New Roman" w:eastAsia="Times New Roman" w:hAnsi="Times New Roman" w:cs="Times New Roman"/>
            <w:i/>
            <w:iCs/>
            <w:color w:val="000000"/>
            <w:sz w:val="22"/>
            <w:szCs w:val="22"/>
          </w:rPr>
          <w:t xml:space="preserve">Informing Pandemic Response in the Face of Uncertainty. </w:t>
        </w:r>
        <w:r w:rsidR="001C4D18" w:rsidRPr="001C4D18">
          <w:rPr>
            <w:rFonts w:ascii="Times New Roman" w:eastAsia="Times New Roman" w:hAnsi="Times New Roman" w:cs="Times New Roman"/>
            <w:color w:val="000000"/>
            <w:sz w:val="22"/>
            <w:szCs w:val="22"/>
          </w:rPr>
          <w:t>An Evaluation of the U.S. COVID-19 Scenario Modeling Hub. Infectious Diseases (except HIV/AIDS); 2023. doi:10.1101/2023.06.28.23291998</w:t>
        </w:r>
      </w:hyperlink>
    </w:p>
    <w:p w14:paraId="447BC3BC" w14:textId="77777777" w:rsidR="001C4D18" w:rsidRPr="001C4D18" w:rsidRDefault="00000000" w:rsidP="001C4D18">
      <w:pPr>
        <w:spacing w:line="480" w:lineRule="auto"/>
        <w:ind w:hanging="384"/>
        <w:rPr>
          <w:rFonts w:ascii="Times New Roman" w:eastAsia="Times New Roman" w:hAnsi="Times New Roman" w:cs="Times New Roman"/>
        </w:rPr>
      </w:pPr>
      <w:hyperlink r:id="rId44" w:history="1">
        <w:r w:rsidR="001C4D18" w:rsidRPr="001C4D18">
          <w:rPr>
            <w:rFonts w:ascii="Times New Roman" w:eastAsia="Times New Roman" w:hAnsi="Times New Roman" w:cs="Times New Roman"/>
            <w:color w:val="000000"/>
            <w:sz w:val="22"/>
            <w:szCs w:val="22"/>
          </w:rPr>
          <w:t>15.</w:t>
        </w:r>
        <w:r w:rsidR="001C4D18" w:rsidRPr="001C4D18">
          <w:rPr>
            <w:rFonts w:ascii="Times New Roman" w:eastAsia="Times New Roman" w:hAnsi="Times New Roman" w:cs="Times New Roman"/>
            <w:color w:val="000000"/>
            <w:sz w:val="22"/>
            <w:szCs w:val="22"/>
          </w:rPr>
          <w:tab/>
          <w:t>CDC. COVID-19 Vaccinations in the United States, Jurisdiction. Centers for Disease Control and Prevention. Accessed August 24, 2023. https://data.cdc.gov/Vaccinations/COVID-19-Vaccinations-in-the-United-States-Jurisdi/unsk-b7fc</w:t>
        </w:r>
      </w:hyperlink>
    </w:p>
    <w:p w14:paraId="5B10CB14" w14:textId="77777777" w:rsidR="001C4D18" w:rsidRPr="001C4D18" w:rsidRDefault="00000000" w:rsidP="001C4D18">
      <w:pPr>
        <w:spacing w:line="480" w:lineRule="auto"/>
        <w:ind w:hanging="384"/>
        <w:rPr>
          <w:rFonts w:ascii="Times New Roman" w:eastAsia="Times New Roman" w:hAnsi="Times New Roman" w:cs="Times New Roman"/>
        </w:rPr>
      </w:pPr>
      <w:hyperlink r:id="rId45" w:history="1">
        <w:r w:rsidR="001C4D18" w:rsidRPr="001C4D18">
          <w:rPr>
            <w:rFonts w:ascii="Times New Roman" w:eastAsia="Times New Roman" w:hAnsi="Times New Roman" w:cs="Times New Roman"/>
            <w:color w:val="000000"/>
            <w:sz w:val="22"/>
            <w:szCs w:val="22"/>
          </w:rPr>
          <w:t>16.</w:t>
        </w:r>
        <w:r w:rsidR="001C4D18" w:rsidRPr="001C4D18">
          <w:rPr>
            <w:rFonts w:ascii="Times New Roman" w:eastAsia="Times New Roman" w:hAnsi="Times New Roman" w:cs="Times New Roman"/>
            <w:color w:val="000000"/>
            <w:sz w:val="22"/>
            <w:szCs w:val="22"/>
          </w:rPr>
          <w:tab/>
          <w:t>COVID-19 Scenario Modeling Hub (GitHub). Published online July 28, 2023. Accessed August 28, 2023. https://github.com/midas-network/covid19-scenario-modeling-hub</w:t>
        </w:r>
      </w:hyperlink>
    </w:p>
    <w:p w14:paraId="2E4B988E" w14:textId="77777777" w:rsidR="001C4D18" w:rsidRPr="001C4D18" w:rsidRDefault="00000000" w:rsidP="001C4D18">
      <w:pPr>
        <w:spacing w:line="480" w:lineRule="auto"/>
        <w:ind w:hanging="384"/>
        <w:rPr>
          <w:rFonts w:ascii="Times New Roman" w:eastAsia="Times New Roman" w:hAnsi="Times New Roman" w:cs="Times New Roman"/>
        </w:rPr>
      </w:pPr>
      <w:hyperlink r:id="rId46" w:history="1">
        <w:r w:rsidR="001C4D18" w:rsidRPr="001C4D18">
          <w:rPr>
            <w:rFonts w:ascii="Times New Roman" w:eastAsia="Times New Roman" w:hAnsi="Times New Roman" w:cs="Times New Roman"/>
            <w:color w:val="000000"/>
            <w:sz w:val="22"/>
            <w:szCs w:val="22"/>
          </w:rPr>
          <w:t>17.</w:t>
        </w:r>
        <w:r w:rsidR="001C4D18" w:rsidRPr="001C4D18">
          <w:rPr>
            <w:rFonts w:ascii="Times New Roman" w:eastAsia="Times New Roman" w:hAnsi="Times New Roman" w:cs="Times New Roman"/>
            <w:color w:val="000000"/>
            <w:sz w:val="22"/>
            <w:szCs w:val="22"/>
          </w:rPr>
          <w:tab/>
          <w:t xml:space="preserve">Howerton E, Runge MC, Bogich TL, et al. Context-dependent representation of within- and between-model uncertainty: aggregating probabilistic predictions in infectious disease epidemiology. </w:t>
        </w:r>
        <w:r w:rsidR="001C4D18" w:rsidRPr="001C4D18">
          <w:rPr>
            <w:rFonts w:ascii="Times New Roman" w:eastAsia="Times New Roman" w:hAnsi="Times New Roman" w:cs="Times New Roman"/>
            <w:i/>
            <w:iCs/>
            <w:color w:val="000000"/>
            <w:sz w:val="22"/>
            <w:szCs w:val="22"/>
          </w:rPr>
          <w:t>J R Soc Interface</w:t>
        </w:r>
        <w:r w:rsidR="001C4D18" w:rsidRPr="001C4D18">
          <w:rPr>
            <w:rFonts w:ascii="Times New Roman" w:eastAsia="Times New Roman" w:hAnsi="Times New Roman" w:cs="Times New Roman"/>
            <w:color w:val="000000"/>
            <w:sz w:val="22"/>
            <w:szCs w:val="22"/>
          </w:rPr>
          <w:t>. 2023;20(198):20220659. doi:10.1098/rsif.2022.0659</w:t>
        </w:r>
      </w:hyperlink>
    </w:p>
    <w:p w14:paraId="252854B5" w14:textId="77777777" w:rsidR="001C4D18" w:rsidRPr="001C4D18" w:rsidRDefault="00000000" w:rsidP="001C4D18">
      <w:pPr>
        <w:spacing w:line="480" w:lineRule="auto"/>
        <w:ind w:hanging="384"/>
        <w:rPr>
          <w:rFonts w:ascii="Times New Roman" w:eastAsia="Times New Roman" w:hAnsi="Times New Roman" w:cs="Times New Roman"/>
        </w:rPr>
      </w:pPr>
      <w:hyperlink r:id="rId47" w:history="1">
        <w:r w:rsidR="001C4D18" w:rsidRPr="001C4D18">
          <w:rPr>
            <w:rFonts w:ascii="Times New Roman" w:eastAsia="Times New Roman" w:hAnsi="Times New Roman" w:cs="Times New Roman"/>
            <w:color w:val="000000"/>
            <w:sz w:val="22"/>
            <w:szCs w:val="22"/>
          </w:rPr>
          <w:t>18.</w:t>
        </w:r>
        <w:r w:rsidR="001C4D18" w:rsidRPr="001C4D18">
          <w:rPr>
            <w:rFonts w:ascii="Times New Roman" w:eastAsia="Times New Roman" w:hAnsi="Times New Roman" w:cs="Times New Roman"/>
            <w:color w:val="000000"/>
            <w:sz w:val="22"/>
            <w:szCs w:val="22"/>
          </w:rPr>
          <w:tab/>
          <w:t xml:space="preserve">Jose VRR, Grushka-Cockayne Y, Lichtendahl KC. Trimmed Opinion Pools and the Crowd’s Calibration Problem. </w:t>
        </w:r>
        <w:r w:rsidR="001C4D18" w:rsidRPr="001C4D18">
          <w:rPr>
            <w:rFonts w:ascii="Times New Roman" w:eastAsia="Times New Roman" w:hAnsi="Times New Roman" w:cs="Times New Roman"/>
            <w:i/>
            <w:iCs/>
            <w:color w:val="000000"/>
            <w:sz w:val="22"/>
            <w:szCs w:val="22"/>
          </w:rPr>
          <w:t>Manag Sci</w:t>
        </w:r>
        <w:r w:rsidR="001C4D18" w:rsidRPr="001C4D18">
          <w:rPr>
            <w:rFonts w:ascii="Times New Roman" w:eastAsia="Times New Roman" w:hAnsi="Times New Roman" w:cs="Times New Roman"/>
            <w:color w:val="000000"/>
            <w:sz w:val="22"/>
            <w:szCs w:val="22"/>
          </w:rPr>
          <w:t>. 2014;60(2):463-475. doi:10.1287/mnsc.2013.1781</w:t>
        </w:r>
      </w:hyperlink>
    </w:p>
    <w:p w14:paraId="1746646B" w14:textId="77777777" w:rsidR="001C4D18" w:rsidRPr="001C4D18" w:rsidRDefault="00000000" w:rsidP="001C4D18">
      <w:pPr>
        <w:spacing w:line="480" w:lineRule="auto"/>
        <w:ind w:hanging="384"/>
        <w:rPr>
          <w:rFonts w:ascii="Times New Roman" w:eastAsia="Times New Roman" w:hAnsi="Times New Roman" w:cs="Times New Roman"/>
        </w:rPr>
      </w:pPr>
      <w:hyperlink r:id="rId48" w:history="1">
        <w:r w:rsidR="001C4D18" w:rsidRPr="001C4D18">
          <w:rPr>
            <w:rFonts w:ascii="Times New Roman" w:eastAsia="Times New Roman" w:hAnsi="Times New Roman" w:cs="Times New Roman"/>
            <w:color w:val="000000"/>
            <w:sz w:val="22"/>
            <w:szCs w:val="22"/>
          </w:rPr>
          <w:t>19.</w:t>
        </w:r>
        <w:r w:rsidR="001C4D18" w:rsidRPr="001C4D18">
          <w:rPr>
            <w:rFonts w:ascii="Times New Roman" w:eastAsia="Times New Roman" w:hAnsi="Times New Roman" w:cs="Times New Roman"/>
            <w:color w:val="000000"/>
            <w:sz w:val="22"/>
            <w:szCs w:val="22"/>
          </w:rPr>
          <w:tab/>
          <w:t xml:space="preserve">Stone M. The Opinion Pool. </w:t>
        </w:r>
        <w:r w:rsidR="001C4D18" w:rsidRPr="001C4D18">
          <w:rPr>
            <w:rFonts w:ascii="Times New Roman" w:eastAsia="Times New Roman" w:hAnsi="Times New Roman" w:cs="Times New Roman"/>
            <w:i/>
            <w:iCs/>
            <w:color w:val="000000"/>
            <w:sz w:val="22"/>
            <w:szCs w:val="22"/>
          </w:rPr>
          <w:t>Ann Math Stat</w:t>
        </w:r>
        <w:r w:rsidR="001C4D18" w:rsidRPr="001C4D18">
          <w:rPr>
            <w:rFonts w:ascii="Times New Roman" w:eastAsia="Times New Roman" w:hAnsi="Times New Roman" w:cs="Times New Roman"/>
            <w:color w:val="000000"/>
            <w:sz w:val="22"/>
            <w:szCs w:val="22"/>
          </w:rPr>
          <w:t>. 1961;32(4):1339-1342. doi:10.1214/aoms/1177704873</w:t>
        </w:r>
      </w:hyperlink>
    </w:p>
    <w:p w14:paraId="02872D59" w14:textId="77777777" w:rsidR="001C4D18" w:rsidRPr="001C4D18" w:rsidRDefault="00000000" w:rsidP="001C4D18">
      <w:pPr>
        <w:spacing w:line="480" w:lineRule="auto"/>
        <w:ind w:hanging="384"/>
        <w:rPr>
          <w:rFonts w:ascii="Times New Roman" w:eastAsia="Times New Roman" w:hAnsi="Times New Roman" w:cs="Times New Roman"/>
        </w:rPr>
      </w:pPr>
      <w:hyperlink r:id="rId49" w:history="1">
        <w:r w:rsidR="001C4D18" w:rsidRPr="001C4D18">
          <w:rPr>
            <w:rFonts w:ascii="Times New Roman" w:eastAsia="Times New Roman" w:hAnsi="Times New Roman" w:cs="Times New Roman"/>
            <w:color w:val="000000"/>
            <w:sz w:val="22"/>
            <w:szCs w:val="22"/>
          </w:rPr>
          <w:t>20.</w:t>
        </w:r>
        <w:r w:rsidR="001C4D18" w:rsidRPr="001C4D18">
          <w:rPr>
            <w:rFonts w:ascii="Times New Roman" w:eastAsia="Times New Roman" w:hAnsi="Times New Roman" w:cs="Times New Roman"/>
            <w:color w:val="000000"/>
            <w:sz w:val="22"/>
            <w:szCs w:val="22"/>
          </w:rPr>
          <w:tab/>
          <w:t xml:space="preserve">Ver Hoef JM. Who Invented the Delta Method? </w:t>
        </w:r>
        <w:r w:rsidR="001C4D18" w:rsidRPr="001C4D18">
          <w:rPr>
            <w:rFonts w:ascii="Times New Roman" w:eastAsia="Times New Roman" w:hAnsi="Times New Roman" w:cs="Times New Roman"/>
            <w:i/>
            <w:iCs/>
            <w:color w:val="000000"/>
            <w:sz w:val="22"/>
            <w:szCs w:val="22"/>
          </w:rPr>
          <w:t>Am Stat</w:t>
        </w:r>
        <w:r w:rsidR="001C4D18" w:rsidRPr="001C4D18">
          <w:rPr>
            <w:rFonts w:ascii="Times New Roman" w:eastAsia="Times New Roman" w:hAnsi="Times New Roman" w:cs="Times New Roman"/>
            <w:color w:val="000000"/>
            <w:sz w:val="22"/>
            <w:szCs w:val="22"/>
          </w:rPr>
          <w:t>. 2012;66(2):124-127. doi:10.1080/00031305.2012.687494</w:t>
        </w:r>
      </w:hyperlink>
    </w:p>
    <w:p w14:paraId="16E365F5" w14:textId="77777777" w:rsidR="001C4D18" w:rsidRPr="001C4D18" w:rsidRDefault="00000000" w:rsidP="001C4D18">
      <w:pPr>
        <w:spacing w:line="480" w:lineRule="auto"/>
        <w:ind w:hanging="384"/>
        <w:rPr>
          <w:rFonts w:ascii="Times New Roman" w:eastAsia="Times New Roman" w:hAnsi="Times New Roman" w:cs="Times New Roman"/>
        </w:rPr>
      </w:pPr>
      <w:hyperlink r:id="rId50" w:history="1">
        <w:r w:rsidR="001C4D18" w:rsidRPr="001C4D18">
          <w:rPr>
            <w:rFonts w:ascii="Times New Roman" w:eastAsia="Times New Roman" w:hAnsi="Times New Roman" w:cs="Times New Roman"/>
            <w:color w:val="000000"/>
            <w:sz w:val="22"/>
            <w:szCs w:val="22"/>
          </w:rPr>
          <w:t>21.</w:t>
        </w:r>
        <w:r w:rsidR="001C4D18" w:rsidRPr="001C4D18">
          <w:rPr>
            <w:rFonts w:ascii="Times New Roman" w:eastAsia="Times New Roman" w:hAnsi="Times New Roman" w:cs="Times New Roman"/>
            <w:color w:val="000000"/>
            <w:sz w:val="22"/>
            <w:szCs w:val="22"/>
          </w:rPr>
          <w:tab/>
          <w:t xml:space="preserve">Borchering RK, Mullany LC, Howerton E, et al. Impact of SARS-CoV-2 vaccination of children ages 5–11 years on COVID-19 disease burden and resilience to new variants in the United States, November 2021–March 2022: a multi-model study. </w:t>
        </w:r>
        <w:r w:rsidR="001C4D18" w:rsidRPr="001C4D18">
          <w:rPr>
            <w:rFonts w:ascii="Times New Roman" w:eastAsia="Times New Roman" w:hAnsi="Times New Roman" w:cs="Times New Roman"/>
            <w:i/>
            <w:iCs/>
            <w:color w:val="000000"/>
            <w:sz w:val="22"/>
            <w:szCs w:val="22"/>
          </w:rPr>
          <w:t>Lancet Reg Health - Am</w:t>
        </w:r>
        <w:r w:rsidR="001C4D18" w:rsidRPr="001C4D18">
          <w:rPr>
            <w:rFonts w:ascii="Times New Roman" w:eastAsia="Times New Roman" w:hAnsi="Times New Roman" w:cs="Times New Roman"/>
            <w:color w:val="000000"/>
            <w:sz w:val="22"/>
            <w:szCs w:val="22"/>
          </w:rPr>
          <w:t>. 2023;17:100398. doi:10.1016/j.lana.2022.100398</w:t>
        </w:r>
      </w:hyperlink>
    </w:p>
    <w:p w14:paraId="2CCB2B71" w14:textId="77777777" w:rsidR="001C4D18" w:rsidRPr="001C4D18" w:rsidRDefault="00000000" w:rsidP="001C4D18">
      <w:pPr>
        <w:spacing w:line="480" w:lineRule="auto"/>
        <w:ind w:hanging="384"/>
        <w:rPr>
          <w:rFonts w:ascii="Times New Roman" w:eastAsia="Times New Roman" w:hAnsi="Times New Roman" w:cs="Times New Roman"/>
        </w:rPr>
      </w:pPr>
      <w:hyperlink r:id="rId51" w:history="1">
        <w:r w:rsidR="001C4D18" w:rsidRPr="001C4D18">
          <w:rPr>
            <w:rFonts w:ascii="Times New Roman" w:eastAsia="Times New Roman" w:hAnsi="Times New Roman" w:cs="Times New Roman"/>
            <w:color w:val="000000"/>
            <w:sz w:val="22"/>
            <w:szCs w:val="22"/>
          </w:rPr>
          <w:t>22.</w:t>
        </w:r>
        <w:r w:rsidR="001C4D18" w:rsidRPr="001C4D18">
          <w:rPr>
            <w:rFonts w:ascii="Times New Roman" w:eastAsia="Times New Roman" w:hAnsi="Times New Roman" w:cs="Times New Roman"/>
            <w:color w:val="000000"/>
            <w:sz w:val="22"/>
            <w:szCs w:val="22"/>
          </w:rPr>
          <w:tab/>
          <w:t xml:space="preserve">Viechtbauer W. Conducting Meta-Analyses in </w:t>
        </w:r>
        <w:r w:rsidR="001C4D18" w:rsidRPr="001C4D18">
          <w:rPr>
            <w:rFonts w:ascii="Times New Roman" w:eastAsia="Times New Roman" w:hAnsi="Times New Roman" w:cs="Times New Roman"/>
            <w:i/>
            <w:iCs/>
            <w:color w:val="000000"/>
            <w:sz w:val="22"/>
            <w:szCs w:val="22"/>
          </w:rPr>
          <w:t>R</w:t>
        </w:r>
        <w:r w:rsidR="001C4D18" w:rsidRPr="001C4D18">
          <w:rPr>
            <w:rFonts w:ascii="Times New Roman" w:eastAsia="Times New Roman" w:hAnsi="Times New Roman" w:cs="Times New Roman"/>
            <w:color w:val="000000"/>
            <w:sz w:val="22"/>
            <w:szCs w:val="22"/>
          </w:rPr>
          <w:t xml:space="preserve"> with the </w:t>
        </w:r>
        <w:r w:rsidR="001C4D18" w:rsidRPr="001C4D18">
          <w:rPr>
            <w:rFonts w:ascii="Times New Roman" w:eastAsia="Times New Roman" w:hAnsi="Times New Roman" w:cs="Times New Roman"/>
            <w:b/>
            <w:bCs/>
            <w:color w:val="000000"/>
            <w:sz w:val="22"/>
            <w:szCs w:val="22"/>
          </w:rPr>
          <w:t>metafor</w:t>
        </w:r>
        <w:r w:rsidR="001C4D18" w:rsidRPr="001C4D18">
          <w:rPr>
            <w:rFonts w:ascii="Times New Roman" w:eastAsia="Times New Roman" w:hAnsi="Times New Roman" w:cs="Times New Roman"/>
            <w:color w:val="000000"/>
            <w:sz w:val="22"/>
            <w:szCs w:val="22"/>
          </w:rPr>
          <w:t xml:space="preserve"> Package. </w:t>
        </w:r>
        <w:r w:rsidR="001C4D18" w:rsidRPr="001C4D18">
          <w:rPr>
            <w:rFonts w:ascii="Times New Roman" w:eastAsia="Times New Roman" w:hAnsi="Times New Roman" w:cs="Times New Roman"/>
            <w:i/>
            <w:iCs/>
            <w:color w:val="000000"/>
            <w:sz w:val="22"/>
            <w:szCs w:val="22"/>
          </w:rPr>
          <w:t>J Stat Softw</w:t>
        </w:r>
        <w:r w:rsidR="001C4D18" w:rsidRPr="001C4D18">
          <w:rPr>
            <w:rFonts w:ascii="Times New Roman" w:eastAsia="Times New Roman" w:hAnsi="Times New Roman" w:cs="Times New Roman"/>
            <w:color w:val="000000"/>
            <w:sz w:val="22"/>
            <w:szCs w:val="22"/>
          </w:rPr>
          <w:t>. 2010;36(3). doi:10.18637/jss.v036.i03</w:t>
        </w:r>
      </w:hyperlink>
    </w:p>
    <w:p w14:paraId="094E6AD1" w14:textId="77777777" w:rsidR="001C4D18" w:rsidRPr="001C4D18" w:rsidRDefault="00000000" w:rsidP="001C4D18">
      <w:pPr>
        <w:spacing w:line="480" w:lineRule="auto"/>
        <w:ind w:hanging="384"/>
        <w:rPr>
          <w:rFonts w:ascii="Times New Roman" w:eastAsia="Times New Roman" w:hAnsi="Times New Roman" w:cs="Times New Roman"/>
        </w:rPr>
      </w:pPr>
      <w:hyperlink r:id="rId52" w:history="1">
        <w:r w:rsidR="001C4D18" w:rsidRPr="001C4D18">
          <w:rPr>
            <w:rFonts w:ascii="Times New Roman" w:eastAsia="Times New Roman" w:hAnsi="Times New Roman" w:cs="Times New Roman"/>
            <w:color w:val="000000"/>
            <w:sz w:val="22"/>
            <w:szCs w:val="22"/>
          </w:rPr>
          <w:t>23.</w:t>
        </w:r>
        <w:r w:rsidR="001C4D18" w:rsidRPr="001C4D18">
          <w:rPr>
            <w:rFonts w:ascii="Times New Roman" w:eastAsia="Times New Roman" w:hAnsi="Times New Roman" w:cs="Times New Roman"/>
            <w:color w:val="000000"/>
            <w:sz w:val="22"/>
            <w:szCs w:val="22"/>
          </w:rPr>
          <w:tab/>
          <w:t>CDC. Science Brief: Indicators for Monitoring COVID-19 Community Levels and Making Public Health Recommendations. Centers for Disease Control and Prevention. Published February 11, 2020. Accessed August 24, 2023. https://www.cdc.gov/coronavirus/2019-ncov/science/science-briefs/indicators-monitoring-community-levels.html</w:t>
        </w:r>
      </w:hyperlink>
    </w:p>
    <w:p w14:paraId="20648275" w14:textId="77777777" w:rsidR="001C4D18" w:rsidRPr="001C4D18" w:rsidRDefault="00000000" w:rsidP="001C4D18">
      <w:pPr>
        <w:spacing w:line="480" w:lineRule="auto"/>
        <w:ind w:hanging="384"/>
        <w:rPr>
          <w:rFonts w:ascii="Times New Roman" w:eastAsia="Times New Roman" w:hAnsi="Times New Roman" w:cs="Times New Roman"/>
        </w:rPr>
      </w:pPr>
      <w:hyperlink r:id="rId53" w:history="1">
        <w:r w:rsidR="001C4D18" w:rsidRPr="001C4D18">
          <w:rPr>
            <w:rFonts w:ascii="Times New Roman" w:eastAsia="Times New Roman" w:hAnsi="Times New Roman" w:cs="Times New Roman"/>
            <w:color w:val="000000"/>
            <w:sz w:val="22"/>
            <w:szCs w:val="22"/>
          </w:rPr>
          <w:t>24.</w:t>
        </w:r>
        <w:r w:rsidR="001C4D18" w:rsidRPr="001C4D18">
          <w:rPr>
            <w:rFonts w:ascii="Times New Roman" w:eastAsia="Times New Roman" w:hAnsi="Times New Roman" w:cs="Times New Roman"/>
            <w:color w:val="000000"/>
            <w:sz w:val="22"/>
            <w:szCs w:val="22"/>
          </w:rPr>
          <w:tab/>
          <w:t>CDC. Mortality in the United States, 2019. Centers for Disease Control and Prevention. Published May 11, 2021. Accessed August 24, 2023. https://www.cdc.gov/nchs/products/databriefs/db395.htm</w:t>
        </w:r>
      </w:hyperlink>
    </w:p>
    <w:p w14:paraId="4AED94A0" w14:textId="77777777" w:rsidR="001C4D18" w:rsidRPr="001C4D18" w:rsidRDefault="00000000" w:rsidP="001C4D18">
      <w:pPr>
        <w:spacing w:line="480" w:lineRule="auto"/>
        <w:ind w:hanging="384"/>
        <w:rPr>
          <w:rFonts w:ascii="Times New Roman" w:eastAsia="Times New Roman" w:hAnsi="Times New Roman" w:cs="Times New Roman"/>
        </w:rPr>
      </w:pPr>
      <w:hyperlink r:id="rId54" w:history="1">
        <w:r w:rsidR="001C4D18" w:rsidRPr="001C4D18">
          <w:rPr>
            <w:rFonts w:ascii="Times New Roman" w:eastAsia="Times New Roman" w:hAnsi="Times New Roman" w:cs="Times New Roman"/>
            <w:color w:val="000000"/>
            <w:sz w:val="22"/>
            <w:szCs w:val="22"/>
          </w:rPr>
          <w:t>25.</w:t>
        </w:r>
        <w:r w:rsidR="001C4D18" w:rsidRPr="001C4D18">
          <w:rPr>
            <w:rFonts w:ascii="Times New Roman" w:eastAsia="Times New Roman" w:hAnsi="Times New Roman" w:cs="Times New Roman"/>
            <w:color w:val="000000"/>
            <w:sz w:val="22"/>
            <w:szCs w:val="22"/>
          </w:rPr>
          <w:tab/>
          <w:t>CDC. COVID-19 Vaccination Demographics in the United States,National | Data | Centers for Disease Control and Prevention. Accessed August 24, 2023. https://data.cdc.gov/Vaccinations/COVID-19-Vaccination-Demographics-in-the-United-St/km4m-vcsb</w:t>
        </w:r>
      </w:hyperlink>
    </w:p>
    <w:p w14:paraId="176B9AF7" w14:textId="77777777" w:rsidR="001C4D18" w:rsidRPr="001C4D18" w:rsidRDefault="00000000" w:rsidP="001C4D18">
      <w:pPr>
        <w:spacing w:line="480" w:lineRule="auto"/>
        <w:ind w:hanging="384"/>
        <w:rPr>
          <w:rFonts w:ascii="Times New Roman" w:eastAsia="Times New Roman" w:hAnsi="Times New Roman" w:cs="Times New Roman"/>
        </w:rPr>
      </w:pPr>
      <w:hyperlink r:id="rId55" w:history="1">
        <w:r w:rsidR="001C4D18" w:rsidRPr="001C4D18">
          <w:rPr>
            <w:rFonts w:ascii="Times New Roman" w:eastAsia="Times New Roman" w:hAnsi="Times New Roman" w:cs="Times New Roman"/>
            <w:color w:val="000000"/>
            <w:sz w:val="22"/>
            <w:szCs w:val="22"/>
          </w:rPr>
          <w:t>26.</w:t>
        </w:r>
        <w:r w:rsidR="001C4D18" w:rsidRPr="001C4D18">
          <w:rPr>
            <w:rFonts w:ascii="Times New Roman" w:eastAsia="Times New Roman" w:hAnsi="Times New Roman" w:cs="Times New Roman"/>
            <w:color w:val="000000"/>
            <w:sz w:val="22"/>
            <w:szCs w:val="22"/>
          </w:rPr>
          <w:tab/>
          <w:t>CDC. Flu Vaccination Coverage, United States, 2018–19 Influenza Season (FluVaxView). Centers for Disease Control and Prevention. Published January 27, 2022. Accessed August 24, 2023. https://www.cdc.gov/flu/fluvaxview/coverage-1819estimates.htm</w:t>
        </w:r>
      </w:hyperlink>
    </w:p>
    <w:p w14:paraId="1624AB3B" w14:textId="77777777" w:rsidR="001C4D18" w:rsidRPr="001C4D18" w:rsidRDefault="00000000" w:rsidP="001C4D18">
      <w:pPr>
        <w:spacing w:line="480" w:lineRule="auto"/>
        <w:ind w:hanging="384"/>
        <w:rPr>
          <w:rFonts w:ascii="Times New Roman" w:eastAsia="Times New Roman" w:hAnsi="Times New Roman" w:cs="Times New Roman"/>
        </w:rPr>
      </w:pPr>
      <w:hyperlink r:id="rId56" w:history="1">
        <w:r w:rsidR="001C4D18" w:rsidRPr="001C4D18">
          <w:rPr>
            <w:rFonts w:ascii="Times New Roman" w:eastAsia="Times New Roman" w:hAnsi="Times New Roman" w:cs="Times New Roman"/>
            <w:color w:val="000000"/>
            <w:sz w:val="22"/>
            <w:szCs w:val="22"/>
          </w:rPr>
          <w:t>27.</w:t>
        </w:r>
        <w:r w:rsidR="001C4D18" w:rsidRPr="001C4D18">
          <w:rPr>
            <w:rFonts w:ascii="Times New Roman" w:eastAsia="Times New Roman" w:hAnsi="Times New Roman" w:cs="Times New Roman"/>
            <w:color w:val="000000"/>
            <w:sz w:val="22"/>
            <w:szCs w:val="22"/>
          </w:rPr>
          <w:tab/>
          <w:t>CDC. FluVaxView. Centers for Disease Control and Prevention. Published October 11, 2022. Accessed August 24, 2023. https://www.cdc.gov/flu/fluvaxview/index.htm</w:t>
        </w:r>
      </w:hyperlink>
    </w:p>
    <w:p w14:paraId="17C9C470" w14:textId="77777777" w:rsidR="001C4D18" w:rsidRPr="001C4D18" w:rsidRDefault="00000000" w:rsidP="001C4D18">
      <w:pPr>
        <w:spacing w:line="480" w:lineRule="auto"/>
        <w:ind w:hanging="384"/>
        <w:rPr>
          <w:rFonts w:ascii="Times New Roman" w:eastAsia="Times New Roman" w:hAnsi="Times New Roman" w:cs="Times New Roman"/>
        </w:rPr>
      </w:pPr>
      <w:hyperlink r:id="rId57" w:history="1">
        <w:r w:rsidR="001C4D18" w:rsidRPr="001C4D18">
          <w:rPr>
            <w:rFonts w:ascii="Times New Roman" w:eastAsia="Times New Roman" w:hAnsi="Times New Roman" w:cs="Times New Roman"/>
            <w:color w:val="000000"/>
            <w:sz w:val="22"/>
            <w:szCs w:val="22"/>
          </w:rPr>
          <w:t>28.</w:t>
        </w:r>
        <w:r w:rsidR="001C4D18" w:rsidRPr="001C4D18">
          <w:rPr>
            <w:rFonts w:ascii="Times New Roman" w:eastAsia="Times New Roman" w:hAnsi="Times New Roman" w:cs="Times New Roman"/>
            <w:color w:val="000000"/>
            <w:sz w:val="22"/>
            <w:szCs w:val="22"/>
          </w:rPr>
          <w:tab/>
          <w:t xml:space="preserve">Mykytyn AZ, Rissmann M, Kok A, et al. Antigenic cartography of SARS-CoV-2 reveals that Omicron BA.1 and BA.2 are antigenically distinct. </w:t>
        </w:r>
        <w:r w:rsidR="001C4D18" w:rsidRPr="001C4D18">
          <w:rPr>
            <w:rFonts w:ascii="Times New Roman" w:eastAsia="Times New Roman" w:hAnsi="Times New Roman" w:cs="Times New Roman"/>
            <w:i/>
            <w:iCs/>
            <w:color w:val="000000"/>
            <w:sz w:val="22"/>
            <w:szCs w:val="22"/>
          </w:rPr>
          <w:t>Sci Immunol</w:t>
        </w:r>
        <w:r w:rsidR="001C4D18" w:rsidRPr="001C4D18">
          <w:rPr>
            <w:rFonts w:ascii="Times New Roman" w:eastAsia="Times New Roman" w:hAnsi="Times New Roman" w:cs="Times New Roman"/>
            <w:color w:val="000000"/>
            <w:sz w:val="22"/>
            <w:szCs w:val="22"/>
          </w:rPr>
          <w:t>. 2022;7(75):eabq4450. doi:10.1126/sciimmunol.abq4450</w:t>
        </w:r>
      </w:hyperlink>
    </w:p>
    <w:p w14:paraId="4CCD3BF9" w14:textId="3793C7F1" w:rsidR="009E611D" w:rsidRPr="00B149ED" w:rsidRDefault="00000000" w:rsidP="00B149ED">
      <w:pPr>
        <w:spacing w:line="480" w:lineRule="auto"/>
        <w:ind w:hanging="384"/>
        <w:rPr>
          <w:rFonts w:ascii="Times New Roman" w:eastAsia="Times New Roman" w:hAnsi="Times New Roman" w:cs="Times New Roman"/>
        </w:rPr>
      </w:pPr>
      <w:hyperlink r:id="rId58" w:history="1">
        <w:r w:rsidR="001C4D18" w:rsidRPr="001C4D18">
          <w:rPr>
            <w:rFonts w:ascii="Times New Roman" w:eastAsia="Times New Roman" w:hAnsi="Times New Roman" w:cs="Times New Roman"/>
            <w:color w:val="000000"/>
            <w:sz w:val="22"/>
            <w:szCs w:val="22"/>
          </w:rPr>
          <w:t>29.</w:t>
        </w:r>
        <w:r w:rsidR="001C4D18" w:rsidRPr="001C4D18">
          <w:rPr>
            <w:rFonts w:ascii="Times New Roman" w:eastAsia="Times New Roman" w:hAnsi="Times New Roman" w:cs="Times New Roman"/>
            <w:color w:val="000000"/>
            <w:sz w:val="22"/>
            <w:szCs w:val="22"/>
          </w:rPr>
          <w:tab/>
          <w:t xml:space="preserve">Rössler A, Netzl A, Knabl L, et al. BA.2 and BA.5 omicron differ immunologically from both BA.1 omicron and pre-omicron variants. </w:t>
        </w:r>
        <w:r w:rsidR="001C4D18" w:rsidRPr="001C4D18">
          <w:rPr>
            <w:rFonts w:ascii="Times New Roman" w:eastAsia="Times New Roman" w:hAnsi="Times New Roman" w:cs="Times New Roman"/>
            <w:i/>
            <w:iCs/>
            <w:color w:val="000000"/>
            <w:sz w:val="22"/>
            <w:szCs w:val="22"/>
          </w:rPr>
          <w:t>Nat Commun</w:t>
        </w:r>
        <w:r w:rsidR="001C4D18" w:rsidRPr="001C4D18">
          <w:rPr>
            <w:rFonts w:ascii="Times New Roman" w:eastAsia="Times New Roman" w:hAnsi="Times New Roman" w:cs="Times New Roman"/>
            <w:color w:val="000000"/>
            <w:sz w:val="22"/>
            <w:szCs w:val="22"/>
          </w:rPr>
          <w:t>. 2022;13(1):7701. doi:10.1038/s41467-022-35312-3</w:t>
        </w:r>
      </w:hyperlink>
    </w:p>
    <w:sectPr w:rsidR="009E611D" w:rsidRPr="00B149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18"/>
    <w:rsid w:val="00054FA9"/>
    <w:rsid w:val="00103F88"/>
    <w:rsid w:val="0012724D"/>
    <w:rsid w:val="001C4D18"/>
    <w:rsid w:val="002F07C9"/>
    <w:rsid w:val="009E611D"/>
    <w:rsid w:val="00B149ED"/>
    <w:rsid w:val="00D47502"/>
  </w:rsids>
  <m:mathPr>
    <m:mathFont m:val="Cambria Math"/>
    <m:brkBin m:val="before"/>
    <m:brkBinSub m:val="--"/>
    <m:smallFrac m:val="0"/>
    <m:dispDef/>
    <m:lMargin m:val="0"/>
    <m:rMargin m:val="0"/>
    <m:defJc m:val="centerGroup"/>
    <m:wrapIndent m:val="1440"/>
    <m:intLim m:val="subSup"/>
    <m:naryLim m:val="undOvr"/>
  </m:mathPr>
  <w:themeFontLang w:val="en-K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CD7B"/>
  <w15:chartTrackingRefBased/>
  <w15:docId w15:val="{69D5D591-F664-3A45-AB1D-1C64C721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D1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C4D18"/>
    <w:rPr>
      <w:color w:val="0000FF"/>
      <w:u w:val="single"/>
    </w:rPr>
  </w:style>
  <w:style w:type="character" w:customStyle="1" w:styleId="apple-tab-span">
    <w:name w:val="apple-tab-span"/>
    <w:basedOn w:val="DefaultParagraphFont"/>
    <w:rsid w:val="001C4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78067">
      <w:bodyDiv w:val="1"/>
      <w:marLeft w:val="0"/>
      <w:marRight w:val="0"/>
      <w:marTop w:val="0"/>
      <w:marBottom w:val="0"/>
      <w:divBdr>
        <w:top w:val="none" w:sz="0" w:space="0" w:color="auto"/>
        <w:left w:val="none" w:sz="0" w:space="0" w:color="auto"/>
        <w:bottom w:val="none" w:sz="0" w:space="0" w:color="auto"/>
        <w:right w:val="none" w:sz="0" w:space="0" w:color="auto"/>
      </w:divBdr>
    </w:div>
    <w:div w:id="584649878">
      <w:bodyDiv w:val="1"/>
      <w:marLeft w:val="0"/>
      <w:marRight w:val="0"/>
      <w:marTop w:val="0"/>
      <w:marBottom w:val="0"/>
      <w:divBdr>
        <w:top w:val="none" w:sz="0" w:space="0" w:color="auto"/>
        <w:left w:val="none" w:sz="0" w:space="0" w:color="auto"/>
        <w:bottom w:val="none" w:sz="0" w:space="0" w:color="auto"/>
        <w:right w:val="none" w:sz="0" w:space="0" w:color="auto"/>
      </w:divBdr>
    </w:div>
    <w:div w:id="646788131">
      <w:bodyDiv w:val="1"/>
      <w:marLeft w:val="0"/>
      <w:marRight w:val="0"/>
      <w:marTop w:val="0"/>
      <w:marBottom w:val="0"/>
      <w:divBdr>
        <w:top w:val="none" w:sz="0" w:space="0" w:color="auto"/>
        <w:left w:val="none" w:sz="0" w:space="0" w:color="auto"/>
        <w:bottom w:val="none" w:sz="0" w:space="0" w:color="auto"/>
        <w:right w:val="none" w:sz="0" w:space="0" w:color="auto"/>
      </w:divBdr>
    </w:div>
    <w:div w:id="733358078">
      <w:bodyDiv w:val="1"/>
      <w:marLeft w:val="0"/>
      <w:marRight w:val="0"/>
      <w:marTop w:val="0"/>
      <w:marBottom w:val="0"/>
      <w:divBdr>
        <w:top w:val="none" w:sz="0" w:space="0" w:color="auto"/>
        <w:left w:val="none" w:sz="0" w:space="0" w:color="auto"/>
        <w:bottom w:val="none" w:sz="0" w:space="0" w:color="auto"/>
        <w:right w:val="none" w:sz="0" w:space="0" w:color="auto"/>
      </w:divBdr>
    </w:div>
    <w:div w:id="1029914917">
      <w:bodyDiv w:val="1"/>
      <w:marLeft w:val="0"/>
      <w:marRight w:val="0"/>
      <w:marTop w:val="0"/>
      <w:marBottom w:val="0"/>
      <w:divBdr>
        <w:top w:val="none" w:sz="0" w:space="0" w:color="auto"/>
        <w:left w:val="none" w:sz="0" w:space="0" w:color="auto"/>
        <w:bottom w:val="none" w:sz="0" w:space="0" w:color="auto"/>
        <w:right w:val="none" w:sz="0" w:space="0" w:color="auto"/>
      </w:divBdr>
    </w:div>
    <w:div w:id="1039940445">
      <w:bodyDiv w:val="1"/>
      <w:marLeft w:val="0"/>
      <w:marRight w:val="0"/>
      <w:marTop w:val="0"/>
      <w:marBottom w:val="0"/>
      <w:divBdr>
        <w:top w:val="none" w:sz="0" w:space="0" w:color="auto"/>
        <w:left w:val="none" w:sz="0" w:space="0" w:color="auto"/>
        <w:bottom w:val="none" w:sz="0" w:space="0" w:color="auto"/>
        <w:right w:val="none" w:sz="0" w:space="0" w:color="auto"/>
      </w:divBdr>
    </w:div>
    <w:div w:id="141135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OVSFnu" TargetMode="External"/><Relationship Id="rId18" Type="http://schemas.openxmlformats.org/officeDocument/2006/relationships/hyperlink" Target="https://www.zotero.org/google-docs/?bblitu" TargetMode="External"/><Relationship Id="rId26" Type="http://schemas.openxmlformats.org/officeDocument/2006/relationships/hyperlink" Target="https://www.zotero.org/google-docs/?ZlSeJM" TargetMode="External"/><Relationship Id="rId39" Type="http://schemas.openxmlformats.org/officeDocument/2006/relationships/hyperlink" Target="https://www.zotero.org/google-docs/?cGtBcl" TargetMode="External"/><Relationship Id="rId21" Type="http://schemas.openxmlformats.org/officeDocument/2006/relationships/hyperlink" Target="https://www.zotero.org/google-docs/?nsY2Zg" TargetMode="External"/><Relationship Id="rId34" Type="http://schemas.openxmlformats.org/officeDocument/2006/relationships/hyperlink" Target="https://www.zotero.org/google-docs/?cGtBcl" TargetMode="External"/><Relationship Id="rId42" Type="http://schemas.openxmlformats.org/officeDocument/2006/relationships/hyperlink" Target="https://www.zotero.org/google-docs/?cGtBcl" TargetMode="External"/><Relationship Id="rId47" Type="http://schemas.openxmlformats.org/officeDocument/2006/relationships/hyperlink" Target="https://www.zotero.org/google-docs/?cGtBcl" TargetMode="External"/><Relationship Id="rId50" Type="http://schemas.openxmlformats.org/officeDocument/2006/relationships/hyperlink" Target="https://www.zotero.org/google-docs/?cGtBcl" TargetMode="External"/><Relationship Id="rId55" Type="http://schemas.openxmlformats.org/officeDocument/2006/relationships/hyperlink" Target="https://www.zotero.org/google-docs/?cGtBcl" TargetMode="External"/><Relationship Id="rId7" Type="http://schemas.openxmlformats.org/officeDocument/2006/relationships/hyperlink" Target="https://www.zotero.org/google-docs/?6Dr6DH" TargetMode="External"/><Relationship Id="rId2" Type="http://schemas.openxmlformats.org/officeDocument/2006/relationships/styles" Target="styles.xml"/><Relationship Id="rId16" Type="http://schemas.openxmlformats.org/officeDocument/2006/relationships/hyperlink" Target="https://www.zotero.org/google-docs/?2dd94E" TargetMode="External"/><Relationship Id="rId29" Type="http://schemas.openxmlformats.org/officeDocument/2006/relationships/hyperlink" Target="https://www.zotero.org/google-docs/?oCqjp7" TargetMode="External"/><Relationship Id="rId11" Type="http://schemas.openxmlformats.org/officeDocument/2006/relationships/hyperlink" Target="https://www.zotero.org/google-docs/?tPQOlC" TargetMode="External"/><Relationship Id="rId24" Type="http://schemas.openxmlformats.org/officeDocument/2006/relationships/hyperlink" Target="https://www.zotero.org/google-docs/?wQk0pf" TargetMode="External"/><Relationship Id="rId32" Type="http://schemas.openxmlformats.org/officeDocument/2006/relationships/hyperlink" Target="https://www.zotero.org/google-docs/?cGtBcl" TargetMode="External"/><Relationship Id="rId37" Type="http://schemas.openxmlformats.org/officeDocument/2006/relationships/hyperlink" Target="https://www.zotero.org/google-docs/?cGtBcl" TargetMode="External"/><Relationship Id="rId40" Type="http://schemas.openxmlformats.org/officeDocument/2006/relationships/hyperlink" Target="https://www.zotero.org/google-docs/?cGtBcl" TargetMode="External"/><Relationship Id="rId45" Type="http://schemas.openxmlformats.org/officeDocument/2006/relationships/hyperlink" Target="https://www.zotero.org/google-docs/?cGtBcl" TargetMode="External"/><Relationship Id="rId53" Type="http://schemas.openxmlformats.org/officeDocument/2006/relationships/hyperlink" Target="https://www.zotero.org/google-docs/?cGtBcl" TargetMode="External"/><Relationship Id="rId58" Type="http://schemas.openxmlformats.org/officeDocument/2006/relationships/hyperlink" Target="https://www.zotero.org/google-docs/?cGtBcl" TargetMode="External"/><Relationship Id="rId5" Type="http://schemas.openxmlformats.org/officeDocument/2006/relationships/hyperlink" Target="mailto:jlessler@unc.edu" TargetMode="External"/><Relationship Id="rId19" Type="http://schemas.openxmlformats.org/officeDocument/2006/relationships/hyperlink" Target="https://www.zotero.org/google-docs/?LbW5Fv" TargetMode="External"/><Relationship Id="rId4" Type="http://schemas.openxmlformats.org/officeDocument/2006/relationships/webSettings" Target="webSettings.xml"/><Relationship Id="rId9" Type="http://schemas.openxmlformats.org/officeDocument/2006/relationships/hyperlink" Target="https://www.zotero.org/google-docs/?sEB1zg" TargetMode="External"/><Relationship Id="rId14" Type="http://schemas.openxmlformats.org/officeDocument/2006/relationships/hyperlink" Target="https://www.zotero.org/google-docs/?Dn3UMA" TargetMode="External"/><Relationship Id="rId22" Type="http://schemas.openxmlformats.org/officeDocument/2006/relationships/hyperlink" Target="https://www.zotero.org/google-docs/?Dn8kvp" TargetMode="External"/><Relationship Id="rId27" Type="http://schemas.openxmlformats.org/officeDocument/2006/relationships/hyperlink" Target="https://www.zotero.org/google-docs/?EG4Jih" TargetMode="External"/><Relationship Id="rId30" Type="http://schemas.openxmlformats.org/officeDocument/2006/relationships/hyperlink" Target="https://www.zotero.org/google-docs/?cGtBcl" TargetMode="External"/><Relationship Id="rId35" Type="http://schemas.openxmlformats.org/officeDocument/2006/relationships/hyperlink" Target="https://www.zotero.org/google-docs/?cGtBcl" TargetMode="External"/><Relationship Id="rId43" Type="http://schemas.openxmlformats.org/officeDocument/2006/relationships/hyperlink" Target="https://www.zotero.org/google-docs/?cGtBcl" TargetMode="External"/><Relationship Id="rId48" Type="http://schemas.openxmlformats.org/officeDocument/2006/relationships/hyperlink" Target="https://www.zotero.org/google-docs/?cGtBcl" TargetMode="External"/><Relationship Id="rId56" Type="http://schemas.openxmlformats.org/officeDocument/2006/relationships/hyperlink" Target="https://www.zotero.org/google-docs/?cGtBcl" TargetMode="External"/><Relationship Id="rId8" Type="http://schemas.openxmlformats.org/officeDocument/2006/relationships/hyperlink" Target="https://www.zotero.org/google-docs/?yax1vS" TargetMode="External"/><Relationship Id="rId51" Type="http://schemas.openxmlformats.org/officeDocument/2006/relationships/hyperlink" Target="https://www.zotero.org/google-docs/?cGtBcl" TargetMode="External"/><Relationship Id="rId3" Type="http://schemas.openxmlformats.org/officeDocument/2006/relationships/settings" Target="settings.xml"/><Relationship Id="rId12" Type="http://schemas.openxmlformats.org/officeDocument/2006/relationships/hyperlink" Target="https://www.zotero.org/google-docs/?i1EJg9" TargetMode="External"/><Relationship Id="rId17" Type="http://schemas.openxmlformats.org/officeDocument/2006/relationships/hyperlink" Target="https://www.zotero.org/google-docs/?KUdhR8" TargetMode="External"/><Relationship Id="rId25" Type="http://schemas.openxmlformats.org/officeDocument/2006/relationships/hyperlink" Target="https://www.zotero.org/google-docs/?sIOHLc" TargetMode="External"/><Relationship Id="rId33" Type="http://schemas.openxmlformats.org/officeDocument/2006/relationships/hyperlink" Target="https://www.zotero.org/google-docs/?cGtBcl" TargetMode="External"/><Relationship Id="rId38" Type="http://schemas.openxmlformats.org/officeDocument/2006/relationships/hyperlink" Target="https://www.zotero.org/google-docs/?cGtBcl" TargetMode="External"/><Relationship Id="rId46" Type="http://schemas.openxmlformats.org/officeDocument/2006/relationships/hyperlink" Target="https://www.zotero.org/google-docs/?cGtBcl" TargetMode="External"/><Relationship Id="rId59" Type="http://schemas.openxmlformats.org/officeDocument/2006/relationships/fontTable" Target="fontTable.xml"/><Relationship Id="rId20" Type="http://schemas.openxmlformats.org/officeDocument/2006/relationships/hyperlink" Target="https://www.zotero.org/google-docs/?0nTEIA" TargetMode="External"/><Relationship Id="rId41" Type="http://schemas.openxmlformats.org/officeDocument/2006/relationships/hyperlink" Target="https://www.zotero.org/google-docs/?cGtBcl" TargetMode="External"/><Relationship Id="rId54" Type="http://schemas.openxmlformats.org/officeDocument/2006/relationships/hyperlink" Target="https://www.zotero.org/google-docs/?cGtBcl" TargetMode="External"/><Relationship Id="rId1" Type="http://schemas.openxmlformats.org/officeDocument/2006/relationships/customXml" Target="../customXml/item1.xml"/><Relationship Id="rId6" Type="http://schemas.openxmlformats.org/officeDocument/2006/relationships/hyperlink" Target="https://www.zotero.org/google-docs/?Gsn9yo" TargetMode="External"/><Relationship Id="rId15" Type="http://schemas.openxmlformats.org/officeDocument/2006/relationships/hyperlink" Target="https://www.zotero.org/google-docs/?OgS8eJ" TargetMode="External"/><Relationship Id="rId23" Type="http://schemas.openxmlformats.org/officeDocument/2006/relationships/hyperlink" Target="https://www.zotero.org/google-docs/?Myw37C" TargetMode="External"/><Relationship Id="rId28" Type="http://schemas.openxmlformats.org/officeDocument/2006/relationships/hyperlink" Target="https://www.zotero.org/google-docs/?HGvuA4" TargetMode="External"/><Relationship Id="rId36" Type="http://schemas.openxmlformats.org/officeDocument/2006/relationships/hyperlink" Target="https://www.zotero.org/google-docs/?cGtBcl" TargetMode="External"/><Relationship Id="rId49" Type="http://schemas.openxmlformats.org/officeDocument/2006/relationships/hyperlink" Target="https://www.zotero.org/google-docs/?cGtBcl" TargetMode="External"/><Relationship Id="rId57" Type="http://schemas.openxmlformats.org/officeDocument/2006/relationships/hyperlink" Target="https://www.zotero.org/google-docs/?cGtBcl" TargetMode="External"/><Relationship Id="rId10" Type="http://schemas.openxmlformats.org/officeDocument/2006/relationships/hyperlink" Target="https://www.zotero.org/google-docs/?Ei9211" TargetMode="External"/><Relationship Id="rId31" Type="http://schemas.openxmlformats.org/officeDocument/2006/relationships/hyperlink" Target="https://www.zotero.org/google-docs/?cGtBcl" TargetMode="External"/><Relationship Id="rId44" Type="http://schemas.openxmlformats.org/officeDocument/2006/relationships/hyperlink" Target="https://www.zotero.org/google-docs/?cGtBcl" TargetMode="External"/><Relationship Id="rId52" Type="http://schemas.openxmlformats.org/officeDocument/2006/relationships/hyperlink" Target="https://www.zotero.org/google-docs/?cGtBc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B481B-07CF-7C41-83AF-2EF4612D0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24</Pages>
  <Words>6017</Words>
  <Characters>34299</Characters>
  <Application>Microsoft Office Word</Application>
  <DocSecurity>0</DocSecurity>
  <Lines>285</Lines>
  <Paragraphs>80</Paragraphs>
  <ScaleCrop>false</ScaleCrop>
  <Company/>
  <LinksUpToDate>false</LinksUpToDate>
  <CharactersWithSpaces>40236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Sungmok</dc:creator>
  <cp:keywords/>
  <dc:description/>
  <cp:lastModifiedBy>Jung, Sungmok</cp:lastModifiedBy>
  <cp:revision>6</cp:revision>
  <dcterms:created xsi:type="dcterms:W3CDTF">2023-09-14T14:23:00Z</dcterms:created>
  <dcterms:modified xsi:type="dcterms:W3CDTF">2023-09-14T15:06:00Z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id="QedaTeXr"/&gt;&lt;style id="http://www.zotero.org/styles/jama" hasBibliography="1" bibliographyStyleHasBeenSet="0"/&gt;&lt;prefs&gt;&lt;pref name="fieldType" value="Field"/&gt;&lt;pref name="automaticJournalAbbreviation</vt:lpwstr>
  </property>
  <property fmtid="{D5CDD505-2E9C-101B-9397-08002B2CF9AE}" pid="3" name="ZOTERO_PREF_2">
    <vt:lpwstr>s" value="true"/&gt;&lt;/prefs&gt;&lt;/data&gt;</vt:lpwstr>
  </property>
</Properties>
</file>